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842CD" w14:textId="77777777" w:rsidR="009B1BF5" w:rsidRPr="00A04B91" w:rsidRDefault="009B1BF5" w:rsidP="009B1BF5">
      <w:pPr>
        <w:rPr>
          <w:b/>
          <w:bCs/>
          <w:sz w:val="24"/>
          <w:szCs w:val="24"/>
          <w:u w:val="single"/>
        </w:rPr>
      </w:pPr>
      <w:r w:rsidRPr="00A04B91">
        <w:rPr>
          <w:b/>
          <w:bCs/>
          <w:sz w:val="24"/>
          <w:szCs w:val="24"/>
          <w:u w:val="single"/>
        </w:rPr>
        <w:t>Government Policies</w:t>
      </w:r>
    </w:p>
    <w:p w14:paraId="679769D8" w14:textId="77777777" w:rsidR="009B1BF5" w:rsidRDefault="009B1BF5" w:rsidP="009B1BF5">
      <w:pPr>
        <w:pStyle w:val="BodyText"/>
        <w:rPr>
          <w:b/>
          <w:bCs/>
          <w:lang w:val="en-IN"/>
        </w:rPr>
      </w:pPr>
    </w:p>
    <w:p w14:paraId="36C4663A" w14:textId="77777777" w:rsidR="009B1BF5" w:rsidRPr="00B0737C" w:rsidRDefault="009B1BF5" w:rsidP="009B1BF5">
      <w:pPr>
        <w:pStyle w:val="BodyText"/>
        <w:rPr>
          <w:lang w:val="en-IN"/>
        </w:rPr>
      </w:pPr>
      <w:r w:rsidRPr="00B0737C">
        <w:rPr>
          <w:b/>
          <w:bCs/>
          <w:lang w:val="en-IN"/>
        </w:rPr>
        <w:t>Meta Title:</w:t>
      </w:r>
      <w:r w:rsidRPr="00B0737C">
        <w:rPr>
          <w:lang w:val="en-IN"/>
        </w:rPr>
        <w:t xml:space="preserve"> AAC Block Government Policies &amp; India Market Impact | LAXMI EN FAB PVT LTD</w:t>
      </w:r>
    </w:p>
    <w:p w14:paraId="279281FC" w14:textId="77777777" w:rsidR="009B1BF5" w:rsidRPr="00B0737C" w:rsidRDefault="009B1BF5" w:rsidP="009B1BF5">
      <w:pPr>
        <w:pStyle w:val="BodyText"/>
        <w:rPr>
          <w:lang w:val="en-IN"/>
        </w:rPr>
      </w:pPr>
      <w:r w:rsidRPr="00B0737C">
        <w:rPr>
          <w:b/>
          <w:bCs/>
          <w:lang w:val="en-IN"/>
        </w:rPr>
        <w:t>Meta Description:</w:t>
      </w:r>
      <w:r w:rsidRPr="00B0737C">
        <w:rPr>
          <w:lang w:val="en-IN"/>
        </w:rPr>
        <w:t xml:space="preserve"> </w:t>
      </w:r>
      <w:proofErr w:type="spellStart"/>
      <w:r w:rsidRPr="00B0737C">
        <w:rPr>
          <w:lang w:val="en-IN"/>
        </w:rPr>
        <w:t>Analyze</w:t>
      </w:r>
      <w:proofErr w:type="spellEnd"/>
      <w:r w:rsidRPr="00B0737C">
        <w:rPr>
          <w:lang w:val="en-IN"/>
        </w:rPr>
        <w:t xml:space="preserve"> AAC block government policies, market growth data, and engineering strategies driving India's industrial manufacturing expansion.</w:t>
      </w:r>
    </w:p>
    <w:p w14:paraId="3A915BE4" w14:textId="77777777" w:rsidR="009B1BF5" w:rsidRPr="00B0737C" w:rsidRDefault="009B1BF5" w:rsidP="009B1BF5">
      <w:pPr>
        <w:pStyle w:val="BodyText"/>
        <w:rPr>
          <w:b/>
          <w:bCs/>
          <w:lang w:val="en-IN"/>
        </w:rPr>
      </w:pPr>
      <w:r w:rsidRPr="00B0737C">
        <w:rPr>
          <w:b/>
          <w:bCs/>
          <w:lang w:val="en-IN"/>
        </w:rPr>
        <w:t>Navigating AAC Block Government Policies: Regulatory Frameworks and Industrial Plant Optimization</w:t>
      </w:r>
    </w:p>
    <w:p w14:paraId="757F0E45" w14:textId="77777777" w:rsidR="009B1BF5" w:rsidRPr="00B0737C" w:rsidRDefault="009B1BF5" w:rsidP="009B1BF5">
      <w:pPr>
        <w:pStyle w:val="BodyText"/>
        <w:rPr>
          <w:lang w:val="en-IN"/>
        </w:rPr>
      </w:pPr>
      <w:r w:rsidRPr="00B0737C">
        <w:rPr>
          <w:lang w:val="en-IN"/>
        </w:rPr>
        <w:t>Regulatory shifts and aggressive sustainability mandates are rewriting the operational blueprints for heavy building material manufacturers. Across emerging and mature economies alike, state policies are actively penalizing traditional carbon-intensive masonry while incentivizing lightweight, energy-efficient alternatives. For heavy engineering executives and plant operators, understanding these statutory frameworks is no longer just a compliance exercise—it is the primary catalyst for protecting capital expenditure and securing long-term market dominance.</w:t>
      </w:r>
    </w:p>
    <w:p w14:paraId="2653621B" w14:textId="77777777" w:rsidR="009B1BF5" w:rsidRPr="00B0737C" w:rsidRDefault="009B1BF5" w:rsidP="009B1BF5">
      <w:pPr>
        <w:pStyle w:val="BodyText"/>
        <w:rPr>
          <w:b/>
          <w:bCs/>
          <w:lang w:val="en-IN"/>
        </w:rPr>
      </w:pPr>
      <w:r w:rsidRPr="00B0737C">
        <w:rPr>
          <w:b/>
          <w:bCs/>
          <w:lang w:val="en-IN"/>
        </w:rPr>
        <w:t>Market Demand &amp; Macroeconomic Trajectory</w:t>
      </w:r>
    </w:p>
    <w:p w14:paraId="67E77528" w14:textId="77777777" w:rsidR="009B1BF5" w:rsidRPr="00B0737C" w:rsidRDefault="009B1BF5" w:rsidP="009B1BF5">
      <w:pPr>
        <w:pStyle w:val="BodyText"/>
        <w:rPr>
          <w:lang w:val="en-IN"/>
        </w:rPr>
      </w:pPr>
      <w:r w:rsidRPr="00B0737C">
        <w:rPr>
          <w:lang w:val="en-IN"/>
        </w:rPr>
        <w:t xml:space="preserve">The global Autoclaved Aerated Concrete (AAC) market is undergoing an unprecedented structural expansion, valued at approximately $23.4 billion to $24.2 billion, and projected to scale toward $37.3 billion over the next decade at a steady CAGR of 5.15% to 7.1%. </w:t>
      </w:r>
    </w:p>
    <w:p w14:paraId="35866715" w14:textId="77777777" w:rsidR="009B1BF5" w:rsidRPr="00B0737C" w:rsidRDefault="009B1BF5" w:rsidP="009B1BF5">
      <w:pPr>
        <w:pStyle w:val="BodyText"/>
        <w:rPr>
          <w:lang w:val="en-IN"/>
        </w:rPr>
      </w:pPr>
      <w:r w:rsidRPr="00B0737C">
        <w:rPr>
          <w:lang w:val="en-IN"/>
        </w:rPr>
        <w:t xml:space="preserve">In India specifically, the market is experiencing explosive growth. Valued at USD 3.11 billion to USD 4.0 billion, the domestic AAC block and panel sector is scaling at a robust CAGR of 7.7% to 9.5%, projected to approach USD 9.1 billion. This demand is heavily underpinned by state and federal interventions: </w:t>
      </w:r>
    </w:p>
    <w:p w14:paraId="002D6B85" w14:textId="77777777" w:rsidR="009B1BF5" w:rsidRPr="00B0737C" w:rsidRDefault="009B1BF5" w:rsidP="009B1BF5">
      <w:pPr>
        <w:pStyle w:val="BodyText"/>
        <w:numPr>
          <w:ilvl w:val="0"/>
          <w:numId w:val="8"/>
        </w:numPr>
        <w:rPr>
          <w:lang w:val="en-IN"/>
        </w:rPr>
      </w:pPr>
      <w:r w:rsidRPr="00B0737C">
        <w:rPr>
          <w:b/>
          <w:bCs/>
          <w:lang w:val="en-IN"/>
        </w:rPr>
        <w:t>Affordable Housing Mandates:</w:t>
      </w:r>
      <w:r w:rsidRPr="00B0737C">
        <w:rPr>
          <w:lang w:val="en-IN"/>
        </w:rPr>
        <w:t xml:space="preserve"> Government initiatives such as the Pradhan Mantri Awas Yojana (PMAY)—which has sanctioned over 11.8 million homes—alongside rapid urbanization targeting an urban population of 600 million by 2036, are codifying lightweight masonry into standard building codes. </w:t>
      </w:r>
    </w:p>
    <w:p w14:paraId="69828D74" w14:textId="77777777" w:rsidR="009B1BF5" w:rsidRPr="00B0737C" w:rsidRDefault="009B1BF5" w:rsidP="009B1BF5">
      <w:pPr>
        <w:pStyle w:val="BodyText"/>
        <w:numPr>
          <w:ilvl w:val="0"/>
          <w:numId w:val="8"/>
        </w:numPr>
        <w:rPr>
          <w:lang w:val="en-IN"/>
        </w:rPr>
      </w:pPr>
      <w:r w:rsidRPr="00B0737C">
        <w:rPr>
          <w:b/>
          <w:bCs/>
          <w:lang w:val="en-IN"/>
        </w:rPr>
        <w:t>Green Building Incentives:</w:t>
      </w:r>
      <w:r w:rsidRPr="00B0737C">
        <w:rPr>
          <w:lang w:val="en-IN"/>
        </w:rPr>
        <w:t xml:space="preserve"> Strict energy conservation building codes (ECBC) and tax incentives for commercial real estate developments </w:t>
      </w:r>
      <w:proofErr w:type="spellStart"/>
      <w:r w:rsidRPr="00B0737C">
        <w:rPr>
          <w:lang w:val="en-IN"/>
        </w:rPr>
        <w:t>favor</w:t>
      </w:r>
      <w:proofErr w:type="spellEnd"/>
      <w:r w:rsidRPr="00B0737C">
        <w:rPr>
          <w:lang w:val="en-IN"/>
        </w:rPr>
        <w:t xml:space="preserve"> materials that reduce structural dead loads by up to 50% while delivering thermal insulation values that cut building energy consumption by 20%. </w:t>
      </w:r>
    </w:p>
    <w:p w14:paraId="50798790" w14:textId="77777777" w:rsidR="009B1BF5" w:rsidRPr="00B0737C" w:rsidRDefault="009B1BF5" w:rsidP="009B1BF5">
      <w:pPr>
        <w:pStyle w:val="BodyText"/>
        <w:numPr>
          <w:ilvl w:val="0"/>
          <w:numId w:val="8"/>
        </w:numPr>
        <w:rPr>
          <w:lang w:val="en-IN"/>
        </w:rPr>
      </w:pPr>
      <w:r w:rsidRPr="00B0737C">
        <w:rPr>
          <w:b/>
          <w:bCs/>
          <w:lang w:val="en-IN"/>
        </w:rPr>
        <w:t>Fly Ash Utilization Policies:</w:t>
      </w:r>
      <w:r w:rsidRPr="00B0737C">
        <w:rPr>
          <w:lang w:val="en-IN"/>
        </w:rPr>
        <w:t xml:space="preserve"> Regulatory directives mandating the consumption of thermal power plant byproducts (fly ash) provide raw material cost advantages, making fly-ash-based AAC formulation (representing over </w:t>
      </w:r>
      <w:r>
        <w:rPr>
          <w:lang w:val="en-IN"/>
        </w:rPr>
        <w:t>95</w:t>
      </w:r>
      <w:r w:rsidRPr="00B0737C">
        <w:rPr>
          <w:lang w:val="en-IN"/>
        </w:rPr>
        <w:t xml:space="preserve">% of market share) a heavily subsidized compliance pathway. </w:t>
      </w:r>
    </w:p>
    <w:p w14:paraId="6152812B" w14:textId="77777777" w:rsidR="009B1BF5" w:rsidRPr="00B0737C" w:rsidRDefault="009B1BF5" w:rsidP="009B1BF5">
      <w:pPr>
        <w:pStyle w:val="BodyText"/>
        <w:rPr>
          <w:b/>
          <w:bCs/>
          <w:lang w:val="en-IN"/>
        </w:rPr>
      </w:pPr>
      <w:r w:rsidRPr="00B0737C">
        <w:rPr>
          <w:b/>
          <w:bCs/>
          <w:lang w:val="en-IN"/>
        </w:rPr>
        <w:t>Key Technical Insights: Engineering for Regulatory Compliance</w:t>
      </w:r>
    </w:p>
    <w:p w14:paraId="35323101" w14:textId="77777777" w:rsidR="009B1BF5" w:rsidRPr="00B0737C" w:rsidRDefault="009B1BF5" w:rsidP="009B1BF5">
      <w:pPr>
        <w:pStyle w:val="BodyText"/>
        <w:rPr>
          <w:lang w:val="en-IN"/>
        </w:rPr>
      </w:pPr>
      <w:r w:rsidRPr="00B0737C">
        <w:rPr>
          <w:lang w:val="en-IN"/>
        </w:rPr>
        <w:t>Meeting stringent government specifications—such as compressive strength thresholds of 3 to 4.5 N/mm² and dry bulk densities between 550 to 650 kg/m³—demands absolute mechanical precision. Plant operators must master three core engineering variables to stay compliant and competitive:</w:t>
      </w:r>
    </w:p>
    <w:p w14:paraId="618EB9CB" w14:textId="77777777" w:rsidR="009B1BF5" w:rsidRPr="00B0737C" w:rsidRDefault="009B1BF5" w:rsidP="009B1BF5">
      <w:pPr>
        <w:pStyle w:val="BodyText"/>
        <w:numPr>
          <w:ilvl w:val="0"/>
          <w:numId w:val="9"/>
        </w:numPr>
        <w:rPr>
          <w:lang w:val="en-IN"/>
        </w:rPr>
      </w:pPr>
      <w:r w:rsidRPr="00B0737C">
        <w:rPr>
          <w:b/>
          <w:bCs/>
          <w:lang w:val="en-IN"/>
        </w:rPr>
        <w:lastRenderedPageBreak/>
        <w:t>Autoclave Thermodynamics and Steam Saturation:</w:t>
      </w:r>
      <w:r w:rsidRPr="00B0737C">
        <w:rPr>
          <w:lang w:val="en-IN"/>
        </w:rPr>
        <w:t xml:space="preserve"> High-pressure steam curing is chemically non-negotiable for achieving calcium silicate hydrate (</w:t>
      </w:r>
      <w:proofErr w:type="spellStart"/>
      <w:r w:rsidRPr="00B0737C">
        <w:rPr>
          <w:lang w:val="en-IN"/>
        </w:rPr>
        <w:t>tobermorite</w:t>
      </w:r>
      <w:proofErr w:type="spellEnd"/>
      <w:r w:rsidRPr="00B0737C">
        <w:rPr>
          <w:lang w:val="en-IN"/>
        </w:rPr>
        <w:t>) crystallization. Failure to maintain uniform internal vessel pressures (typically 1.2 to 1.4 MPa) during the 12-to-14-hour cycle results in micro-fissures and sub-standard compressive strengths that fail mandatory structural audits.</w:t>
      </w:r>
    </w:p>
    <w:p w14:paraId="3B7A970F" w14:textId="77777777" w:rsidR="009B1BF5" w:rsidRPr="00B0737C" w:rsidRDefault="009B1BF5" w:rsidP="009B1BF5">
      <w:pPr>
        <w:pStyle w:val="BodyText"/>
        <w:numPr>
          <w:ilvl w:val="0"/>
          <w:numId w:val="9"/>
        </w:numPr>
        <w:rPr>
          <w:lang w:val="en-IN"/>
        </w:rPr>
      </w:pPr>
      <w:r w:rsidRPr="00B0737C">
        <w:rPr>
          <w:b/>
          <w:bCs/>
          <w:lang w:val="en-IN"/>
        </w:rPr>
        <w:t xml:space="preserve">Rheology and </w:t>
      </w:r>
      <w:proofErr w:type="spellStart"/>
      <w:r w:rsidRPr="00B0737C">
        <w:rPr>
          <w:b/>
          <w:bCs/>
          <w:lang w:val="en-IN"/>
        </w:rPr>
        <w:t>Aluminum</w:t>
      </w:r>
      <w:proofErr w:type="spellEnd"/>
      <w:r w:rsidRPr="00B0737C">
        <w:rPr>
          <w:b/>
          <w:bCs/>
          <w:lang w:val="en-IN"/>
        </w:rPr>
        <w:t xml:space="preserve"> Powder Kinetics:</w:t>
      </w:r>
      <w:r w:rsidRPr="00B0737C">
        <w:rPr>
          <w:lang w:val="en-IN"/>
        </w:rPr>
        <w:t xml:space="preserve"> Gas expansion relies on precise hydrogen gas generation via the reaction of fine </w:t>
      </w:r>
      <w:proofErr w:type="spellStart"/>
      <w:r w:rsidRPr="00B0737C">
        <w:rPr>
          <w:lang w:val="en-IN"/>
        </w:rPr>
        <w:t>aluminum</w:t>
      </w:r>
      <w:proofErr w:type="spellEnd"/>
      <w:r w:rsidRPr="00B0737C">
        <w:rPr>
          <w:lang w:val="en-IN"/>
        </w:rPr>
        <w:t xml:space="preserve"> powder with calcium hydroxide. Variations in slurry temperature or alkaline balance induce bubble coalescence, leading to density gradients and thermal conductivity failure under testing.</w:t>
      </w:r>
    </w:p>
    <w:p w14:paraId="6901ED05" w14:textId="77777777" w:rsidR="009B1BF5" w:rsidRPr="00B0737C" w:rsidRDefault="009B1BF5" w:rsidP="009B1BF5">
      <w:pPr>
        <w:pStyle w:val="BodyText"/>
        <w:numPr>
          <w:ilvl w:val="0"/>
          <w:numId w:val="9"/>
        </w:numPr>
        <w:rPr>
          <w:lang w:val="en-IN"/>
        </w:rPr>
      </w:pPr>
      <w:r w:rsidRPr="00B0737C">
        <w:rPr>
          <w:b/>
          <w:bCs/>
          <w:lang w:val="en-IN"/>
        </w:rPr>
        <w:t>Precise Cutting Line Tolerances:</w:t>
      </w:r>
      <w:r w:rsidRPr="00B0737C">
        <w:rPr>
          <w:lang w:val="en-IN"/>
        </w:rPr>
        <w:t xml:space="preserve"> Government-backed pre-fab and modular mandates require dimensional accuracy within </w:t>
      </w:r>
      <m:oMath>
        <m:r>
          <w:rPr>
            <w:rFonts w:ascii="Cambria Math" w:hAnsi="Cambria Math"/>
            <w:lang w:val="en-IN"/>
          </w:rPr>
          <m:t>±1</m:t>
        </m:r>
      </m:oMath>
      <w:r w:rsidRPr="00B0737C">
        <w:rPr>
          <w:lang w:val="en-IN"/>
        </w:rPr>
        <w:t xml:space="preserve"> mm to </w:t>
      </w:r>
      <m:oMath>
        <m:r>
          <w:rPr>
            <w:rFonts w:ascii="Cambria Math" w:hAnsi="Cambria Math"/>
            <w:lang w:val="en-IN"/>
          </w:rPr>
          <m:t>±2</m:t>
        </m:r>
      </m:oMath>
      <w:r w:rsidRPr="00B0737C">
        <w:rPr>
          <w:lang w:val="en-IN"/>
        </w:rPr>
        <w:t xml:space="preserve"> mm. Conventional manual or poorly calibrated tilting cake cutters introduce edge chipping, forcing excessive mortar joints that violate modern thermal envelope standards.</w:t>
      </w:r>
    </w:p>
    <w:p w14:paraId="09EEB91A" w14:textId="77777777" w:rsidR="009B1BF5" w:rsidRPr="00B0737C" w:rsidRDefault="009B1BF5" w:rsidP="009B1BF5">
      <w:pPr>
        <w:pStyle w:val="BodyText"/>
        <w:rPr>
          <w:b/>
          <w:bCs/>
          <w:lang w:val="en-IN"/>
        </w:rPr>
      </w:pPr>
      <w:r w:rsidRPr="00B0737C">
        <w:rPr>
          <w:b/>
          <w:bCs/>
          <w:lang w:val="en-IN"/>
        </w:rPr>
        <w:t>The LAXMI EN FAB PVT LTD Engineering Approach</w:t>
      </w:r>
    </w:p>
    <w:p w14:paraId="263FDD95" w14:textId="77777777" w:rsidR="009B1BF5" w:rsidRPr="00B0737C" w:rsidRDefault="009B1BF5" w:rsidP="009B1BF5">
      <w:pPr>
        <w:pStyle w:val="BodyText"/>
        <w:rPr>
          <w:lang w:val="en-IN"/>
        </w:rPr>
      </w:pPr>
      <w:r w:rsidRPr="00B0737C">
        <w:rPr>
          <w:lang w:val="en-IN"/>
        </w:rPr>
        <w:t xml:space="preserve">At </w:t>
      </w:r>
      <w:r w:rsidRPr="00B0737C">
        <w:rPr>
          <w:b/>
          <w:bCs/>
          <w:lang w:val="en-IN"/>
        </w:rPr>
        <w:t>LAXMI EN FAB PVT LTD</w:t>
      </w:r>
      <w:r w:rsidRPr="00B0737C">
        <w:rPr>
          <w:lang w:val="en-IN"/>
        </w:rPr>
        <w:t>, we recognize that navigating changing government policies requires a fundamental upgrade in plant architecture, moving away from legacy batch inconsistencies toward fully automated, high-yield ecosystems.</w:t>
      </w:r>
    </w:p>
    <w:p w14:paraId="7B246D60" w14:textId="77777777" w:rsidR="009B1BF5" w:rsidRPr="00B0737C" w:rsidRDefault="009B1BF5" w:rsidP="009B1BF5">
      <w:pPr>
        <w:pStyle w:val="BodyText"/>
        <w:rPr>
          <w:lang w:val="en-IN"/>
        </w:rPr>
      </w:pPr>
      <w:r w:rsidRPr="00B0737C">
        <w:rPr>
          <w:lang w:val="en-IN"/>
        </w:rPr>
        <w:t>Our engineering methodology targets the root causes of plant inefficiency:</w:t>
      </w:r>
    </w:p>
    <w:p w14:paraId="3F84EA52" w14:textId="77777777" w:rsidR="009B1BF5" w:rsidRPr="00B0737C" w:rsidRDefault="009B1BF5" w:rsidP="009B1BF5">
      <w:pPr>
        <w:pStyle w:val="BodyText"/>
        <w:numPr>
          <w:ilvl w:val="0"/>
          <w:numId w:val="10"/>
        </w:numPr>
        <w:rPr>
          <w:lang w:val="en-IN"/>
        </w:rPr>
      </w:pPr>
      <w:r w:rsidRPr="00B0737C">
        <w:rPr>
          <w:b/>
          <w:bCs/>
          <w:lang w:val="en-IN"/>
        </w:rPr>
        <w:t>Advanced Tilt-Cake Cutting Systems:</w:t>
      </w:r>
      <w:r w:rsidRPr="00B0737C">
        <w:rPr>
          <w:lang w:val="en-IN"/>
        </w:rPr>
        <w:t xml:space="preserve"> We engineer high-speed, synchronized vertical and horizontal cutting lines equipped with tensioned piano-wire arrays. This ensures razor-sharp dimensional precision, eliminating edge tearing and minimizing waste during the green-cake expansion phase.</w:t>
      </w:r>
    </w:p>
    <w:p w14:paraId="691E1BBC" w14:textId="77777777" w:rsidR="009B1BF5" w:rsidRPr="00B0737C" w:rsidRDefault="009B1BF5" w:rsidP="009B1BF5">
      <w:pPr>
        <w:pStyle w:val="BodyText"/>
        <w:numPr>
          <w:ilvl w:val="0"/>
          <w:numId w:val="10"/>
        </w:numPr>
        <w:rPr>
          <w:lang w:val="en-IN"/>
        </w:rPr>
      </w:pPr>
      <w:r w:rsidRPr="00B0737C">
        <w:rPr>
          <w:b/>
          <w:bCs/>
          <w:lang w:val="en-IN"/>
        </w:rPr>
        <w:t>Optimized Steam Feeding &amp; Pressure Automation:</w:t>
      </w:r>
      <w:r w:rsidRPr="00B0737C">
        <w:rPr>
          <w:lang w:val="en-IN"/>
        </w:rPr>
        <w:t xml:space="preserve"> Our proprietary automated steam-curing control valves and heat-recovery configurations maintain precise thermodynamic equilibrium inside autoclaves. This drastically reduces thermal energy wastage while ensuring 100% crystalline phase transformation for maximum structural integrity.</w:t>
      </w:r>
    </w:p>
    <w:p w14:paraId="431AF43B" w14:textId="77777777" w:rsidR="009B1BF5" w:rsidRPr="00B0737C" w:rsidRDefault="009B1BF5" w:rsidP="009B1BF5">
      <w:pPr>
        <w:pStyle w:val="BodyText"/>
        <w:numPr>
          <w:ilvl w:val="0"/>
          <w:numId w:val="10"/>
        </w:numPr>
        <w:rPr>
          <w:lang w:val="en-IN"/>
        </w:rPr>
      </w:pPr>
      <w:r w:rsidRPr="00B0737C">
        <w:rPr>
          <w:b/>
          <w:bCs/>
          <w:lang w:val="en-IN"/>
        </w:rPr>
        <w:t>High-Yield Raw Material Proportioning:</w:t>
      </w:r>
      <w:r w:rsidRPr="00B0737C">
        <w:rPr>
          <w:lang w:val="en-IN"/>
        </w:rPr>
        <w:t xml:space="preserve"> We integrate intelligent weigh-batching automation systems designed specifically to handle high-volume fly ash slurry slurries and precise </w:t>
      </w:r>
      <w:proofErr w:type="spellStart"/>
      <w:r w:rsidRPr="00B0737C">
        <w:rPr>
          <w:lang w:val="en-IN"/>
        </w:rPr>
        <w:t>aluminum</w:t>
      </w:r>
      <w:proofErr w:type="spellEnd"/>
      <w:r w:rsidRPr="00B0737C">
        <w:rPr>
          <w:lang w:val="en-IN"/>
        </w:rPr>
        <w:t xml:space="preserve"> dosing, protecting your operations against raw material variability and regulatory non-compliance.</w:t>
      </w:r>
    </w:p>
    <w:p w14:paraId="7C185BB7" w14:textId="77777777" w:rsidR="009B1BF5" w:rsidRPr="00B0737C" w:rsidRDefault="009B1BF5" w:rsidP="009B1BF5">
      <w:pPr>
        <w:pStyle w:val="BodyText"/>
        <w:rPr>
          <w:b/>
          <w:bCs/>
          <w:lang w:val="en-IN"/>
        </w:rPr>
      </w:pPr>
      <w:r w:rsidRPr="00B0737C">
        <w:rPr>
          <w:b/>
          <w:bCs/>
          <w:lang w:val="en-IN"/>
        </w:rPr>
        <w:t>Engineering Consultation</w:t>
      </w:r>
    </w:p>
    <w:p w14:paraId="4D8364FB" w14:textId="77777777" w:rsidR="009B1BF5" w:rsidRPr="00B0737C" w:rsidRDefault="009B1BF5" w:rsidP="009B1BF5">
      <w:pPr>
        <w:pStyle w:val="BodyText"/>
        <w:rPr>
          <w:lang w:val="en-IN"/>
        </w:rPr>
      </w:pPr>
      <w:r w:rsidRPr="00B0737C">
        <w:rPr>
          <w:lang w:val="en-IN"/>
        </w:rPr>
        <w:t>Are you looking to future-proof your manufacturing facility against evolving environmental regulations or scale your plant capacity to match national demand? Partner with our heavy engineering specialists for a custom technical evaluation.</w:t>
      </w:r>
    </w:p>
    <w:p w14:paraId="44C5C16F" w14:textId="77777777" w:rsidR="009B1BF5" w:rsidRPr="00B0737C" w:rsidRDefault="009B1BF5" w:rsidP="009B1BF5">
      <w:pPr>
        <w:pStyle w:val="BodyText"/>
        <w:rPr>
          <w:lang w:val="en-IN"/>
        </w:rPr>
      </w:pPr>
      <w:hyperlink r:id="rId5" w:tgtFrame="_blank" w:history="1">
        <w:r w:rsidRPr="00B0737C">
          <w:rPr>
            <w:rStyle w:val="Hyperlink"/>
            <w:b/>
            <w:bCs/>
            <w:lang w:val="en-IN"/>
          </w:rPr>
          <w:t>Request a Confidential Plant Engineering Consultation</w:t>
        </w:r>
      </w:hyperlink>
    </w:p>
    <w:p w14:paraId="57B8B373" w14:textId="77777777" w:rsidR="00205420" w:rsidRPr="009B1BF5" w:rsidRDefault="00205420" w:rsidP="009B1BF5"/>
    <w:sectPr w:rsidR="00205420" w:rsidRPr="009B1B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33B8F"/>
    <w:multiLevelType w:val="multilevel"/>
    <w:tmpl w:val="47C4C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900135"/>
    <w:multiLevelType w:val="multilevel"/>
    <w:tmpl w:val="FCAE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794C94"/>
    <w:multiLevelType w:val="multilevel"/>
    <w:tmpl w:val="0B34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745CE1"/>
    <w:multiLevelType w:val="multilevel"/>
    <w:tmpl w:val="E560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55216C"/>
    <w:multiLevelType w:val="multilevel"/>
    <w:tmpl w:val="B2E2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E20DA4"/>
    <w:multiLevelType w:val="multilevel"/>
    <w:tmpl w:val="03B0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343D5E"/>
    <w:multiLevelType w:val="multilevel"/>
    <w:tmpl w:val="0090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011CB6"/>
    <w:multiLevelType w:val="multilevel"/>
    <w:tmpl w:val="3EB05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2759DE"/>
    <w:multiLevelType w:val="multilevel"/>
    <w:tmpl w:val="D2EE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44706D"/>
    <w:multiLevelType w:val="multilevel"/>
    <w:tmpl w:val="A2EE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5620137">
    <w:abstractNumId w:val="6"/>
  </w:num>
  <w:num w:numId="2" w16cid:durableId="1454978449">
    <w:abstractNumId w:val="5"/>
  </w:num>
  <w:num w:numId="3" w16cid:durableId="1083574127">
    <w:abstractNumId w:val="4"/>
  </w:num>
  <w:num w:numId="4" w16cid:durableId="565916641">
    <w:abstractNumId w:val="8"/>
  </w:num>
  <w:num w:numId="5" w16cid:durableId="853420358">
    <w:abstractNumId w:val="9"/>
  </w:num>
  <w:num w:numId="6" w16cid:durableId="993408478">
    <w:abstractNumId w:val="2"/>
  </w:num>
  <w:num w:numId="7" w16cid:durableId="1190755774">
    <w:abstractNumId w:val="3"/>
  </w:num>
  <w:num w:numId="8" w16cid:durableId="2045591599">
    <w:abstractNumId w:val="1"/>
  </w:num>
  <w:num w:numId="9" w16cid:durableId="2125878526">
    <w:abstractNumId w:val="0"/>
  </w:num>
  <w:num w:numId="10" w16cid:durableId="20068616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5F3"/>
    <w:rsid w:val="00191279"/>
    <w:rsid w:val="001B65F3"/>
    <w:rsid w:val="00205420"/>
    <w:rsid w:val="00207E1A"/>
    <w:rsid w:val="00387187"/>
    <w:rsid w:val="00581811"/>
    <w:rsid w:val="009B1BF5"/>
    <w:rsid w:val="00D673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25F21"/>
  <w15:chartTrackingRefBased/>
  <w15:docId w15:val="{048999B5-AD80-40CC-A04B-41BA51FAF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1BF5"/>
  </w:style>
  <w:style w:type="paragraph" w:styleId="Heading1">
    <w:name w:val="heading 1"/>
    <w:basedOn w:val="Normal"/>
    <w:next w:val="Normal"/>
    <w:link w:val="Heading1Char"/>
    <w:uiPriority w:val="9"/>
    <w:qFormat/>
    <w:rsid w:val="001B65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65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65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65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65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65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65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65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65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5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65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65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65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65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65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65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65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65F3"/>
    <w:rPr>
      <w:rFonts w:eastAsiaTheme="majorEastAsia" w:cstheme="majorBidi"/>
      <w:color w:val="272727" w:themeColor="text1" w:themeTint="D8"/>
    </w:rPr>
  </w:style>
  <w:style w:type="paragraph" w:styleId="Title">
    <w:name w:val="Title"/>
    <w:basedOn w:val="Normal"/>
    <w:next w:val="Normal"/>
    <w:link w:val="TitleChar"/>
    <w:uiPriority w:val="10"/>
    <w:qFormat/>
    <w:rsid w:val="001B65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65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65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65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65F3"/>
    <w:pPr>
      <w:spacing w:before="160"/>
      <w:jc w:val="center"/>
    </w:pPr>
    <w:rPr>
      <w:i/>
      <w:iCs/>
      <w:color w:val="404040" w:themeColor="text1" w:themeTint="BF"/>
    </w:rPr>
  </w:style>
  <w:style w:type="character" w:customStyle="1" w:styleId="QuoteChar">
    <w:name w:val="Quote Char"/>
    <w:basedOn w:val="DefaultParagraphFont"/>
    <w:link w:val="Quote"/>
    <w:uiPriority w:val="29"/>
    <w:rsid w:val="001B65F3"/>
    <w:rPr>
      <w:i/>
      <w:iCs/>
      <w:color w:val="404040" w:themeColor="text1" w:themeTint="BF"/>
    </w:rPr>
  </w:style>
  <w:style w:type="paragraph" w:styleId="ListParagraph">
    <w:name w:val="List Paragraph"/>
    <w:basedOn w:val="Normal"/>
    <w:uiPriority w:val="34"/>
    <w:qFormat/>
    <w:rsid w:val="001B65F3"/>
    <w:pPr>
      <w:ind w:left="720"/>
      <w:contextualSpacing/>
    </w:pPr>
  </w:style>
  <w:style w:type="character" w:styleId="IntenseEmphasis">
    <w:name w:val="Intense Emphasis"/>
    <w:basedOn w:val="DefaultParagraphFont"/>
    <w:uiPriority w:val="21"/>
    <w:qFormat/>
    <w:rsid w:val="001B65F3"/>
    <w:rPr>
      <w:i/>
      <w:iCs/>
      <w:color w:val="2F5496" w:themeColor="accent1" w:themeShade="BF"/>
    </w:rPr>
  </w:style>
  <w:style w:type="paragraph" w:styleId="IntenseQuote">
    <w:name w:val="Intense Quote"/>
    <w:basedOn w:val="Normal"/>
    <w:next w:val="Normal"/>
    <w:link w:val="IntenseQuoteChar"/>
    <w:uiPriority w:val="30"/>
    <w:qFormat/>
    <w:rsid w:val="001B65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65F3"/>
    <w:rPr>
      <w:i/>
      <w:iCs/>
      <w:color w:val="2F5496" w:themeColor="accent1" w:themeShade="BF"/>
    </w:rPr>
  </w:style>
  <w:style w:type="character" w:styleId="IntenseReference">
    <w:name w:val="Intense Reference"/>
    <w:basedOn w:val="DefaultParagraphFont"/>
    <w:uiPriority w:val="32"/>
    <w:qFormat/>
    <w:rsid w:val="001B65F3"/>
    <w:rPr>
      <w:b/>
      <w:bCs/>
      <w:smallCaps/>
      <w:color w:val="2F5496" w:themeColor="accent1" w:themeShade="BF"/>
      <w:spacing w:val="5"/>
    </w:rPr>
  </w:style>
  <w:style w:type="paragraph" w:styleId="BodyText">
    <w:name w:val="Body Text"/>
    <w:basedOn w:val="Normal"/>
    <w:link w:val="BodyTextChar"/>
    <w:qFormat/>
    <w:rsid w:val="001B65F3"/>
    <w:pPr>
      <w:spacing w:before="180" w:after="180" w:line="240" w:lineRule="auto"/>
    </w:pPr>
    <w:rPr>
      <w:kern w:val="0"/>
      <w:sz w:val="24"/>
      <w:szCs w:val="24"/>
      <w:lang w:val="en-US"/>
      <w14:ligatures w14:val="none"/>
    </w:rPr>
  </w:style>
  <w:style w:type="character" w:customStyle="1" w:styleId="BodyTextChar">
    <w:name w:val="Body Text Char"/>
    <w:basedOn w:val="DefaultParagraphFont"/>
    <w:link w:val="BodyText"/>
    <w:rsid w:val="001B65F3"/>
    <w:rPr>
      <w:kern w:val="0"/>
      <w:sz w:val="24"/>
      <w:szCs w:val="24"/>
      <w:lang w:val="en-US"/>
      <w14:ligatures w14:val="none"/>
    </w:rPr>
  </w:style>
  <w:style w:type="character" w:styleId="Hyperlink">
    <w:name w:val="Hyperlink"/>
    <w:basedOn w:val="DefaultParagraphFont"/>
    <w:uiPriority w:val="99"/>
    <w:unhideWhenUsed/>
    <w:rsid w:val="009B1BF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q=%2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803</Words>
  <Characters>4583</Characters>
  <Application>Microsoft Office Word</Application>
  <DocSecurity>0</DocSecurity>
  <Lines>38</Lines>
  <Paragraphs>10</Paragraphs>
  <ScaleCrop>false</ScaleCrop>
  <Company/>
  <LinksUpToDate>false</LinksUpToDate>
  <CharactersWithSpaces>5376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 Prajapati</dc:creator>
  <cp:keywords/>
  <dc:description/>
  <cp:lastModifiedBy>Ashok Prajapati</cp:lastModifiedBy>
  <cp:revision>2</cp:revision>
  <dcterms:created xsi:type="dcterms:W3CDTF">2026-08-15T07:10:00Z</dcterms:created>
  <dcterms:modified xsi:type="dcterms:W3CDTF">2026-08-15T07:10:00Z</dcterms:modified>
</cp:coreProperties>
</file>