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pPr>
      <w:r>
        <w:t>TECHNICAL &amp; COMMERCIAL GUIDE  •  INDIA</w:t>
      </w:r>
    </w:p>
    <w:p>
      <w:pPr>
        <w:spacing w:after="140"/>
      </w:pPr>
      <w:r>
        <w:rPr>
          <w:rFonts w:ascii="Aptos Display" w:hAnsi="Aptos Display"/>
          <w:b/>
          <w:color w:val="0B1727"/>
          <w:sz w:val="54"/>
        </w:rPr>
        <w:t>How to Select the Right</w:t>
        <w:br/>
        <w:t>AAC Plant Capacity</w:t>
      </w:r>
    </w:p>
    <w:p>
      <w:pPr>
        <w:pStyle w:val="Lead"/>
      </w:pPr>
      <w:r>
        <w:t>A practical framework for balancing market demand, production economics, product mix and future expansion—before machinery is finalised.</w:t>
      </w:r>
    </w:p>
    <w:tbl>
      <w:tblPr>
        <w:tblW w:type="auto" w:w="0"/>
        <w:jc w:val="center"/>
        <w:tblLayout w:type="fixed"/>
        <w:tblLook w:firstColumn="1" w:firstRow="1" w:lastColumn="0" w:lastRow="0" w:noHBand="0" w:noVBand="1" w:val="04A0"/>
        <w:tblBorders>
          <w:top w:val="single" w:sz="6" w:color="CAD3DA"/>
          <w:left w:val="single" w:sz="6" w:color="CAD3DA"/>
          <w:bottom w:val="single" w:sz="6" w:color="CAD3DA"/>
          <w:right w:val="single" w:sz="6" w:color="CAD3DA"/>
          <w:insideH w:val="single" w:sz="6" w:color="CAD3DA"/>
          <w:insideV w:val="single" w:sz="6" w:color="CAD3DA"/>
        </w:tblBorders>
      </w:tblPr>
      <w:tblGrid>
        <w:gridCol w:w="1944"/>
        <w:gridCol w:w="7704"/>
      </w:tblGrid>
      <w:tr>
        <w:tc>
          <w:tcPr>
            <w:tcW w:type="dxa" w:w="4939"/>
            <w:vAlign w:val="center"/>
            <w:tcMar>
              <w:top w:w="90" w:type="dxa"/>
              <w:start w:w="120" w:type="dxa"/>
              <w:bottom w:w="90" w:type="dxa"/>
              <w:end w:w="120" w:type="dxa"/>
            </w:tcMar>
            <w:shd w:fill="EEF2F5"/>
          </w:tcPr>
          <w:p>
            <w:pPr>
              <w:spacing w:after="0" w:line="252" w:lineRule="auto"/>
            </w:pPr>
            <w:r/>
            <w:r>
              <w:rPr>
                <w:rFonts w:ascii="Aptos" w:hAnsi="Aptos"/>
                <w:b/>
                <w:color w:val="0C4F80"/>
                <w:sz w:val="17"/>
              </w:rPr>
              <w:t>SEO title</w:t>
            </w:r>
          </w:p>
        </w:tc>
        <w:tc>
          <w:tcPr>
            <w:tcW w:type="dxa" w:w="4939"/>
            <w:vAlign w:val="center"/>
            <w:tcMar>
              <w:top w:w="90" w:type="dxa"/>
              <w:start w:w="120" w:type="dxa"/>
              <w:bottom w:w="90" w:type="dxa"/>
              <w:end w:w="120" w:type="dxa"/>
            </w:tcMar>
          </w:tcPr>
          <w:p>
            <w:pPr>
              <w:spacing w:after="0" w:line="252" w:lineRule="auto"/>
            </w:pPr>
            <w:r/>
            <w:r>
              <w:rPr>
                <w:rFonts w:ascii="Aptos" w:hAnsi="Aptos"/>
                <w:b w:val="0"/>
                <w:color w:val="0B1727"/>
                <w:sz w:val="17"/>
              </w:rPr>
              <w:t>AAC Plant Capacity Selection Guide for India</w:t>
            </w:r>
          </w:p>
        </w:tc>
      </w:tr>
      <w:tr>
        <w:tc>
          <w:tcPr>
            <w:tcW w:type="dxa" w:w="4939"/>
            <w:vAlign w:val="center"/>
            <w:tcMar>
              <w:top w:w="90" w:type="dxa"/>
              <w:start w:w="120" w:type="dxa"/>
              <w:bottom w:w="90" w:type="dxa"/>
              <w:end w:w="120" w:type="dxa"/>
            </w:tcMar>
            <w:shd w:fill="EEF2F5"/>
          </w:tcPr>
          <w:p>
            <w:pPr>
              <w:spacing w:after="0" w:line="252" w:lineRule="auto"/>
            </w:pPr>
            <w:r/>
            <w:r>
              <w:rPr>
                <w:rFonts w:ascii="Aptos" w:hAnsi="Aptos"/>
                <w:b/>
                <w:color w:val="0C4F80"/>
                <w:sz w:val="17"/>
              </w:rPr>
              <w:t>Meta description</w:t>
            </w:r>
          </w:p>
        </w:tc>
        <w:tc>
          <w:tcPr>
            <w:tcW w:type="dxa" w:w="4939"/>
            <w:vAlign w:val="center"/>
            <w:tcMar>
              <w:top w:w="90" w:type="dxa"/>
              <w:start w:w="120" w:type="dxa"/>
              <w:bottom w:w="90" w:type="dxa"/>
              <w:end w:w="120" w:type="dxa"/>
            </w:tcMar>
          </w:tcPr>
          <w:p>
            <w:pPr>
              <w:spacing w:after="0" w:line="252" w:lineRule="auto"/>
            </w:pPr>
            <w:r/>
            <w:r>
              <w:rPr>
                <w:rFonts w:ascii="Aptos" w:hAnsi="Aptos"/>
                <w:b w:val="0"/>
                <w:color w:val="0B1727"/>
                <w:sz w:val="17"/>
              </w:rPr>
              <w:t>Learn how to select AAC plant capacity using market demand, utilization, production economics, product mix and future expansion planning.</w:t>
            </w:r>
          </w:p>
        </w:tc>
      </w:tr>
      <w:tr>
        <w:tc>
          <w:tcPr>
            <w:tcW w:type="dxa" w:w="4939"/>
            <w:vAlign w:val="center"/>
            <w:tcMar>
              <w:top w:w="90" w:type="dxa"/>
              <w:start w:w="120" w:type="dxa"/>
              <w:bottom w:w="90" w:type="dxa"/>
              <w:end w:w="120" w:type="dxa"/>
            </w:tcMar>
            <w:shd w:fill="EEF2F5"/>
          </w:tcPr>
          <w:p>
            <w:pPr>
              <w:spacing w:after="0" w:line="252" w:lineRule="auto"/>
            </w:pPr>
            <w:r/>
            <w:r>
              <w:rPr>
                <w:rFonts w:ascii="Aptos" w:hAnsi="Aptos"/>
                <w:b/>
                <w:color w:val="0C4F80"/>
                <w:sz w:val="17"/>
              </w:rPr>
              <w:t>Suggested URL</w:t>
            </w:r>
          </w:p>
        </w:tc>
        <w:tc>
          <w:tcPr>
            <w:tcW w:type="dxa" w:w="4939"/>
            <w:vAlign w:val="center"/>
            <w:tcMar>
              <w:top w:w="90" w:type="dxa"/>
              <w:start w:w="120" w:type="dxa"/>
              <w:bottom w:w="90" w:type="dxa"/>
              <w:end w:w="120" w:type="dxa"/>
            </w:tcMar>
          </w:tcPr>
          <w:p>
            <w:pPr>
              <w:spacing w:after="0" w:line="252" w:lineRule="auto"/>
            </w:pPr>
            <w:r/>
            <w:r>
              <w:rPr>
                <w:rFonts w:ascii="Aptos" w:hAnsi="Aptos"/>
                <w:b w:val="0"/>
                <w:color w:val="0B1727"/>
                <w:sz w:val="17"/>
              </w:rPr>
              <w:t>/aac-plant-capacity-selection/</w:t>
            </w:r>
          </w:p>
        </w:tc>
      </w:tr>
      <w:tr>
        <w:tc>
          <w:tcPr>
            <w:tcW w:type="dxa" w:w="4939"/>
            <w:vAlign w:val="center"/>
            <w:tcMar>
              <w:top w:w="90" w:type="dxa"/>
              <w:start w:w="120" w:type="dxa"/>
              <w:bottom w:w="90" w:type="dxa"/>
              <w:end w:w="120" w:type="dxa"/>
            </w:tcMar>
            <w:shd w:fill="EEF2F5"/>
          </w:tcPr>
          <w:p>
            <w:pPr>
              <w:spacing w:after="0" w:line="252" w:lineRule="auto"/>
            </w:pPr>
            <w:r/>
            <w:r>
              <w:rPr>
                <w:rFonts w:ascii="Aptos" w:hAnsi="Aptos"/>
                <w:b/>
                <w:color w:val="0C4F80"/>
                <w:sz w:val="17"/>
              </w:rPr>
              <w:t>Primary keyword</w:t>
            </w:r>
          </w:p>
        </w:tc>
        <w:tc>
          <w:tcPr>
            <w:tcW w:type="dxa" w:w="4939"/>
            <w:vAlign w:val="center"/>
            <w:tcMar>
              <w:top w:w="90" w:type="dxa"/>
              <w:start w:w="120" w:type="dxa"/>
              <w:bottom w:w="90" w:type="dxa"/>
              <w:end w:w="120" w:type="dxa"/>
            </w:tcMar>
          </w:tcPr>
          <w:p>
            <w:pPr>
              <w:spacing w:after="0" w:line="252" w:lineRule="auto"/>
            </w:pPr>
            <w:r/>
            <w:r>
              <w:rPr>
                <w:rFonts w:ascii="Aptos" w:hAnsi="Aptos"/>
                <w:b w:val="0"/>
                <w:color w:val="0B1727"/>
                <w:sz w:val="17"/>
              </w:rPr>
              <w:t>AAC plant capacity selection</w:t>
            </w:r>
          </w:p>
        </w:tc>
      </w:tr>
    </w:tbl>
    <w:p>
      <w:pPr>
        <w:pStyle w:val="Heading1"/>
      </w:pPr>
      <w:r>
        <w:t>The right capacity is a commercial balance</w:t>
      </w:r>
    </w:p>
    <w:p>
      <w:r>
        <w:t>The right AAC plant capacity is not automatically the largest plant you can finance—or the smallest plant that reduces initial investment. It is the capacity that can serve your achievable market at a competitive delivered cost, maintain healthy utilization and support future growth without unnecessary capital exposure.</w:t>
      </w:r>
    </w:p>
    <w:p>
      <w:pPr>
        <w:pStyle w:val="ListBullet"/>
      </w:pPr>
      <w:r>
        <w:t>Realistic regional demand</w:t>
      </w:r>
    </w:p>
    <w:p>
      <w:pPr>
        <w:pStyle w:val="ListBullet"/>
      </w:pPr>
      <w:r>
        <w:t>Economical delivery distance</w:t>
      </w:r>
    </w:p>
    <w:p>
      <w:pPr>
        <w:pStyle w:val="ListBullet"/>
      </w:pPr>
      <w:r>
        <w:t>Expected capacity utilization</w:t>
      </w:r>
    </w:p>
    <w:p>
      <w:pPr>
        <w:pStyle w:val="ListBullet"/>
      </w:pPr>
      <w:r>
        <w:t>Manufacturing cost per cubic metre</w:t>
      </w:r>
    </w:p>
    <w:p>
      <w:pPr>
        <w:pStyle w:val="ListBullet"/>
      </w:pPr>
      <w:r>
        <w:t>Product mix</w:t>
      </w:r>
    </w:p>
    <w:p>
      <w:pPr>
        <w:pStyle w:val="ListBullet"/>
      </w:pPr>
      <w:r>
        <w:t>Utilities and manpower</w:t>
      </w:r>
    </w:p>
    <w:p>
      <w:pPr>
        <w:pStyle w:val="ListBullet"/>
      </w:pPr>
      <w:r>
        <w:t>Working-capital requirements</w:t>
      </w:r>
    </w:p>
    <w:p>
      <w:pPr>
        <w:pStyle w:val="ListBullet"/>
      </w:pPr>
      <w:r>
        <w:t>Future expansion</w:t>
      </w:r>
    </w:p>
    <w:p>
      <w:r>
        <w:t>Capacity selection should therefore be completed before finalising machinery, automation or project investment.</w:t>
      </w:r>
    </w:p>
    <w:p>
      <w:pPr>
        <w:pStyle w:val="Heading1"/>
      </w:pPr>
      <w:r>
        <w:t>Why AAC Plant Capacity Matters</w:t>
      </w:r>
    </w:p>
    <w:p>
      <w:r>
        <w:t>Plant capacity affects land and buildings, machinery configuration, autoclaves, boiler and steam systems, electrical load, raw-material storage, manpower, working capital, manufacturing cost, delivery planning and future expansion.</w:t>
      </w:r>
    </w:p>
    <w:p>
      <w:r>
        <w:t>Selecting insufficient capacity can increase fixed cost per saleable cubic metre and restrict future competitiveness. Selecting excessive capacity can increase financing, depreciation and overhead exposure before the market is ready to absorb the output.</w:t>
      </w:r>
    </w:p>
    <w:tbl>
      <w:tblPr>
        <w:tblW w:type="auto" w:w="0"/>
        <w:jc w:val="center"/>
        <w:tblLayout w:type="fixed"/>
        <w:tblLook w:firstColumn="1" w:firstRow="1" w:lastColumn="0" w:lastRow="0" w:noHBand="0" w:noVBand="1" w:val="04A0"/>
      </w:tblPr>
      <w:tblGrid>
        <w:gridCol w:w="9648"/>
      </w:tblGrid>
      <w:tr>
        <w:tc>
          <w:tcPr>
            <w:tcW w:type="dxa" w:w="9878"/>
            <w:shd w:fill="EEF2F5"/>
            <w:tcMar>
              <w:top w:w="140" w:type="dxa"/>
              <w:start w:w="170" w:type="dxa"/>
              <w:bottom w:w="140" w:type="dxa"/>
              <w:end w:w="170" w:type="dxa"/>
            </w:tcMar>
          </w:tcPr>
          <w:p>
            <w:pPr>
              <w:spacing w:after="40"/>
            </w:pPr>
            <w:r>
              <w:rPr>
                <w:b/>
                <w:color w:val="0C4F80"/>
                <w:sz w:val="18"/>
              </w:rPr>
              <w:t xml:space="preserve">KEY PRINCIPLE  </w:t>
            </w:r>
            <w:r>
              <w:rPr>
                <w:color w:val="0B1727"/>
                <w:sz w:val="21"/>
              </w:rPr>
              <w:t>Select capacity around saleable demand and achievable plant performance—not machinery nameplate capacity alone.</w:t>
            </w:r>
          </w:p>
        </w:tc>
      </w:tr>
    </w:tbl>
    <w:p>
      <w:pPr>
        <w:spacing w:after="0"/>
      </w:pPr>
    </w:p>
    <w:p>
      <w:pPr>
        <w:pStyle w:val="Heading1"/>
      </w:pPr>
      <w:r>
        <w:t>The Two Most Common Capacity-Selection Errors</w:t>
      </w:r>
    </w:p>
    <w:p>
      <w:pPr>
        <w:pStyle w:val="Heading2"/>
      </w:pPr>
      <w:r>
        <w:t>1. Installing a Plant That Is Too Small</w:t>
      </w:r>
    </w:p>
    <w:p>
      <w:r>
        <w:t>A smaller plant may appear safer because it requires less initial capital. However, several expenses are fixed or step-fixed within a given production range:</w:t>
      </w:r>
    </w:p>
    <w:p>
      <w:pPr>
        <w:pStyle w:val="ListBullet"/>
      </w:pPr>
      <w:r>
        <w:t>Plant management and technical supervision</w:t>
      </w:r>
    </w:p>
    <w:p>
      <w:pPr>
        <w:pStyle w:val="ListBullet"/>
      </w:pPr>
      <w:r>
        <w:t>Quality-control facilities</w:t>
      </w:r>
    </w:p>
    <w:p>
      <w:pPr>
        <w:pStyle w:val="ListBullet"/>
      </w:pPr>
      <w:r>
        <w:t>Boiler operation and maintenance organisation</w:t>
      </w:r>
    </w:p>
    <w:p>
      <w:pPr>
        <w:pStyle w:val="ListBullet"/>
      </w:pPr>
      <w:r>
        <w:t>Administration, security and factory overhead</w:t>
      </w:r>
    </w:p>
    <w:p>
      <w:pPr>
        <w:pStyle w:val="ListBullet"/>
      </w:pPr>
      <w:r>
        <w:t>Basic utility infrastructure</w:t>
      </w:r>
    </w:p>
    <w:p>
      <w:r>
        <w:t>When these costs are distributed across a lower saleable volume, fixed cost per cubic metre may increase. A smaller configuration can still be appropriate where demand is limited, capital exposure must be controlled or phased expansion is practical. It should not be selected only because its initial price is lower.</w:t>
      </w:r>
    </w:p>
    <w:p>
      <w:pPr>
        <w:pStyle w:val="Heading2"/>
      </w:pPr>
      <w:r>
        <w:t>2. Installing More Capacity Than the Market Can Absorb</w:t>
      </w:r>
    </w:p>
    <w:p>
      <w:r>
        <w:t>An oversized plant may carry higher investment, debt-service exposure, depreciation, utility infrastructure, working-capital requirements and lower early-stage utilization. Additional equipment, redundancy or automation should be included only when its operational or financial value is clear.</w:t>
      </w:r>
    </w:p>
    <w:tbl>
      <w:tblPr>
        <w:tblW w:type="auto" w:w="0"/>
        <w:jc w:val="center"/>
        <w:tblLayout w:type="fixed"/>
        <w:tblLook w:firstColumn="1" w:firstRow="1" w:lastColumn="0" w:lastRow="0" w:noHBand="0" w:noVBand="1" w:val="04A0"/>
      </w:tblPr>
      <w:tblGrid>
        <w:gridCol w:w="9648"/>
      </w:tblGrid>
      <w:tr>
        <w:tc>
          <w:tcPr>
            <w:tcW w:type="dxa" w:w="9878"/>
            <w:shd w:fill="EEF2F5"/>
            <w:tcMar>
              <w:top w:w="140" w:type="dxa"/>
              <w:start w:w="170" w:type="dxa"/>
              <w:bottom w:w="140" w:type="dxa"/>
              <w:end w:w="170" w:type="dxa"/>
            </w:tcMar>
          </w:tcPr>
          <w:p>
            <w:pPr>
              <w:spacing w:after="40"/>
            </w:pPr>
            <w:r>
              <w:rPr>
                <w:b/>
                <w:color w:val="0C4F80"/>
                <w:sz w:val="18"/>
              </w:rPr>
              <w:t xml:space="preserve">DECISION QUESTION  </w:t>
            </w:r>
            <w:r>
              <w:rPr>
                <w:color w:val="0B1727"/>
                <w:sz w:val="21"/>
              </w:rPr>
              <w:t>What capacity can our market absorb at a competitive delivered cost—and how should the plant expand as demand grows?</w:t>
            </w:r>
          </w:p>
        </w:tc>
      </w:tr>
    </w:tbl>
    <w:p>
      <w:pPr>
        <w:spacing w:after="0"/>
      </w:pPr>
    </w:p>
    <w:p>
      <w:pPr>
        <w:pStyle w:val="Heading1"/>
      </w:pPr>
      <w:r>
        <w:t>Rated Capacity Is Not Saleable Production</w:t>
      </w:r>
    </w:p>
    <w:p>
      <w:pPr>
        <w:pStyle w:val="Heading2"/>
      </w:pPr>
      <w:r>
        <w:t>Rated capacity</w:t>
      </w:r>
    </w:p>
    <w:p>
      <w:r>
        <w:t>The theoretical production capability stated for the configured plant under defined operating conditions.</w:t>
      </w:r>
    </w:p>
    <w:p>
      <w:pPr>
        <w:pStyle w:val="Heading2"/>
      </w:pPr>
      <w:r>
        <w:t>Achievable production</w:t>
      </w:r>
    </w:p>
    <w:p>
      <w:r>
        <w:t>Output reasonably expected after operating hours, shifts, maintenance, raw-material availability, process stability, equipment availability, product changeovers and operator capability are considered.</w:t>
      </w:r>
    </w:p>
    <w:p>
      <w:pPr>
        <w:pStyle w:val="Heading2"/>
      </w:pPr>
      <w:r>
        <w:t>Saleable production</w:t>
      </w:r>
    </w:p>
    <w:p>
      <w:r>
        <w:t>Finished volume available for dispatch after process loss, rejection, damage and quality-related holding. Financial feasibility should be based primarily on realistic saleable production—not rated capacity alone.</w:t>
      </w:r>
    </w:p>
    <w:p>
      <w:pPr>
        <w:pStyle w:val="Heading1"/>
      </w:pPr>
      <w:r>
        <w:t>Seven Inputs Required Before Selecting Capacity</w:t>
      </w:r>
    </w:p>
    <w:p>
      <w:pPr>
        <w:pStyle w:val="Heading2"/>
      </w:pPr>
      <w:r>
        <w:t>1. Achievable Market Demand</w:t>
      </w:r>
    </w:p>
    <w:p>
      <w:r>
        <w:t>Capacity should be based on volume that can realistically be sold in the intended market—not on national or state-level demand alone. Assess current AAC consumption, construction activity, dealer capability, institutional demand, existing suppliers, competitor capacity, alternative walling materials, expected growth and seasonality. Customer discussions, dealer mapping and project pipelines are more useful than general market-growth claims.</w:t>
      </w:r>
    </w:p>
    <w:p>
      <w:pPr>
        <w:pStyle w:val="Heading2"/>
      </w:pPr>
      <w:r>
        <w:t>2. Economical Delivery Radius</w:t>
      </w:r>
    </w:p>
    <w:p>
      <w:r>
        <w:t>AAC is a high-volume product, so freight can materially affect delivered cost. Evaluate demand by distance band rather than treating the entire region as one market. The viable radius varies with location, freight rates, vehicle utilization, selling price and competition; a universal delivery-distance claim should not be used.</w:t>
      </w:r>
    </w:p>
    <w:p>
      <w:pPr>
        <w:pStyle w:val="Heading2"/>
      </w:pPr>
      <w:r>
        <w:t>3. Operating Days and Shifts</w:t>
      </w:r>
    </w:p>
    <w:p>
      <w:r>
        <w:t>Define planned operating days, shifts, working hours, maintenance shutdowns, expected equipment availability and seasonal restrictions. A daily capacity statement without these assumptions can be misleading.</w:t>
      </w:r>
    </w:p>
    <w:p>
      <w:pPr>
        <w:pStyle w:val="Heading2"/>
      </w:pPr>
      <w:r>
        <w:t>4. Expected Capacity Utilization</w:t>
      </w:r>
    </w:p>
    <w:p>
      <w:r>
        <w:t>Commissioning, product stabilization, team development, dealer activation and market penetration require time. Test conservative, base and high-demand scenarios rather than assuming immediate full utilization. Assumptions should come from the investor’s sales plan and verified operating experience.</w:t>
      </w:r>
    </w:p>
    <w:p>
      <w:pPr>
        <w:pStyle w:val="Heading2"/>
      </w:pPr>
      <w:r>
        <w:t>5. Saleable Yield</w:t>
      </w:r>
    </w:p>
    <w:p>
      <w:r>
        <w:t>Consider cutting waste, handling damage, rejection, breakage, quality-related holding and start-up or shutdown losses. Use only technically verified project assumptions.</w:t>
      </w:r>
    </w:p>
    <w:p>
      <w:pPr>
        <w:pStyle w:val="Heading2"/>
      </w:pPr>
      <w:r>
        <w:t>6. Product Mix</w:t>
      </w:r>
    </w:p>
    <w:p>
      <w:r>
        <w:t>Standard blocks differ from panels, lintels, U-blocks and special profiles. Panel production can affect reinforcement preparation, mould scheduling, cutting, handling, curing, separation, storage and dispatch. Future panel plans may influence the initial layout even when equipment is added later.</w:t>
      </w:r>
    </w:p>
    <w:p>
      <w:pPr>
        <w:pStyle w:val="Heading2"/>
      </w:pPr>
      <w:r>
        <w:t>7. Expansion Strategy</w:t>
      </w:r>
    </w:p>
    <w:p>
      <w:r>
        <w:t>Check the future throughput of raw-material preparation, slurry storage, batching, mould circulation, pre-curing, cutting, autoclaves, boiler and steam distribution, packing, electrical infrastructure and factory layout. Expansion space alone is not sufficient.</w:t>
      </w:r>
    </w:p>
    <w:p>
      <w:pPr>
        <w:pStyle w:val="Heading1"/>
      </w:pPr>
      <w:r>
        <w:t>A Practical AAC Plant Capacity Calculation</w:t>
      </w:r>
    </w:p>
    <w:p>
      <w:r>
        <w:t>A preliminary rated-capacity requirement can be estimated from annual or monthly saleable demand:</w:t>
      </w:r>
    </w:p>
    <w:tbl>
      <w:tblPr>
        <w:tblW w:type="auto" w:w="0"/>
        <w:jc w:val="center"/>
        <w:tblLayout w:type="fixed"/>
        <w:tblLook w:firstColumn="1" w:firstRow="1" w:lastColumn="0" w:lastRow="0" w:noHBand="0" w:noVBand="1" w:val="04A0"/>
      </w:tblPr>
      <w:tblGrid>
        <w:gridCol w:w="9878"/>
      </w:tblGrid>
      <w:tr>
        <w:tc>
          <w:tcPr>
            <w:tcW w:type="dxa" w:w="9878"/>
            <w:shd w:fill="0B1727"/>
            <w:tcMar>
              <w:top w:w="160" w:type="dxa"/>
              <w:start w:w="170" w:type="dxa"/>
              <w:bottom w:w="160" w:type="dxa"/>
              <w:end w:w="170" w:type="dxa"/>
            </w:tcMar>
          </w:tcPr>
          <w:p>
            <w:pPr>
              <w:spacing w:after="0"/>
              <w:jc w:val="center"/>
            </w:pPr>
            <w:r>
              <w:rPr>
                <w:rFonts w:ascii="Aptos" w:hAnsi="Aptos"/>
                <w:b/>
                <w:color w:val="FFFFFF"/>
                <w:sz w:val="22"/>
              </w:rPr>
              <w:t>Required rated capacity/day = Target annual saleable volume ÷ (Operating days/year × Expected utilization × Saleable yield)</w:t>
            </w:r>
          </w:p>
        </w:tc>
      </w:tr>
    </w:tbl>
    <w:p>
      <w:pPr>
        <w:spacing w:after="0"/>
      </w:pPr>
    </w:p>
    <w:tbl>
      <w:tblPr>
        <w:tblW w:type="auto" w:w="0"/>
        <w:jc w:val="center"/>
        <w:tblLayout w:type="fixed"/>
        <w:tblLook w:firstColumn="1" w:firstRow="1" w:lastColumn="0" w:lastRow="0" w:noHBand="0" w:noVBand="1" w:val="04A0"/>
      </w:tblPr>
      <w:tblGrid>
        <w:gridCol w:w="9878"/>
      </w:tblGrid>
      <w:tr>
        <w:tc>
          <w:tcPr>
            <w:tcW w:type="dxa" w:w="9878"/>
            <w:shd w:fill="0B1727"/>
            <w:tcMar>
              <w:top w:w="160" w:type="dxa"/>
              <w:start w:w="170" w:type="dxa"/>
              <w:bottom w:w="160" w:type="dxa"/>
              <w:end w:w="170" w:type="dxa"/>
            </w:tcMar>
          </w:tcPr>
          <w:p>
            <w:pPr>
              <w:spacing w:after="0"/>
              <w:jc w:val="center"/>
            </w:pPr>
            <w:r>
              <w:rPr>
                <w:rFonts w:ascii="Aptos" w:hAnsi="Aptos"/>
                <w:b/>
                <w:color w:val="FFFFFF"/>
                <w:sz w:val="22"/>
              </w:rPr>
              <w:t>Required rated capacity/day = Target monthly saleable volume ÷ (Operating days/month × Expected utilization × Saleable yield)</w:t>
            </w:r>
          </w:p>
        </w:tc>
      </w:tr>
    </w:tbl>
    <w:p>
      <w:pPr>
        <w:spacing w:after="0"/>
      </w:pPr>
    </w:p>
    <w:p>
      <w:pPr>
        <w:pStyle w:val="Heading2"/>
      </w:pPr>
      <w:r>
        <w:t>Inputs must be stated clearly</w:t>
      </w:r>
    </w:p>
    <w:p>
      <w:pPr>
        <w:pStyle w:val="ListBullet"/>
      </w:pPr>
      <w:r>
        <w:t>Target saleable volume: realistically achievable customer demand</w:t>
      </w:r>
    </w:p>
    <w:p>
      <w:pPr>
        <w:pStyle w:val="ListBullet"/>
      </w:pPr>
      <w:r>
        <w:t>Operating days: production days after maintenance and shutdowns</w:t>
      </w:r>
    </w:p>
    <w:p>
      <w:pPr>
        <w:pStyle w:val="ListBullet"/>
      </w:pPr>
      <w:r>
        <w:t>Utilization: expected use of rated capacity</w:t>
      </w:r>
    </w:p>
    <w:p>
      <w:pPr>
        <w:pStyle w:val="ListBullet"/>
      </w:pPr>
      <w:r>
        <w:t>Saleable yield: finished output after verified process losses</w:t>
      </w:r>
    </w:p>
    <w:p>
      <w:r>
        <w:t>This is a preliminary estimate. Final selection must also account for seasonality, product mix, bottlenecks, utilities, storage, dispatch and expansion.</w:t>
      </w:r>
    </w:p>
    <w:tbl>
      <w:tblPr>
        <w:tblW w:type="auto" w:w="0"/>
        <w:jc w:val="center"/>
        <w:tblLayout w:type="fixed"/>
        <w:tblLook w:firstColumn="1" w:firstRow="1" w:lastColumn="0" w:lastRow="0" w:noHBand="0" w:noVBand="1" w:val="04A0"/>
      </w:tblPr>
      <w:tblGrid>
        <w:gridCol w:w="9648"/>
      </w:tblGrid>
      <w:tr>
        <w:tc>
          <w:tcPr>
            <w:tcW w:type="dxa" w:w="9878"/>
            <w:shd w:fill="EEF2F5"/>
            <w:tcMar>
              <w:top w:w="140" w:type="dxa"/>
              <w:start w:w="170" w:type="dxa"/>
              <w:bottom w:w="140" w:type="dxa"/>
              <w:end w:w="170" w:type="dxa"/>
            </w:tcMar>
          </w:tcPr>
          <w:p>
            <w:pPr>
              <w:spacing w:after="40"/>
            </w:pPr>
            <w:r>
              <w:rPr>
                <w:b/>
                <w:color w:val="0C4F80"/>
                <w:sz w:val="18"/>
              </w:rPr>
              <w:t xml:space="preserve">IMPORTANT  </w:t>
            </w:r>
            <w:r>
              <w:rPr>
                <w:color w:val="0B1727"/>
                <w:sz w:val="21"/>
              </w:rPr>
              <w:t>Do not add an arbitrary percentage as “future capacity.” Model a defined expansion scenario with a probable time period and measurable demand trigger.</w:t>
            </w:r>
          </w:p>
        </w:tc>
      </w:tr>
    </w:tbl>
    <w:p>
      <w:pPr>
        <w:spacing w:after="0"/>
      </w:pPr>
    </w:p>
    <w:p>
      <w:pPr>
        <w:pStyle w:val="Heading1"/>
      </w:pPr>
      <w:r>
        <w:t>Compare Capacity Strategies—Not Just Capacity Numbers</w:t>
      </w:r>
    </w:p>
    <w:tbl>
      <w:tblPr>
        <w:tblW w:type="auto" w:w="0"/>
        <w:jc w:val="center"/>
        <w:tblLayout w:type="fixed"/>
        <w:tblLook w:firstColumn="1" w:firstRow="1" w:lastColumn="0" w:lastRow="0" w:noHBand="0" w:noVBand="1" w:val="04A0"/>
        <w:tblBorders>
          <w:top w:val="single" w:sz="6" w:color="CAD3DA"/>
          <w:left w:val="single" w:sz="6" w:color="CAD3DA"/>
          <w:bottom w:val="single" w:sz="6" w:color="CAD3DA"/>
          <w:right w:val="single" w:sz="6" w:color="CAD3DA"/>
          <w:insideH w:val="single" w:sz="6" w:color="CAD3DA"/>
          <w:insideV w:val="single" w:sz="6" w:color="CAD3DA"/>
        </w:tblBorders>
      </w:tblPr>
      <w:tblGrid>
        <w:gridCol w:w="1800"/>
        <w:gridCol w:w="2376"/>
        <w:gridCol w:w="2376"/>
        <w:gridCol w:w="3096"/>
      </w:tblGrid>
      <w:tr>
        <w:tc>
          <w:tcPr>
            <w:tcW w:type="dxa" w:w="2469"/>
            <w:vAlign w:val="center"/>
            <w:tcMar>
              <w:top w:w="90" w:type="dxa"/>
              <w:start w:w="120" w:type="dxa"/>
              <w:bottom w:w="90" w:type="dxa"/>
              <w:end w:w="120" w:type="dxa"/>
            </w:tcMar>
            <w:shd w:fill="0B1727"/>
          </w:tcPr>
          <w:p>
            <w:pPr>
              <w:spacing w:after="0" w:line="252" w:lineRule="auto"/>
            </w:pPr>
            <w:r/>
            <w:r>
              <w:rPr>
                <w:rFonts w:ascii="Aptos" w:hAnsi="Aptos"/>
                <w:b/>
                <w:color w:val="FFFFFF"/>
                <w:sz w:val="17"/>
              </w:rPr>
              <w:t>Strategy</w:t>
            </w:r>
          </w:p>
        </w:tc>
        <w:tc>
          <w:tcPr>
            <w:tcW w:type="dxa" w:w="2469"/>
            <w:vAlign w:val="center"/>
            <w:tcMar>
              <w:top w:w="90" w:type="dxa"/>
              <w:start w:w="120" w:type="dxa"/>
              <w:bottom w:w="90" w:type="dxa"/>
              <w:end w:w="120" w:type="dxa"/>
            </w:tcMar>
            <w:shd w:fill="0B1727"/>
          </w:tcPr>
          <w:p>
            <w:pPr>
              <w:spacing w:after="0" w:line="252" w:lineRule="auto"/>
            </w:pPr>
            <w:r/>
            <w:r>
              <w:rPr>
                <w:rFonts w:ascii="Aptos" w:hAnsi="Aptos"/>
                <w:b/>
                <w:color w:val="FFFFFF"/>
                <w:sz w:val="17"/>
              </w:rPr>
              <w:t>Potential advantage</w:t>
            </w:r>
          </w:p>
        </w:tc>
        <w:tc>
          <w:tcPr>
            <w:tcW w:type="dxa" w:w="2469"/>
            <w:vAlign w:val="center"/>
            <w:tcMar>
              <w:top w:w="90" w:type="dxa"/>
              <w:start w:w="120" w:type="dxa"/>
              <w:bottom w:w="90" w:type="dxa"/>
              <w:end w:w="120" w:type="dxa"/>
            </w:tcMar>
            <w:shd w:fill="0B1727"/>
          </w:tcPr>
          <w:p>
            <w:pPr>
              <w:spacing w:after="0" w:line="252" w:lineRule="auto"/>
            </w:pPr>
            <w:r/>
            <w:r>
              <w:rPr>
                <w:rFonts w:ascii="Aptos" w:hAnsi="Aptos"/>
                <w:b/>
                <w:color w:val="FFFFFF"/>
                <w:sz w:val="17"/>
              </w:rPr>
              <w:t>Principal risk</w:t>
            </w:r>
          </w:p>
        </w:tc>
        <w:tc>
          <w:tcPr>
            <w:tcW w:type="dxa" w:w="2469"/>
            <w:vAlign w:val="center"/>
            <w:tcMar>
              <w:top w:w="90" w:type="dxa"/>
              <w:start w:w="120" w:type="dxa"/>
              <w:bottom w:w="90" w:type="dxa"/>
              <w:end w:w="120" w:type="dxa"/>
            </w:tcMar>
            <w:shd w:fill="0B1727"/>
          </w:tcPr>
          <w:p>
            <w:pPr>
              <w:spacing w:after="0" w:line="252" w:lineRule="auto"/>
            </w:pPr>
            <w:r/>
            <w:r>
              <w:rPr>
                <w:rFonts w:ascii="Aptos" w:hAnsi="Aptos"/>
                <w:b/>
                <w:color w:val="FFFFFF"/>
                <w:sz w:val="17"/>
              </w:rPr>
              <w:t>May be appropriate when</w:t>
            </w:r>
          </w:p>
        </w:tc>
      </w:tr>
      <w:tr>
        <w:tc>
          <w:tcPr>
            <w:tcW w:type="dxa" w:w="2469"/>
            <w:vAlign w:val="center"/>
            <w:tcMar>
              <w:top w:w="90" w:type="dxa"/>
              <w:start w:w="120" w:type="dxa"/>
              <w:bottom w:w="90" w:type="dxa"/>
              <w:end w:w="120" w:type="dxa"/>
            </w:tcMar>
          </w:tcPr>
          <w:p>
            <w:pPr>
              <w:spacing w:after="0" w:line="252" w:lineRule="auto"/>
            </w:pPr>
            <w:r/>
            <w:r>
              <w:rPr>
                <w:rFonts w:ascii="Aptos" w:hAnsi="Aptos"/>
                <w:b/>
                <w:color w:val="0C4F80"/>
                <w:sz w:val="16"/>
              </w:rPr>
              <w:t>Smaller initial plant</w:t>
            </w:r>
          </w:p>
        </w:tc>
        <w:tc>
          <w:tcPr>
            <w:tcW w:type="dxa" w:w="2469"/>
            <w:vAlign w:val="center"/>
            <w:tcMar>
              <w:top w:w="90" w:type="dxa"/>
              <w:start w:w="120" w:type="dxa"/>
              <w:bottom w:w="90" w:type="dxa"/>
              <w:end w:w="120" w:type="dxa"/>
            </w:tcMar>
          </w:tcPr>
          <w:p>
            <w:pPr>
              <w:spacing w:after="0" w:line="252" w:lineRule="auto"/>
            </w:pPr>
            <w:r/>
            <w:r>
              <w:rPr>
                <w:rFonts w:ascii="Aptos" w:hAnsi="Aptos"/>
                <w:b w:val="0"/>
                <w:color w:val="0B1727"/>
                <w:sz w:val="16"/>
              </w:rPr>
              <w:t>Lower initial capital exposure</w:t>
            </w:r>
          </w:p>
        </w:tc>
        <w:tc>
          <w:tcPr>
            <w:tcW w:type="dxa" w:w="2469"/>
            <w:vAlign w:val="center"/>
            <w:tcMar>
              <w:top w:w="90" w:type="dxa"/>
              <w:start w:w="120" w:type="dxa"/>
              <w:bottom w:w="90" w:type="dxa"/>
              <w:end w:w="120" w:type="dxa"/>
            </w:tcMar>
          </w:tcPr>
          <w:p>
            <w:pPr>
              <w:spacing w:after="0" w:line="252" w:lineRule="auto"/>
            </w:pPr>
            <w:r/>
            <w:r>
              <w:rPr>
                <w:rFonts w:ascii="Aptos" w:hAnsi="Aptos"/>
                <w:b w:val="0"/>
                <w:color w:val="0B1727"/>
                <w:sz w:val="16"/>
              </w:rPr>
              <w:t>Higher unit cost or restricted growth if demand rises</w:t>
            </w:r>
          </w:p>
        </w:tc>
        <w:tc>
          <w:tcPr>
            <w:tcW w:type="dxa" w:w="2469"/>
            <w:vAlign w:val="center"/>
            <w:tcMar>
              <w:top w:w="90" w:type="dxa"/>
              <w:start w:w="120" w:type="dxa"/>
              <w:bottom w:w="90" w:type="dxa"/>
              <w:end w:w="120" w:type="dxa"/>
            </w:tcMar>
          </w:tcPr>
          <w:p>
            <w:pPr>
              <w:spacing w:after="0" w:line="252" w:lineRule="auto"/>
            </w:pPr>
            <w:r/>
            <w:r>
              <w:rPr>
                <w:rFonts w:ascii="Aptos" w:hAnsi="Aptos"/>
                <w:b w:val="0"/>
                <w:color w:val="0B1727"/>
                <w:sz w:val="16"/>
              </w:rPr>
              <w:t>Demand is limited and expansion is technically practical</w:t>
            </w:r>
          </w:p>
        </w:tc>
      </w:tr>
      <w:tr>
        <w:tc>
          <w:tcPr>
            <w:tcW w:type="dxa" w:w="2469"/>
            <w:vAlign w:val="center"/>
            <w:tcMar>
              <w:top w:w="90" w:type="dxa"/>
              <w:start w:w="120" w:type="dxa"/>
              <w:bottom w:w="90" w:type="dxa"/>
              <w:end w:w="120" w:type="dxa"/>
            </w:tcMar>
          </w:tcPr>
          <w:p>
            <w:pPr>
              <w:spacing w:after="0" w:line="252" w:lineRule="auto"/>
            </w:pPr>
            <w:r/>
            <w:r>
              <w:rPr>
                <w:rFonts w:ascii="Aptos" w:hAnsi="Aptos"/>
                <w:b/>
                <w:color w:val="0C4F80"/>
                <w:sz w:val="16"/>
              </w:rPr>
              <w:t>Balanced commercial plant</w:t>
            </w:r>
          </w:p>
        </w:tc>
        <w:tc>
          <w:tcPr>
            <w:tcW w:type="dxa" w:w="2469"/>
            <w:vAlign w:val="center"/>
            <w:tcMar>
              <w:top w:w="90" w:type="dxa"/>
              <w:start w:w="120" w:type="dxa"/>
              <w:bottom w:w="90" w:type="dxa"/>
              <w:end w:w="120" w:type="dxa"/>
            </w:tcMar>
          </w:tcPr>
          <w:p>
            <w:pPr>
              <w:spacing w:after="0" w:line="252" w:lineRule="auto"/>
            </w:pPr>
            <w:r/>
            <w:r>
              <w:rPr>
                <w:rFonts w:ascii="Aptos" w:hAnsi="Aptos"/>
                <w:b w:val="0"/>
                <w:color w:val="0B1727"/>
                <w:sz w:val="16"/>
              </w:rPr>
              <w:t>Better alignment of investment and demand</w:t>
            </w:r>
          </w:p>
        </w:tc>
        <w:tc>
          <w:tcPr>
            <w:tcW w:type="dxa" w:w="2469"/>
            <w:vAlign w:val="center"/>
            <w:tcMar>
              <w:top w:w="90" w:type="dxa"/>
              <w:start w:w="120" w:type="dxa"/>
              <w:bottom w:w="90" w:type="dxa"/>
              <w:end w:w="120" w:type="dxa"/>
            </w:tcMar>
          </w:tcPr>
          <w:p>
            <w:pPr>
              <w:spacing w:after="0" w:line="252" w:lineRule="auto"/>
            </w:pPr>
            <w:r/>
            <w:r>
              <w:rPr>
                <w:rFonts w:ascii="Aptos" w:hAnsi="Aptos"/>
                <w:b w:val="0"/>
                <w:color w:val="0B1727"/>
                <w:sz w:val="16"/>
              </w:rPr>
              <w:t>Requires reliable feasibility assumptions</w:t>
            </w:r>
          </w:p>
        </w:tc>
        <w:tc>
          <w:tcPr>
            <w:tcW w:type="dxa" w:w="2469"/>
            <w:vAlign w:val="center"/>
            <w:tcMar>
              <w:top w:w="90" w:type="dxa"/>
              <w:start w:w="120" w:type="dxa"/>
              <w:bottom w:w="90" w:type="dxa"/>
              <w:end w:w="120" w:type="dxa"/>
            </w:tcMar>
          </w:tcPr>
          <w:p>
            <w:pPr>
              <w:spacing w:after="0" w:line="252" w:lineRule="auto"/>
            </w:pPr>
            <w:r/>
            <w:r>
              <w:rPr>
                <w:rFonts w:ascii="Aptos" w:hAnsi="Aptos"/>
                <w:b w:val="0"/>
                <w:color w:val="0B1727"/>
                <w:sz w:val="16"/>
              </w:rPr>
              <w:t>Regional demand and sales capability are reasonably established</w:t>
            </w:r>
          </w:p>
        </w:tc>
      </w:tr>
      <w:tr>
        <w:tc>
          <w:tcPr>
            <w:tcW w:type="dxa" w:w="2469"/>
            <w:vAlign w:val="center"/>
            <w:tcMar>
              <w:top w:w="90" w:type="dxa"/>
              <w:start w:w="120" w:type="dxa"/>
              <w:bottom w:w="90" w:type="dxa"/>
              <w:end w:w="120" w:type="dxa"/>
            </w:tcMar>
          </w:tcPr>
          <w:p>
            <w:pPr>
              <w:spacing w:after="0" w:line="252" w:lineRule="auto"/>
            </w:pPr>
            <w:r/>
            <w:r>
              <w:rPr>
                <w:rFonts w:ascii="Aptos" w:hAnsi="Aptos"/>
                <w:b/>
                <w:color w:val="0C4F80"/>
                <w:sz w:val="16"/>
              </w:rPr>
              <w:t>Expansion-ready plant</w:t>
            </w:r>
          </w:p>
        </w:tc>
        <w:tc>
          <w:tcPr>
            <w:tcW w:type="dxa" w:w="2469"/>
            <w:vAlign w:val="center"/>
            <w:tcMar>
              <w:top w:w="90" w:type="dxa"/>
              <w:start w:w="120" w:type="dxa"/>
              <w:bottom w:w="90" w:type="dxa"/>
              <w:end w:w="120" w:type="dxa"/>
            </w:tcMar>
          </w:tcPr>
          <w:p>
            <w:pPr>
              <w:spacing w:after="0" w:line="252" w:lineRule="auto"/>
            </w:pPr>
            <w:r/>
            <w:r>
              <w:rPr>
                <w:rFonts w:ascii="Aptos" w:hAnsi="Aptos"/>
                <w:b w:val="0"/>
                <w:color w:val="0B1727"/>
                <w:sz w:val="16"/>
              </w:rPr>
              <w:t>Controls initial equipment investment while preserving growth</w:t>
            </w:r>
          </w:p>
        </w:tc>
        <w:tc>
          <w:tcPr>
            <w:tcW w:type="dxa" w:w="2469"/>
            <w:vAlign w:val="center"/>
            <w:tcMar>
              <w:top w:w="90" w:type="dxa"/>
              <w:start w:w="120" w:type="dxa"/>
              <w:bottom w:w="90" w:type="dxa"/>
              <w:end w:w="120" w:type="dxa"/>
            </w:tcMar>
          </w:tcPr>
          <w:p>
            <w:pPr>
              <w:spacing w:after="0" w:line="252" w:lineRule="auto"/>
            </w:pPr>
            <w:r/>
            <w:r>
              <w:rPr>
                <w:rFonts w:ascii="Aptos" w:hAnsi="Aptos"/>
                <w:b w:val="0"/>
                <w:color w:val="0B1727"/>
                <w:sz w:val="16"/>
              </w:rPr>
              <w:t>Poor Phase-1 design can make expansion disruptive</w:t>
            </w:r>
          </w:p>
        </w:tc>
        <w:tc>
          <w:tcPr>
            <w:tcW w:type="dxa" w:w="2469"/>
            <w:vAlign w:val="center"/>
            <w:tcMar>
              <w:top w:w="90" w:type="dxa"/>
              <w:start w:w="120" w:type="dxa"/>
              <w:bottom w:w="90" w:type="dxa"/>
              <w:end w:w="120" w:type="dxa"/>
            </w:tcMar>
          </w:tcPr>
          <w:p>
            <w:pPr>
              <w:spacing w:after="0" w:line="252" w:lineRule="auto"/>
            </w:pPr>
            <w:r/>
            <w:r>
              <w:rPr>
                <w:rFonts w:ascii="Aptos" w:hAnsi="Aptos"/>
                <w:b w:val="0"/>
                <w:color w:val="0B1727"/>
                <w:sz w:val="16"/>
              </w:rPr>
              <w:t>Demand is expected to grow in identifiable stages</w:t>
            </w:r>
          </w:p>
        </w:tc>
      </w:tr>
      <w:tr>
        <w:tc>
          <w:tcPr>
            <w:tcW w:type="dxa" w:w="2469"/>
            <w:vAlign w:val="center"/>
            <w:tcMar>
              <w:top w:w="90" w:type="dxa"/>
              <w:start w:w="120" w:type="dxa"/>
              <w:bottom w:w="90" w:type="dxa"/>
              <w:end w:w="120" w:type="dxa"/>
            </w:tcMar>
          </w:tcPr>
          <w:p>
            <w:pPr>
              <w:spacing w:after="0" w:line="252" w:lineRule="auto"/>
            </w:pPr>
            <w:r/>
            <w:r>
              <w:rPr>
                <w:rFonts w:ascii="Aptos" w:hAnsi="Aptos"/>
                <w:b/>
                <w:color w:val="0C4F80"/>
                <w:sz w:val="16"/>
              </w:rPr>
              <w:t>Large initial plant</w:t>
            </w:r>
          </w:p>
        </w:tc>
        <w:tc>
          <w:tcPr>
            <w:tcW w:type="dxa" w:w="2469"/>
            <w:vAlign w:val="center"/>
            <w:tcMar>
              <w:top w:w="90" w:type="dxa"/>
              <w:start w:w="120" w:type="dxa"/>
              <w:bottom w:w="90" w:type="dxa"/>
              <w:end w:w="120" w:type="dxa"/>
            </w:tcMar>
          </w:tcPr>
          <w:p>
            <w:pPr>
              <w:spacing w:after="0" w:line="252" w:lineRule="auto"/>
            </w:pPr>
            <w:r/>
            <w:r>
              <w:rPr>
                <w:rFonts w:ascii="Aptos" w:hAnsi="Aptos"/>
                <w:b w:val="0"/>
                <w:color w:val="0B1727"/>
                <w:sz w:val="16"/>
              </w:rPr>
              <w:t>Can serve substantial demand without early expansion</w:t>
            </w:r>
          </w:p>
        </w:tc>
        <w:tc>
          <w:tcPr>
            <w:tcW w:type="dxa" w:w="2469"/>
            <w:vAlign w:val="center"/>
            <w:tcMar>
              <w:top w:w="90" w:type="dxa"/>
              <w:start w:w="120" w:type="dxa"/>
              <w:bottom w:w="90" w:type="dxa"/>
              <w:end w:w="120" w:type="dxa"/>
            </w:tcMar>
          </w:tcPr>
          <w:p>
            <w:pPr>
              <w:spacing w:after="0" w:line="252" w:lineRule="auto"/>
            </w:pPr>
            <w:r/>
            <w:r>
              <w:rPr>
                <w:rFonts w:ascii="Aptos" w:hAnsi="Aptos"/>
                <w:b w:val="0"/>
                <w:color w:val="0B1727"/>
                <w:sz w:val="16"/>
              </w:rPr>
              <w:t>Low utilization and high financial exposure</w:t>
            </w:r>
          </w:p>
        </w:tc>
        <w:tc>
          <w:tcPr>
            <w:tcW w:type="dxa" w:w="2469"/>
            <w:vAlign w:val="center"/>
            <w:tcMar>
              <w:top w:w="90" w:type="dxa"/>
              <w:start w:w="120" w:type="dxa"/>
              <w:bottom w:w="90" w:type="dxa"/>
              <w:end w:w="120" w:type="dxa"/>
            </w:tcMar>
          </w:tcPr>
          <w:p>
            <w:pPr>
              <w:spacing w:after="0" w:line="252" w:lineRule="auto"/>
            </w:pPr>
            <w:r/>
            <w:r>
              <w:rPr>
                <w:rFonts w:ascii="Aptos" w:hAnsi="Aptos"/>
                <w:b w:val="0"/>
                <w:color w:val="0B1727"/>
                <w:sz w:val="16"/>
              </w:rPr>
              <w:t>Demand is contract-backed or strongly validated</w:t>
            </w:r>
          </w:p>
        </w:tc>
      </w:tr>
    </w:tbl>
    <w:p>
      <w:r>
        <w:t>No capacity category is universally best. Each must be tested against the same market, operating and financial assumptions.</w:t>
      </w:r>
    </w:p>
    <w:p>
      <w:pPr>
        <w:pStyle w:val="Heading1"/>
      </w:pPr>
      <w:r>
        <w:t>Equipment That Can Limit Actual Plant Output</w:t>
      </w:r>
    </w:p>
    <w:p>
      <w:r>
        <w:t>AAC production is interconnected. Actual capacity is determined by the weakest or least-available stage—not by one machine.</w:t>
      </w:r>
    </w:p>
    <w:p>
      <w:pPr>
        <w:pStyle w:val="Heading2"/>
      </w:pPr>
      <w:r>
        <w:t>Raw-material preparation</w:t>
      </w:r>
    </w:p>
    <w:p>
      <w:r>
        <w:t>Grinding, slurry preparation, storage and dosing must support the required production rate and raw-material characteristics.</w:t>
      </w:r>
    </w:p>
    <w:p>
      <w:pPr>
        <w:pStyle w:val="Heading2"/>
      </w:pPr>
      <w:r>
        <w:t>Batching and casting</w:t>
      </w:r>
    </w:p>
    <w:p>
      <w:r>
        <w:t>Mixer capacity, mould volume, batching-cycle time and mould availability must be balanced.</w:t>
      </w:r>
    </w:p>
    <w:p>
      <w:pPr>
        <w:pStyle w:val="Heading2"/>
      </w:pPr>
      <w:r>
        <w:t>Pre-curing and cutting</w:t>
      </w:r>
    </w:p>
    <w:p>
      <w:r>
        <w:t>Pre-curing time, available space, cake stability and cutting-cycle capacity can restrict production.</w:t>
      </w:r>
    </w:p>
    <w:p>
      <w:pPr>
        <w:pStyle w:val="Heading2"/>
      </w:pPr>
      <w:r>
        <w:t>Autoclaving</w:t>
      </w:r>
    </w:p>
    <w:p>
      <w:r>
        <w:t>Review autoclave size and quantity, loading arrangement, volume per cycle, cycle duration, loading coordination and steam availability.</w:t>
      </w:r>
    </w:p>
    <w:p>
      <w:pPr>
        <w:pStyle w:val="Heading2"/>
      </w:pPr>
      <w:r>
        <w:t>Boiler and steam system</w:t>
      </w:r>
    </w:p>
    <w:p>
      <w:r>
        <w:t>The steam system must support the autoclaving schedule without pressure, timing or energy-management constraints.</w:t>
      </w:r>
    </w:p>
    <w:p>
      <w:pPr>
        <w:pStyle w:val="Heading2"/>
      </w:pPr>
      <w:r>
        <w:t>Packing and dispatch</w:t>
      </w:r>
    </w:p>
    <w:p>
      <w:r>
        <w:t>Separation, palletising, storage and vehicle loading must keep pace with production to prevent congestion.</w:t>
      </w:r>
    </w:p>
    <w:p>
      <w:r>
        <w:t>A professional capacity study should prepare a stage-by-stage production balance for the complete plant.</w:t>
      </w:r>
    </w:p>
    <w:p>
      <w:pPr>
        <w:pStyle w:val="Heading1"/>
      </w:pPr>
      <w:r>
        <w:t>Capacity Must Be Evaluated Through Production Economics</w:t>
      </w:r>
    </w:p>
    <w:p>
      <w:r>
        <w:t>The lowest machinery price does not necessarily produce the lowest manufacturing cost. The most advanced configuration does not automatically deliver the best financial result.</w:t>
      </w:r>
    </w:p>
    <w:p>
      <w:pPr>
        <w:pStyle w:val="Heading2"/>
      </w:pPr>
      <w:r>
        <w:t>Fixed or step-fixed costs</w:t>
      </w:r>
    </w:p>
    <w:p>
      <w:pPr>
        <w:pStyle w:val="ListBullet"/>
      </w:pPr>
      <w:r>
        <w:t>Finance and depreciation</w:t>
      </w:r>
    </w:p>
    <w:p>
      <w:pPr>
        <w:pStyle w:val="ListBullet"/>
      </w:pPr>
      <w:r>
        <w:t>Management and technical supervision</w:t>
      </w:r>
    </w:p>
    <w:p>
      <w:pPr>
        <w:pStyle w:val="ListBullet"/>
      </w:pPr>
      <w:r>
        <w:t>Maintenance organisation</w:t>
      </w:r>
    </w:p>
    <w:p>
      <w:pPr>
        <w:pStyle w:val="ListBullet"/>
      </w:pPr>
      <w:r>
        <w:t>Quality-control infrastructure</w:t>
      </w:r>
    </w:p>
    <w:p>
      <w:pPr>
        <w:pStyle w:val="ListBullet"/>
      </w:pPr>
      <w:r>
        <w:t>Administration and factory overhead</w:t>
      </w:r>
    </w:p>
    <w:p>
      <w:pPr>
        <w:pStyle w:val="Heading2"/>
      </w:pPr>
      <w:r>
        <w:t>Variable costs</w:t>
      </w:r>
    </w:p>
    <w:p>
      <w:pPr>
        <w:pStyle w:val="ListBullet"/>
      </w:pPr>
      <w:r>
        <w:t>Raw materials</w:t>
      </w:r>
    </w:p>
    <w:p>
      <w:pPr>
        <w:pStyle w:val="ListBullet"/>
      </w:pPr>
      <w:r>
        <w:t>Fuel, steam and power</w:t>
      </w:r>
    </w:p>
    <w:p>
      <w:pPr>
        <w:pStyle w:val="ListBullet"/>
      </w:pPr>
      <w:r>
        <w:t>Packing materials and consumables</w:t>
      </w:r>
    </w:p>
    <w:p>
      <w:pPr>
        <w:pStyle w:val="ListBullet"/>
      </w:pPr>
      <w:r>
        <w:t>Direct handling and freight</w:t>
      </w:r>
    </w:p>
    <w:p>
      <w:r>
        <w:t>Evaluate cost per saleable cubic metre, break-even volume, working capital, debt-service ability and conservative, base and expansion scenarios. The correct configuration provides competitive cost at realistic utilization—not only at maximum rated output.</w:t>
      </w:r>
    </w:p>
    <w:p>
      <w:pPr>
        <w:pStyle w:val="Heading1"/>
      </w:pPr>
      <w:r>
        <w:t>Plan Expansion Before Finalising Phase 1</w:t>
      </w:r>
    </w:p>
    <w:p>
      <w:r>
        <w:t>Expansion-ready design does not mean buying every future machine on Day One. It means identifying provisions that are difficult or expensive to change later, such as land and building layout, foundations, material flow, autoclave space, boiler-house expansion, electrical distribution, pipe routing, handling movement, storage and panel provisions.</w:t>
      </w:r>
    </w:p>
    <w:p>
      <w:r>
        <w:t>A phased plan should specify:</w:t>
      </w:r>
    </w:p>
    <w:p>
      <w:pPr>
        <w:pStyle w:val="ListNumber"/>
      </w:pPr>
      <w:r>
        <w:t>Phase-1 rated capacity</w:t>
      </w:r>
    </w:p>
    <w:p>
      <w:pPr>
        <w:pStyle w:val="ListNumber"/>
      </w:pPr>
      <w:r>
        <w:t>Expected saleable volume</w:t>
      </w:r>
    </w:p>
    <w:p>
      <w:pPr>
        <w:pStyle w:val="ListNumber"/>
      </w:pPr>
      <w:r>
        <w:t>Expansion trigger</w:t>
      </w:r>
    </w:p>
    <w:p>
      <w:pPr>
        <w:pStyle w:val="ListNumber"/>
      </w:pPr>
      <w:r>
        <w:t>Phase-2 capacity</w:t>
      </w:r>
    </w:p>
    <w:p>
      <w:pPr>
        <w:pStyle w:val="ListNumber"/>
      </w:pPr>
      <w:r>
        <w:t>Equipment and infrastructure to be added</w:t>
      </w:r>
    </w:p>
    <w:p>
      <w:pPr>
        <w:pStyle w:val="ListNumber"/>
      </w:pPr>
      <w:r>
        <w:t>Effect on production during expansion</w:t>
      </w:r>
    </w:p>
    <w:p>
      <w:pPr>
        <w:pStyle w:val="Heading1"/>
      </w:pPr>
      <w:r>
        <w:t>Common Capacity-Selection Mistakes</w:t>
      </w:r>
    </w:p>
    <w:p>
      <w:pPr>
        <w:pStyle w:val="ListBullet"/>
      </w:pPr>
      <w:r>
        <w:t>Selecting capacity from machinery price alone</w:t>
      </w:r>
    </w:p>
    <w:p>
      <w:pPr>
        <w:pStyle w:val="ListBullet"/>
      </w:pPr>
      <w:r>
        <w:t>Using national demand instead of accessible regional demand</w:t>
      </w:r>
    </w:p>
    <w:p>
      <w:pPr>
        <w:pStyle w:val="ListBullet"/>
      </w:pPr>
      <w:r>
        <w:t>Assuming rated output equals saleable output</w:t>
      </w:r>
    </w:p>
    <w:p>
      <w:pPr>
        <w:pStyle w:val="ListBullet"/>
      </w:pPr>
      <w:r>
        <w:t>Projecting full utilization immediately after commissioning</w:t>
      </w:r>
    </w:p>
    <w:p>
      <w:pPr>
        <w:pStyle w:val="ListBullet"/>
      </w:pPr>
      <w:r>
        <w:t>Ignoring freight, unloading and working capital</w:t>
      </w:r>
    </w:p>
    <w:p>
      <w:pPr>
        <w:pStyle w:val="ListBullet"/>
      </w:pPr>
      <w:r>
        <w:t>Selecting automation without assessing skilled manpower</w:t>
      </w:r>
    </w:p>
    <w:p>
      <w:pPr>
        <w:pStyle w:val="ListBullet"/>
      </w:pPr>
      <w:r>
        <w:t>Evaluating individual machines without line balancing</w:t>
      </w:r>
    </w:p>
    <w:p>
      <w:pPr>
        <w:pStyle w:val="ListBullet"/>
      </w:pPr>
      <w:r>
        <w:t>Ignoring packing and dispatch capacity</w:t>
      </w:r>
    </w:p>
    <w:p>
      <w:pPr>
        <w:pStyle w:val="ListBullet"/>
      </w:pPr>
      <w:r>
        <w:t>Oversizing utilities without financial justification</w:t>
      </w:r>
    </w:p>
    <w:p>
      <w:pPr>
        <w:pStyle w:val="ListBullet"/>
      </w:pPr>
      <w:r>
        <w:t>Purchasing Phase-2 equipment too early</w:t>
      </w:r>
    </w:p>
    <w:p>
      <w:pPr>
        <w:pStyle w:val="ListBullet"/>
      </w:pPr>
      <w:r>
        <w:t>Leaving no practical expansion route</w:t>
      </w:r>
    </w:p>
    <w:p>
      <w:pPr>
        <w:pStyle w:val="ListBullet"/>
      </w:pPr>
      <w:r>
        <w:t>Planning panels without evaluating market and process implications</w:t>
      </w:r>
    </w:p>
    <w:p>
      <w:pPr>
        <w:pStyle w:val="ListBullet"/>
      </w:pPr>
      <w:r>
        <w:t>Comparing vendors that use different capacity definitions</w:t>
      </w:r>
    </w:p>
    <w:p>
      <w:pPr>
        <w:pStyle w:val="Heading1"/>
      </w:pPr>
      <w:r>
        <w:t>Laxmi En-Fab’s Capacity-Planning Approach</w:t>
      </w:r>
    </w:p>
    <w:p>
      <w:r>
        <w:t>Laxmi En-Fab Pvt. Ltd. approaches AAC plant capacity as an engineering and commercial planning decision—not simply a machinery specification.</w:t>
      </w:r>
    </w:p>
    <w:p>
      <w:pPr>
        <w:pStyle w:val="Heading2"/>
      </w:pPr>
      <w:r>
        <w:t>Market planning</w:t>
      </w:r>
    </w:p>
    <w:p>
      <w:pPr>
        <w:pStyle w:val="ListBullet"/>
      </w:pPr>
      <w:r>
        <w:t>Target territory and achievable sales</w:t>
      </w:r>
    </w:p>
    <w:p>
      <w:pPr>
        <w:pStyle w:val="ListBullet"/>
      </w:pPr>
      <w:r>
        <w:t>Competitor presence and delivery economics</w:t>
      </w:r>
    </w:p>
    <w:p>
      <w:pPr>
        <w:pStyle w:val="ListBullet"/>
      </w:pPr>
      <w:r>
        <w:t>Block and panel requirements</w:t>
      </w:r>
    </w:p>
    <w:p>
      <w:pPr>
        <w:pStyle w:val="ListBullet"/>
      </w:pPr>
      <w:r>
        <w:t>Demand-development plan</w:t>
      </w:r>
    </w:p>
    <w:p>
      <w:pPr>
        <w:pStyle w:val="Heading2"/>
      </w:pPr>
      <w:r>
        <w:t>Process engineering</w:t>
      </w:r>
    </w:p>
    <w:p>
      <w:pPr>
        <w:pStyle w:val="ListBullet"/>
      </w:pPr>
      <w:r>
        <w:t>Raw-material route and production cycles</w:t>
      </w:r>
    </w:p>
    <w:p>
      <w:pPr>
        <w:pStyle w:val="ListBullet"/>
      </w:pPr>
      <w:r>
        <w:t>Equipment balancing and autoclave configuration</w:t>
      </w:r>
    </w:p>
    <w:p>
      <w:pPr>
        <w:pStyle w:val="ListBullet"/>
      </w:pPr>
      <w:r>
        <w:t>Steam and utility planning</w:t>
      </w:r>
    </w:p>
    <w:p>
      <w:pPr>
        <w:pStyle w:val="ListBullet"/>
      </w:pPr>
      <w:r>
        <w:t>Manpower, automation and expansion provisions</w:t>
      </w:r>
    </w:p>
    <w:p>
      <w:pPr>
        <w:pStyle w:val="Heading2"/>
      </w:pPr>
      <w:r>
        <w:t>Financial planning</w:t>
      </w:r>
    </w:p>
    <w:p>
      <w:pPr>
        <w:pStyle w:val="ListBullet"/>
      </w:pPr>
      <w:r>
        <w:t>Capital-allocation priorities</w:t>
      </w:r>
    </w:p>
    <w:p>
      <w:pPr>
        <w:pStyle w:val="ListBullet"/>
      </w:pPr>
      <w:r>
        <w:t>Fixed and variable cost</w:t>
      </w:r>
    </w:p>
    <w:p>
      <w:pPr>
        <w:pStyle w:val="ListBullet"/>
      </w:pPr>
      <w:r>
        <w:t>Cost per saleable cubic metre</w:t>
      </w:r>
    </w:p>
    <w:p>
      <w:pPr>
        <w:pStyle w:val="ListBullet"/>
      </w:pPr>
      <w:r>
        <w:t>Working capital and break-even sensitivity</w:t>
      </w:r>
    </w:p>
    <w:p>
      <w:pPr>
        <w:pStyle w:val="ListBullet"/>
      </w:pPr>
      <w:r>
        <w:t>Phased investment options</w:t>
      </w:r>
    </w:p>
    <w:p>
      <w:r>
        <w:t>The output should be a capacity recommendation supported by visible assumptions, process balancing and expansion logic—not an isolated daily-production figure.</w:t>
      </w:r>
    </w:p>
    <w:p>
      <w:pPr>
        <w:pStyle w:val="Heading1"/>
      </w:pPr>
      <w:r>
        <w:t>Frequently Asked Questions</w:t>
      </w:r>
    </w:p>
    <w:p>
      <w:pPr>
        <w:pStyle w:val="Heading2"/>
      </w:pPr>
      <w:r>
        <w:t>What is the best AAC plant capacity for a new investor?</w:t>
      </w:r>
    </w:p>
    <w:p>
      <w:r>
        <w:t>There is no universally best capacity. The choice depends on achievable demand, delivery economics, operating days, utilization, product mix, capital and expansion possibilities. A smaller plant is not automatically safer, and a larger plant is not automatically more profitable.</w:t>
      </w:r>
    </w:p>
    <w:p>
      <w:pPr>
        <w:pStyle w:val="Heading2"/>
      </w:pPr>
      <w:r>
        <w:t>Should capacity be based on current or future demand?</w:t>
      </w:r>
    </w:p>
    <w:p>
      <w:r>
        <w:t>The initial plant should be viable under realistic near-term demand while preserving a practical expansion route. Future demand should be modelled with defined triggers—not added as an unsupported growth percentage.</w:t>
      </w:r>
    </w:p>
    <w:p>
      <w:pPr>
        <w:pStyle w:val="Heading2"/>
      </w:pPr>
      <w:r>
        <w:t>Is rated capacity the same as actual production?</w:t>
      </w:r>
    </w:p>
    <w:p>
      <w:r>
        <w:t>No. Actual and saleable production are affected by utilization, maintenance, raw materials, product mix, process stability, rejection and handling losses.</w:t>
      </w:r>
    </w:p>
    <w:p>
      <w:pPr>
        <w:pStyle w:val="Heading2"/>
      </w:pPr>
      <w:r>
        <w:t>Can an AAC plant be expanded later?</w:t>
      </w:r>
    </w:p>
    <w:p>
      <w:r>
        <w:t>Many configurations can be expanded, but expandability depends on the original layout and process design. Raw-material preparation, cutting, autoclaving, steam supply, packing and utilities must all be checked.</w:t>
      </w:r>
    </w:p>
    <w:p>
      <w:pPr>
        <w:pStyle w:val="Heading2"/>
      </w:pPr>
      <w:r>
        <w:t>Does a larger plant always have a lower production cost?</w:t>
      </w:r>
    </w:p>
    <w:p>
      <w:r>
        <w:t>Not necessarily. Scale can reduce fixed cost per unit only when sufficient saleable demand and utilization are achieved. Low utilization, financing costs or excessive infrastructure can offset that benefit.</w:t>
      </w:r>
    </w:p>
    <w:p>
      <w:pPr>
        <w:pStyle w:val="Heading2"/>
      </w:pPr>
      <w:r>
        <w:t>How does transportation affect capacity selection?</w:t>
      </w:r>
    </w:p>
    <w:p>
      <w:r>
        <w:t>Transportation affects delivered cost and the market a plant can serve competitively. Capacity should be linked to demand within viable distance bands rather than total demand across a large region.</w:t>
      </w:r>
    </w:p>
    <w:p>
      <w:pPr>
        <w:pStyle w:val="Heading2"/>
      </w:pPr>
      <w:r>
        <w:t>Should AAC panel production be included from the beginning?</w:t>
      </w:r>
    </w:p>
    <w:p>
      <w:r>
        <w:t>Only after evaluating panel demand, product specifications and process requirements. Future panel plans may still influence the initial layout, material flow, reinforcement area and handling provisions.</w:t>
      </w:r>
    </w:p>
    <w:p>
      <w:pPr>
        <w:pStyle w:val="Heading2"/>
      </w:pPr>
      <w:r>
        <w:t>What is required for a preliminary capacity assessment?</w:t>
      </w:r>
    </w:p>
    <w:p>
      <w:r>
        <w:t>Proposed location, target territory, expected monthly demand, raw-material route, product mix, available land, new plant or expansion status, implementation timeline and future growth plan.</w:t>
      </w:r>
    </w:p>
    <w:p>
      <w:pPr>
        <w:pStyle w:val="Heading1"/>
      </w:pPr>
      <w:r>
        <w:t>Select Capacity Before Selecting Machinery</w:t>
      </w:r>
    </w:p>
    <w:tbl>
      <w:tblPr>
        <w:tblW w:type="auto" w:w="0"/>
        <w:jc w:val="center"/>
        <w:tblLayout w:type="fixed"/>
        <w:tblLook w:firstColumn="1" w:firstRow="1" w:lastColumn="0" w:lastRow="0" w:noHBand="0" w:noVBand="1" w:val="04A0"/>
      </w:tblPr>
      <w:tblGrid>
        <w:gridCol w:w="9648"/>
      </w:tblGrid>
      <w:tr>
        <w:tc>
          <w:tcPr>
            <w:tcW w:type="dxa" w:w="9878"/>
            <w:shd w:fill="F5F7F8"/>
            <w:tcMar>
              <w:top w:w="140" w:type="dxa"/>
              <w:start w:w="170" w:type="dxa"/>
              <w:bottom w:w="140" w:type="dxa"/>
              <w:end w:w="170" w:type="dxa"/>
            </w:tcMar>
          </w:tcPr>
          <w:p>
            <w:pPr>
              <w:spacing w:after="40"/>
            </w:pPr>
            <w:r>
              <w:rPr>
                <w:b/>
                <w:color w:val="0C4F80"/>
                <w:sz w:val="18"/>
              </w:rPr>
              <w:t xml:space="preserve">START WITH THIS QUESTION  </w:t>
            </w:r>
            <w:r>
              <w:rPr>
                <w:color w:val="0B1727"/>
                <w:sz w:val="21"/>
              </w:rPr>
              <w:t>What volume can we produce, sell and deliver competitively—and how should the plant grow with the market?</w:t>
            </w:r>
          </w:p>
        </w:tc>
      </w:tr>
    </w:tbl>
    <w:p>
      <w:pPr>
        <w:spacing w:after="0"/>
      </w:pPr>
    </w:p>
    <w:p>
      <w:r>
        <w:t>The right capacity aligns market opportunity, engineering capability and financial strength. This creates a more defensible basis for machinery selection, automation planning, utilities and investment approval.</w:t>
      </w:r>
    </w:p>
    <w:tbl>
      <w:tblPr>
        <w:tblW w:type="auto" w:w="0"/>
        <w:jc w:val="center"/>
        <w:tblLayout w:type="fixed"/>
        <w:tblLook w:firstColumn="1" w:firstRow="1" w:lastColumn="0" w:lastRow="0" w:noHBand="0" w:noVBand="1" w:val="04A0"/>
      </w:tblPr>
      <w:tblGrid>
        <w:gridCol w:w="9878"/>
      </w:tblGrid>
      <w:tr>
        <w:tc>
          <w:tcPr>
            <w:tcW w:type="dxa" w:w="9878"/>
            <w:shd w:fill="0C4F80"/>
            <w:tcMar>
              <w:top w:w="220" w:type="dxa"/>
              <w:start w:w="220" w:type="dxa"/>
              <w:bottom w:w="220" w:type="dxa"/>
              <w:end w:w="220" w:type="dxa"/>
            </w:tcMar>
          </w:tcPr>
          <w:p>
            <w:pPr>
              <w:spacing w:after="120"/>
            </w:pPr>
            <w:r>
              <w:rPr>
                <w:b/>
                <w:color w:val="FFFFFF"/>
                <w:sz w:val="26"/>
              </w:rPr>
              <w:t>REQUEST A PRELIMINARY AAC CAPACITY ASSESSMENT</w:t>
            </w:r>
          </w:p>
          <w:p>
            <w:pPr>
              <w:spacing w:after="120"/>
            </w:pPr>
            <w:r>
              <w:rPr>
                <w:color w:val="FFFFFF"/>
                <w:sz w:val="20"/>
              </w:rPr>
              <w:t>Share your proposed location, target market, expected monthly demand, product mix and expansion plan. Laxmi En-Fab can review the initial assumptions and help define an engineering-led capacity strategy before the plant configuration is finalised.</w:t>
            </w:r>
          </w:p>
          <w:p>
            <w:pPr>
              <w:spacing w:after="0"/>
            </w:pPr>
            <w:r>
              <w:rPr>
                <w:b/>
                <w:color w:val="FFFFFF"/>
                <w:sz w:val="19"/>
              </w:rPr>
              <w:t>Primary CTA: Request a Preliminary Capacity Assessment</w:t>
              <w:br/>
              <w:t>Secondary CTA: Download the AAC Capacity Planning Checklist</w:t>
            </w:r>
          </w:p>
        </w:tc>
      </w:tr>
    </w:tbl>
    <w:p/>
    <w:p>
      <w:pPr>
        <w:spacing w:before="120" w:after="0"/>
      </w:pPr>
      <w:r>
        <w:rPr>
          <w:b/>
          <w:color w:val="0C4F80"/>
          <w:sz w:val="16"/>
        </w:rPr>
        <w:t xml:space="preserve">TECHNICAL NOTE  </w:t>
      </w:r>
      <w:r>
        <w:rPr>
          <w:i/>
          <w:color w:val="52606D"/>
          <w:sz w:val="16"/>
        </w:rPr>
        <w:t>Capacity recommendations, production estimates and financial projections depend on project-specific assumptions, raw materials, product specifications, equipment configuration, operating practices and market conditions. Final values should be technically and commercially verified before investment.</w:t>
      </w:r>
    </w:p>
    <w:sectPr w:rsidR="00FC693F" w:rsidRPr="0006063C" w:rsidSect="00034616">
      <w:headerReference w:type="default" r:id="rId9"/>
      <w:footerReference w:type="default" r:id="rId10"/>
      <w:pgSz w:w="12240" w:h="15840"/>
      <w:pgMar w:top="1008" w:right="1181" w:bottom="936"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06D"/>
        <w:sz w:val="16"/>
      </w:rPr>
      <w:t xml:space="preserve">AAC Plant Capacity Selection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0C4F80"/>
        <w:sz w:val="17"/>
      </w:rPr>
      <w:t>LAXMI EN-FAB PVT. LTD.</w:t>
    </w:r>
    <w:r>
      <w:rPr>
        <w:color w:val="52606D"/>
        <w:sz w:val="17"/>
      </w:rPr>
      <w:t xml:space="preserve">   |   AAC ENGINEERING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color w:val="0B17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Display" w:hAnsi="Aptos Display"/>
      <w:b/>
      <w:bCs/>
      <w:color w:val="0B1727"/>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tos Display" w:hAnsi="Aptos Display"/>
      <w:b/>
      <w:bCs/>
      <w:color w:val="0C4F8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0B17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ind w:left="403" w:hanging="230"/>
      <w:contextualSpacing/>
    </w:pPr>
    <w:rPr>
      <w:rFonts w:ascii="Aptos" w:hAnsi="Aptos"/>
      <w:color w:val="0B172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ind w:left="403" w:hanging="230"/>
      <w:contextualSpacing/>
    </w:pPr>
    <w:rPr>
      <w:rFonts w:ascii="Aptos" w:hAnsi="Aptos"/>
      <w:color w:val="0B172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160"/>
    </w:pPr>
    <w:rPr>
      <w:rFonts w:ascii="Aptos" w:hAnsi="Aptos"/>
      <w:b/>
      <w:color w:val="0C4F80"/>
      <w:sz w:val="18"/>
    </w:rPr>
  </w:style>
  <w:style w:type="paragraph" w:customStyle="1" w:styleId="Lead">
    <w:name w:val="Lead"/>
    <w:pPr>
      <w:spacing w:after="200" w:line="283" w:lineRule="auto"/>
    </w:pPr>
    <w:rPr>
      <w:rFonts w:ascii="Aptos" w:hAnsi="Aptos"/>
      <w:color w:val="0B1727"/>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Plant Capacity Selection Guide for India</dc:title>
  <dc:subject>Publication-ready technical and commercial webpage content</dc:subject>
  <dc:creator>Laxmi En-Fab Pvt. Ltd.</dc:creator>
  <cp:keywords>AAC plant capacity selection, AAC plant India, plant feasibility, expansion planning</cp:keywords>
  <dc:description>Publication-ready content; project-specific values require technical and commercial verification.</dc:description>
  <cp:lastModifiedBy/>
  <cp:revision>1</cp:revision>
  <dcterms:created xsi:type="dcterms:W3CDTF">2013-12-23T23:15:00Z</dcterms:created>
  <dcterms:modified xsi:type="dcterms:W3CDTF">2013-12-23T23:15:00Z</dcterms:modified>
  <cp:category/>
</cp:coreProperties>
</file>