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b/>
          <w:i w:val="0"/>
          <w:color w:val="0C4F80"/>
          <w:sz w:val="18"/>
        </w:rPr>
        <w:t>PUBLICATION-READY WEBPAGE COPY</w:t>
      </w:r>
    </w:p>
    <w:p>
      <w:pPr>
        <w:spacing w:after="80"/>
      </w:pPr>
      <w:r>
        <w:rPr>
          <w:rFonts w:ascii="Aptos" w:hAnsi="Aptos"/>
          <w:b/>
          <w:i w:val="0"/>
          <w:color w:val="0B1727"/>
          <w:sz w:val="54"/>
        </w:rPr>
        <w:t>AAC Plant ROI &amp; Break-Even</w:t>
      </w:r>
    </w:p>
    <w:p>
      <w:pPr>
        <w:spacing w:after="280"/>
      </w:pPr>
      <w:r>
        <w:rPr>
          <w:rFonts w:ascii="Aptos" w:hAnsi="Aptos"/>
          <w:b w:val="0"/>
          <w:i w:val="0"/>
          <w:color w:val="596879"/>
          <w:sz w:val="25"/>
        </w:rPr>
        <w:t>A practical guide to testing project profitability before selecting plant capacity.</w:t>
      </w:r>
    </w:p>
    <w:tbl>
      <w:tblPr>
        <w:tblW w:type="auto" w:w="0"/>
        <w:jc w:val="center"/>
        <w:tblLayout w:type="fixed"/>
        <w:tblLook w:firstColumn="1" w:firstRow="1" w:lastColumn="0" w:lastRow="0" w:noHBand="0" w:noVBand="1" w:val="04A0"/>
      </w:tblPr>
      <w:tblGrid>
        <w:gridCol w:w="4853"/>
        <w:gridCol w:w="4853"/>
      </w:tblGrid>
      <w:tr>
        <w:trPr>
          <w:tblHeader w:val="true"/>
        </w:trPr>
        <w:tc>
          <w:tcPr>
            <w:tcW w:type="dxa" w:w="1944"/>
            <w:shd w:fill="0B1727"/>
            <w:tcMar>
              <w:top w:w="100" w:type="dxa"/>
              <w:start w:w="120" w:type="dxa"/>
              <w:bottom w:w="100" w:type="dxa"/>
              <w:end w:w="120" w:type="dxa"/>
            </w:tcMar>
          </w:tcPr>
          <w:p>
            <w:pPr>
              <w:jc w:val="left"/>
            </w:pPr>
            <w:r>
              <w:rPr>
                <w:rFonts w:ascii="Aptos" w:hAnsi="Aptos"/>
                <w:b/>
                <w:i w:val="0"/>
                <w:color w:val="FFFFFF"/>
                <w:sz w:val="18"/>
              </w:rPr>
              <w:t>SEO element</w:t>
            </w:r>
          </w:p>
        </w:tc>
        <w:tc>
          <w:tcPr>
            <w:tcW w:type="dxa" w:w="7632"/>
            <w:shd w:fill="0B1727"/>
            <w:tcMar>
              <w:top w:w="100" w:type="dxa"/>
              <w:start w:w="120" w:type="dxa"/>
              <w:bottom w:w="100" w:type="dxa"/>
              <w:end w:w="120" w:type="dxa"/>
            </w:tcMar>
          </w:tcPr>
          <w:p>
            <w:pPr>
              <w:jc w:val="left"/>
            </w:pPr>
            <w:r>
              <w:rPr>
                <w:rFonts w:ascii="Aptos" w:hAnsi="Aptos"/>
                <w:b/>
                <w:i w:val="0"/>
                <w:color w:val="FFFFFF"/>
                <w:sz w:val="18"/>
              </w:rPr>
              <w:t>Recommended copy</w:t>
            </w:r>
          </w:p>
        </w:tc>
      </w:tr>
      <w:tr>
        <w:tc>
          <w:tcPr>
            <w:tcW w:type="dxa" w:w="1944"/>
            <w:tcMar>
              <w:top w:w="100" w:type="dxa"/>
              <w:start w:w="120" w:type="dxa"/>
              <w:bottom w:w="100" w:type="dxa"/>
              <w:end w:w="120" w:type="dxa"/>
            </w:tcMar>
            <w:vAlign w:val="center"/>
          </w:tcPr>
          <w:p>
            <w:r>
              <w:rPr>
                <w:rFonts w:ascii="Aptos" w:hAnsi="Aptos"/>
                <w:b w:val="0"/>
                <w:i w:val="0"/>
                <w:color w:val="0B1727"/>
                <w:sz w:val="18"/>
              </w:rPr>
              <w:t>SEO title</w:t>
            </w:r>
          </w:p>
        </w:tc>
        <w:tc>
          <w:tcPr>
            <w:tcW w:type="dxa" w:w="7632"/>
            <w:tcMar>
              <w:top w:w="100" w:type="dxa"/>
              <w:start w:w="120" w:type="dxa"/>
              <w:bottom w:w="100" w:type="dxa"/>
              <w:end w:w="120" w:type="dxa"/>
            </w:tcMar>
            <w:vAlign w:val="center"/>
          </w:tcPr>
          <w:p>
            <w:r>
              <w:rPr>
                <w:rFonts w:ascii="Aptos" w:hAnsi="Aptos"/>
                <w:b w:val="0"/>
                <w:i w:val="0"/>
                <w:color w:val="0B1727"/>
                <w:sz w:val="18"/>
              </w:rPr>
              <w:t>AAC Plant ROI Calculator &amp; Break-Even Guide India</w:t>
            </w:r>
          </w:p>
        </w:tc>
      </w:tr>
      <w:tr>
        <w:tc>
          <w:tcPr>
            <w:tcW w:type="dxa" w:w="1944"/>
            <w:tcMar>
              <w:top w:w="100" w:type="dxa"/>
              <w:start w:w="120" w:type="dxa"/>
              <w:bottom w:w="100" w:type="dxa"/>
              <w:end w:w="120" w:type="dxa"/>
            </w:tcMar>
            <w:vAlign w:val="center"/>
            <w:shd w:fill="F5F7F8"/>
          </w:tcPr>
          <w:p>
            <w:r>
              <w:rPr>
                <w:rFonts w:ascii="Aptos" w:hAnsi="Aptos"/>
                <w:b w:val="0"/>
                <w:i w:val="0"/>
                <w:color w:val="0B1727"/>
                <w:sz w:val="18"/>
              </w:rPr>
              <w:t>Meta description</w:t>
            </w:r>
          </w:p>
        </w:tc>
        <w:tc>
          <w:tcPr>
            <w:tcW w:type="dxa" w:w="7632"/>
            <w:tcMar>
              <w:top w:w="100" w:type="dxa"/>
              <w:start w:w="120" w:type="dxa"/>
              <w:bottom w:w="100" w:type="dxa"/>
              <w:end w:w="120" w:type="dxa"/>
            </w:tcMar>
            <w:vAlign w:val="center"/>
            <w:shd w:fill="F5F7F8"/>
          </w:tcPr>
          <w:p>
            <w:r>
              <w:rPr>
                <w:rFonts w:ascii="Aptos" w:hAnsi="Aptos"/>
                <w:b w:val="0"/>
                <w:i w:val="0"/>
                <w:color w:val="0B1727"/>
                <w:sz w:val="18"/>
              </w:rPr>
              <w:t>Estimate AAC plant ROI, payback and break-even using project cost, saleable output, operating cost, working capital and market assumptions.</w:t>
            </w:r>
          </w:p>
        </w:tc>
      </w:tr>
      <w:tr>
        <w:tc>
          <w:tcPr>
            <w:tcW w:type="dxa" w:w="1944"/>
            <w:tcMar>
              <w:top w:w="100" w:type="dxa"/>
              <w:start w:w="120" w:type="dxa"/>
              <w:bottom w:w="100" w:type="dxa"/>
              <w:end w:w="120" w:type="dxa"/>
            </w:tcMar>
            <w:vAlign w:val="center"/>
          </w:tcPr>
          <w:p>
            <w:r>
              <w:rPr>
                <w:rFonts w:ascii="Aptos" w:hAnsi="Aptos"/>
                <w:b w:val="0"/>
                <w:i w:val="0"/>
                <w:color w:val="0B1727"/>
                <w:sz w:val="18"/>
              </w:rPr>
              <w:t>URL</w:t>
            </w:r>
          </w:p>
        </w:tc>
        <w:tc>
          <w:tcPr>
            <w:tcW w:type="dxa" w:w="7632"/>
            <w:tcMar>
              <w:top w:w="100" w:type="dxa"/>
              <w:start w:w="120" w:type="dxa"/>
              <w:bottom w:w="100" w:type="dxa"/>
              <w:end w:w="120" w:type="dxa"/>
            </w:tcMar>
            <w:vAlign w:val="center"/>
          </w:tcPr>
          <w:p>
            <w:r>
              <w:rPr>
                <w:rFonts w:ascii="Aptos" w:hAnsi="Aptos"/>
                <w:b w:val="0"/>
                <w:i w:val="0"/>
                <w:color w:val="0B1727"/>
                <w:sz w:val="18"/>
              </w:rPr>
              <w:t>/aac-plant-roi-calculator/</w:t>
            </w:r>
          </w:p>
        </w:tc>
      </w:tr>
      <w:tr>
        <w:tc>
          <w:tcPr>
            <w:tcW w:type="dxa" w:w="1944"/>
            <w:tcMar>
              <w:top w:w="100" w:type="dxa"/>
              <w:start w:w="120" w:type="dxa"/>
              <w:bottom w:w="100" w:type="dxa"/>
              <w:end w:w="120" w:type="dxa"/>
            </w:tcMar>
            <w:vAlign w:val="center"/>
            <w:shd w:fill="F5F7F8"/>
          </w:tcPr>
          <w:p>
            <w:r>
              <w:rPr>
                <w:rFonts w:ascii="Aptos" w:hAnsi="Aptos"/>
                <w:b w:val="0"/>
                <w:i w:val="0"/>
                <w:color w:val="0B1727"/>
                <w:sz w:val="18"/>
              </w:rPr>
              <w:t>Breadcrumb</w:t>
            </w:r>
          </w:p>
        </w:tc>
        <w:tc>
          <w:tcPr>
            <w:tcW w:type="dxa" w:w="7632"/>
            <w:tcMar>
              <w:top w:w="100" w:type="dxa"/>
              <w:start w:w="120" w:type="dxa"/>
              <w:bottom w:w="100" w:type="dxa"/>
              <w:end w:w="120" w:type="dxa"/>
            </w:tcMar>
            <w:vAlign w:val="center"/>
            <w:shd w:fill="F5F7F8"/>
          </w:tcPr>
          <w:p>
            <w:r>
              <w:rPr>
                <w:rFonts w:ascii="Aptos" w:hAnsi="Aptos"/>
                <w:b w:val="0"/>
                <w:i w:val="0"/>
                <w:color w:val="0B1727"/>
                <w:sz w:val="18"/>
              </w:rPr>
              <w:t>Home &gt; AAC Investor Academy &gt; Financial Planning &gt; AAC Plant ROI Calculator</w:t>
            </w:r>
          </w:p>
        </w:tc>
      </w:tr>
    </w:tbl>
    <w:p>
      <w:pPr>
        <w:spacing w:after="0"/>
      </w:pPr>
    </w:p>
    <w:p>
      <w:pPr>
        <w:pStyle w:val="Heading1"/>
      </w:pPr>
      <w:r>
        <w:t>H1: AAC Plant ROI Calculator and Break-Even Guide</w:t>
      </w:r>
    </w:p>
    <w:p>
      <w:pPr>
        <w:spacing w:after="100"/>
      </w:pPr>
      <w:r>
        <w:rPr>
          <w:rFonts w:ascii="Aptos" w:hAnsi="Aptos"/>
          <w:b w:val="0"/>
          <w:i w:val="0"/>
          <w:color w:val="0B1727"/>
          <w:sz w:val="21"/>
        </w:rPr>
        <w:t>AAC plant ROI cannot be estimated from machinery price and installed capacity alone. A credible analysis must connect total project investment with achievable saleable production, net sales realisation, operating costs, working capital and multi-year cash flow.</w:t>
      </w:r>
    </w:p>
    <w:p>
      <w:pPr>
        <w:spacing w:after="100"/>
      </w:pPr>
      <w:r>
        <w:rPr>
          <w:rFonts w:ascii="Aptos" w:hAnsi="Aptos"/>
          <w:b w:val="0"/>
          <w:i w:val="0"/>
          <w:color w:val="0B1727"/>
          <w:sz w:val="21"/>
        </w:rPr>
        <w:t>Use the calculator to test your own assumptions. The result is an indicative investment scenario—not a guaranteed return or a substitute for a detailed market study, technical assessment, financial review or bankable project report.</w:t>
      </w:r>
    </w:p>
    <w:tbl>
      <w:tblPr>
        <w:tblW w:type="auto" w:w="0"/>
        <w:jc w:val="center"/>
        <w:tblLayout w:type="fixed"/>
        <w:tblLook w:firstColumn="1" w:firstRow="1" w:lastColumn="0" w:lastRow="0" w:noHBand="0" w:noVBand="1" w:val="04A0"/>
      </w:tblPr>
      <w:tblGrid>
        <w:gridCol w:w="9576"/>
      </w:tblGrid>
      <w:tr>
        <w:tc>
          <w:tcPr>
            <w:tcW w:type="dxa" w:w="9576"/>
            <w:shd w:fill="EEF2F5"/>
            <w:tcMar>
              <w:top w:w="160" w:type="dxa"/>
              <w:start w:w="180" w:type="dxa"/>
              <w:bottom w:w="160" w:type="dxa"/>
              <w:end w:w="180" w:type="dxa"/>
            </w:tcMar>
          </w:tcPr>
          <w:p>
            <w:pPr>
              <w:spacing w:after="80"/>
            </w:pPr>
            <w:r>
              <w:rPr>
                <w:rFonts w:ascii="Aptos" w:hAnsi="Aptos"/>
                <w:b/>
                <w:i w:val="0"/>
                <w:color w:val="0C4F80"/>
                <w:sz w:val="22"/>
              </w:rPr>
              <w:t>A better question than “How much profit will the plant make?”</w:t>
            </w:r>
          </w:p>
          <w:p>
            <w:pPr>
              <w:spacing w:after="0"/>
            </w:pPr>
            <w:r>
              <w:rPr>
                <w:rFonts w:ascii="Aptos" w:hAnsi="Aptos"/>
                <w:b w:val="0"/>
                <w:i w:val="0"/>
                <w:color w:val="0B1727"/>
                <w:sz w:val="21"/>
              </w:rPr>
              <w:t>Ask: How much saleable AAC can the regional market absorb, at what net realisation, with what operating cost and working-capital cycle?</w:t>
            </w:r>
          </w:p>
        </w:tc>
      </w:tr>
    </w:tbl>
    <w:p>
      <w:pPr>
        <w:spacing w:after="0"/>
      </w:pPr>
    </w:p>
    <w:p>
      <w:pPr>
        <w:pStyle w:val="Heading1"/>
      </w:pPr>
      <w:r>
        <w:t>What Determines the ROI of an AAC Plant?</w:t>
      </w:r>
    </w:p>
    <w:p>
      <w:pPr>
        <w:spacing w:after="100"/>
      </w:pPr>
      <w:r>
        <w:rPr>
          <w:rFonts w:ascii="Aptos" w:hAnsi="Aptos"/>
          <w:b w:val="0"/>
          <w:i w:val="0"/>
          <w:color w:val="0B1727"/>
          <w:sz w:val="21"/>
        </w:rPr>
        <w:t>The return from an AAC project is shaped by four connected realities:</w:t>
      </w:r>
    </w:p>
    <w:p>
      <w:pPr>
        <w:pStyle w:val="ListBullet"/>
      </w:pPr>
      <w:r>
        <w:rPr>
          <w:rFonts w:ascii="Aptos" w:hAnsi="Aptos"/>
          <w:b w:val="0"/>
          <w:i w:val="0"/>
          <w:color w:val="0B1727"/>
          <w:sz w:val="21"/>
        </w:rPr>
        <w:t>Total capital employed: machinery, civil works, utilities, infrastructure, installation, pre-operative expenses, contingency and working capital.</w:t>
      </w:r>
    </w:p>
    <w:p>
      <w:pPr>
        <w:pStyle w:val="ListBullet"/>
      </w:pPr>
      <w:r>
        <w:rPr>
          <w:rFonts w:ascii="Aptos" w:hAnsi="Aptos"/>
          <w:b w:val="0"/>
          <w:i w:val="0"/>
          <w:color w:val="0B1727"/>
          <w:sz w:val="21"/>
        </w:rPr>
        <w:t>Saleable production: rated capacity adjusted for operating days, plant availability, process efficiency, rejection, breakage and market-led utilisation.</w:t>
      </w:r>
    </w:p>
    <w:p>
      <w:pPr>
        <w:pStyle w:val="ListBullet"/>
      </w:pPr>
      <w:r>
        <w:rPr>
          <w:rFonts w:ascii="Aptos" w:hAnsi="Aptos"/>
          <w:b w:val="0"/>
          <w:i w:val="0"/>
          <w:color w:val="0B1727"/>
          <w:sz w:val="21"/>
        </w:rPr>
        <w:t>Net sales realisation: invoice value after discounts, freight support, dealer incentives, product mix, credit cost and other selling deductions.</w:t>
      </w:r>
    </w:p>
    <w:p>
      <w:pPr>
        <w:pStyle w:val="ListBullet"/>
      </w:pPr>
      <w:r>
        <w:rPr>
          <w:rFonts w:ascii="Aptos" w:hAnsi="Aptos"/>
          <w:b w:val="0"/>
          <w:i w:val="0"/>
          <w:color w:val="0B1727"/>
          <w:sz w:val="21"/>
        </w:rPr>
        <w:t>Operating cash generation: revenue less raw materials, steam, power, manpower, maintenance, administration, selling and distribution costs.</w:t>
      </w:r>
    </w:p>
    <w:p>
      <w:pPr>
        <w:spacing w:after="100"/>
      </w:pPr>
      <w:r>
        <w:rPr>
          <w:rFonts w:ascii="Aptos" w:hAnsi="Aptos"/>
          <w:b w:val="0"/>
          <w:i w:val="0"/>
          <w:color w:val="0B1727"/>
          <w:sz w:val="21"/>
        </w:rPr>
        <w:t>A larger or more highly automated plant is not automatically the most profitable choice. Capacity and automation must be evaluated against local demand, raw-material conditions, manpower availability, operating discipline and the investor’s financing structure.</w:t>
      </w:r>
    </w:p>
    <w:p>
      <w:pPr>
        <w:pStyle w:val="Heading1"/>
      </w:pPr>
      <w:r>
        <w:t>ROI, Break-Even, Payback and IRR Are Not the Same</w:t>
      </w:r>
    </w:p>
    <w:tbl>
      <w:tblPr>
        <w:tblW w:type="auto" w:w="0"/>
        <w:jc w:val="center"/>
        <w:tblLayout w:type="fixed"/>
        <w:tblLook w:firstColumn="1" w:firstRow="1" w:lastColumn="0" w:lastRow="0" w:noHBand="0" w:noVBand="1" w:val="04A0"/>
      </w:tblPr>
      <w:tblGrid>
        <w:gridCol w:w="3235"/>
        <w:gridCol w:w="3235"/>
        <w:gridCol w:w="3235"/>
      </w:tblGrid>
      <w:tr>
        <w:trPr>
          <w:tblHeader w:val="true"/>
        </w:trPr>
        <w:tc>
          <w:tcPr>
            <w:tcW w:type="dxa" w:w="1512"/>
            <w:shd w:fill="0B1727"/>
            <w:tcMar>
              <w:top w:w="100" w:type="dxa"/>
              <w:start w:w="120" w:type="dxa"/>
              <w:bottom w:w="100" w:type="dxa"/>
              <w:end w:w="120" w:type="dxa"/>
            </w:tcMar>
          </w:tcPr>
          <w:p>
            <w:pPr>
              <w:jc w:val="left"/>
            </w:pPr>
            <w:r>
              <w:rPr>
                <w:rFonts w:ascii="Aptos" w:hAnsi="Aptos"/>
                <w:b/>
                <w:i w:val="0"/>
                <w:color w:val="FFFFFF"/>
                <w:sz w:val="18"/>
              </w:rPr>
              <w:t>Metric</w:t>
            </w:r>
          </w:p>
        </w:tc>
        <w:tc>
          <w:tcPr>
            <w:tcW w:type="dxa" w:w="3096"/>
            <w:shd w:fill="0B1727"/>
            <w:tcMar>
              <w:top w:w="100" w:type="dxa"/>
              <w:start w:w="120" w:type="dxa"/>
              <w:bottom w:w="100" w:type="dxa"/>
              <w:end w:w="120" w:type="dxa"/>
            </w:tcMar>
          </w:tcPr>
          <w:p>
            <w:pPr>
              <w:jc w:val="left"/>
            </w:pPr>
            <w:r>
              <w:rPr>
                <w:rFonts w:ascii="Aptos" w:hAnsi="Aptos"/>
                <w:b/>
                <w:i w:val="0"/>
                <w:color w:val="FFFFFF"/>
                <w:sz w:val="18"/>
              </w:rPr>
              <w:t>Question it answers</w:t>
            </w:r>
          </w:p>
        </w:tc>
        <w:tc>
          <w:tcPr>
            <w:tcW w:type="dxa" w:w="4968"/>
            <w:shd w:fill="0B1727"/>
            <w:tcMar>
              <w:top w:w="100" w:type="dxa"/>
              <w:start w:w="120" w:type="dxa"/>
              <w:bottom w:w="100" w:type="dxa"/>
              <w:end w:w="120" w:type="dxa"/>
            </w:tcMar>
          </w:tcPr>
          <w:p>
            <w:pPr>
              <w:jc w:val="left"/>
            </w:pPr>
            <w:r>
              <w:rPr>
                <w:rFonts w:ascii="Aptos" w:hAnsi="Aptos"/>
                <w:b/>
                <w:i w:val="0"/>
                <w:color w:val="FFFFFF"/>
                <w:sz w:val="18"/>
              </w:rPr>
              <w:t>Calculation principle</w:t>
            </w:r>
          </w:p>
        </w:tc>
      </w:tr>
      <w:tr>
        <w:tc>
          <w:tcPr>
            <w:tcW w:type="dxa" w:w="1512"/>
            <w:tcMar>
              <w:top w:w="100" w:type="dxa"/>
              <w:start w:w="120" w:type="dxa"/>
              <w:bottom w:w="100" w:type="dxa"/>
              <w:end w:w="120" w:type="dxa"/>
            </w:tcMar>
            <w:vAlign w:val="center"/>
          </w:tcPr>
          <w:p>
            <w:r>
              <w:rPr>
                <w:rFonts w:ascii="Aptos" w:hAnsi="Aptos"/>
                <w:b w:val="0"/>
                <w:i w:val="0"/>
                <w:color w:val="0B1727"/>
                <w:sz w:val="18"/>
              </w:rPr>
              <w:t>ROI</w:t>
            </w:r>
          </w:p>
        </w:tc>
        <w:tc>
          <w:tcPr>
            <w:tcW w:type="dxa" w:w="3096"/>
            <w:tcMar>
              <w:top w:w="100" w:type="dxa"/>
              <w:start w:w="120" w:type="dxa"/>
              <w:bottom w:w="100" w:type="dxa"/>
              <w:end w:w="120" w:type="dxa"/>
            </w:tcMar>
            <w:vAlign w:val="center"/>
          </w:tcPr>
          <w:p>
            <w:r>
              <w:rPr>
                <w:rFonts w:ascii="Aptos" w:hAnsi="Aptos"/>
                <w:b w:val="0"/>
                <w:i w:val="0"/>
                <w:color w:val="0B1727"/>
                <w:sz w:val="18"/>
              </w:rPr>
              <w:t>What annual return is generated relative to the investment?</w:t>
            </w:r>
          </w:p>
        </w:tc>
        <w:tc>
          <w:tcPr>
            <w:tcW w:type="dxa" w:w="4968"/>
            <w:tcMar>
              <w:top w:w="100" w:type="dxa"/>
              <w:start w:w="120" w:type="dxa"/>
              <w:bottom w:w="100" w:type="dxa"/>
              <w:end w:w="120" w:type="dxa"/>
            </w:tcMar>
            <w:vAlign w:val="center"/>
          </w:tcPr>
          <w:p>
            <w:r>
              <w:rPr>
                <w:rFonts w:ascii="Aptos" w:hAnsi="Aptos"/>
                <w:b w:val="0"/>
                <w:i w:val="0"/>
                <w:color w:val="0B1727"/>
                <w:sz w:val="18"/>
              </w:rPr>
              <w:t>Annual return ÷ investment base × 100. The page must state whether the return is based on operating profit, profit after tax or cash flow.</w:t>
            </w:r>
          </w:p>
        </w:tc>
      </w:tr>
      <w:tr>
        <w:tc>
          <w:tcPr>
            <w:tcW w:type="dxa" w:w="1512"/>
            <w:tcMar>
              <w:top w:w="100" w:type="dxa"/>
              <w:start w:w="120" w:type="dxa"/>
              <w:bottom w:w="100" w:type="dxa"/>
              <w:end w:w="120" w:type="dxa"/>
            </w:tcMar>
            <w:vAlign w:val="center"/>
            <w:shd w:fill="F5F7F8"/>
          </w:tcPr>
          <w:p>
            <w:r>
              <w:rPr>
                <w:rFonts w:ascii="Aptos" w:hAnsi="Aptos"/>
                <w:b w:val="0"/>
                <w:i w:val="0"/>
                <w:color w:val="0B1727"/>
                <w:sz w:val="18"/>
              </w:rPr>
              <w:t>Break-even volume</w:t>
            </w:r>
          </w:p>
        </w:tc>
        <w:tc>
          <w:tcPr>
            <w:tcW w:type="dxa" w:w="3096"/>
            <w:tcMar>
              <w:top w:w="100" w:type="dxa"/>
              <w:start w:w="120" w:type="dxa"/>
              <w:bottom w:w="100" w:type="dxa"/>
              <w:end w:w="120" w:type="dxa"/>
            </w:tcMar>
            <w:vAlign w:val="center"/>
            <w:shd w:fill="F5F7F8"/>
          </w:tcPr>
          <w:p>
            <w:r>
              <w:rPr>
                <w:rFonts w:ascii="Aptos" w:hAnsi="Aptos"/>
                <w:b w:val="0"/>
                <w:i w:val="0"/>
                <w:color w:val="0B1727"/>
                <w:sz w:val="18"/>
              </w:rPr>
              <w:t>How much AAC must be sold to cover operating costs?</w:t>
            </w:r>
          </w:p>
        </w:tc>
        <w:tc>
          <w:tcPr>
            <w:tcW w:type="dxa" w:w="4968"/>
            <w:tcMar>
              <w:top w:w="100" w:type="dxa"/>
              <w:start w:w="120" w:type="dxa"/>
              <w:bottom w:w="100" w:type="dxa"/>
              <w:end w:w="120" w:type="dxa"/>
            </w:tcMar>
            <w:vAlign w:val="center"/>
            <w:shd w:fill="F5F7F8"/>
          </w:tcPr>
          <w:p>
            <w:r>
              <w:rPr>
                <w:rFonts w:ascii="Aptos" w:hAnsi="Aptos"/>
                <w:b w:val="0"/>
                <w:i w:val="0"/>
                <w:color w:val="0B1727"/>
                <w:sz w:val="18"/>
              </w:rPr>
              <w:t>Fixed operating cost ÷ contribution per saleable m³.</w:t>
            </w:r>
          </w:p>
        </w:tc>
      </w:tr>
      <w:tr>
        <w:tc>
          <w:tcPr>
            <w:tcW w:type="dxa" w:w="1512"/>
            <w:tcMar>
              <w:top w:w="100" w:type="dxa"/>
              <w:start w:w="120" w:type="dxa"/>
              <w:bottom w:w="100" w:type="dxa"/>
              <w:end w:w="120" w:type="dxa"/>
            </w:tcMar>
            <w:vAlign w:val="center"/>
          </w:tcPr>
          <w:p>
            <w:r>
              <w:rPr>
                <w:rFonts w:ascii="Aptos" w:hAnsi="Aptos"/>
                <w:b w:val="0"/>
                <w:i w:val="0"/>
                <w:color w:val="0B1727"/>
                <w:sz w:val="18"/>
              </w:rPr>
              <w:t>Payback period</w:t>
            </w:r>
          </w:p>
        </w:tc>
        <w:tc>
          <w:tcPr>
            <w:tcW w:type="dxa" w:w="3096"/>
            <w:tcMar>
              <w:top w:w="100" w:type="dxa"/>
              <w:start w:w="120" w:type="dxa"/>
              <w:bottom w:w="100" w:type="dxa"/>
              <w:end w:w="120" w:type="dxa"/>
            </w:tcMar>
            <w:vAlign w:val="center"/>
          </w:tcPr>
          <w:p>
            <w:r>
              <w:rPr>
                <w:rFonts w:ascii="Aptos" w:hAnsi="Aptos"/>
                <w:b w:val="0"/>
                <w:i w:val="0"/>
                <w:color w:val="0B1727"/>
                <w:sz w:val="18"/>
              </w:rPr>
              <w:t>When is the invested cash recovered?</w:t>
            </w:r>
          </w:p>
        </w:tc>
        <w:tc>
          <w:tcPr>
            <w:tcW w:type="dxa" w:w="4968"/>
            <w:tcMar>
              <w:top w:w="100" w:type="dxa"/>
              <w:start w:w="120" w:type="dxa"/>
              <w:bottom w:w="100" w:type="dxa"/>
              <w:end w:w="120" w:type="dxa"/>
            </w:tcMar>
            <w:vAlign w:val="center"/>
          </w:tcPr>
          <w:p>
            <w:r>
              <w:rPr>
                <w:rFonts w:ascii="Aptos" w:hAnsi="Aptos"/>
                <w:b w:val="0"/>
                <w:i w:val="0"/>
                <w:color w:val="0B1727"/>
                <w:sz w:val="18"/>
              </w:rPr>
              <w:t>The point at which cumulative project cash flow becomes positive.</w:t>
            </w:r>
          </w:p>
        </w:tc>
      </w:tr>
      <w:tr>
        <w:tc>
          <w:tcPr>
            <w:tcW w:type="dxa" w:w="1512"/>
            <w:tcMar>
              <w:top w:w="100" w:type="dxa"/>
              <w:start w:w="120" w:type="dxa"/>
              <w:bottom w:w="100" w:type="dxa"/>
              <w:end w:w="120" w:type="dxa"/>
            </w:tcMar>
            <w:vAlign w:val="center"/>
            <w:shd w:fill="F5F7F8"/>
          </w:tcPr>
          <w:p>
            <w:r>
              <w:rPr>
                <w:rFonts w:ascii="Aptos" w:hAnsi="Aptos"/>
                <w:b w:val="0"/>
                <w:i w:val="0"/>
                <w:color w:val="0B1727"/>
                <w:sz w:val="18"/>
              </w:rPr>
              <w:t>IRR</w:t>
            </w:r>
          </w:p>
        </w:tc>
        <w:tc>
          <w:tcPr>
            <w:tcW w:type="dxa" w:w="3096"/>
            <w:tcMar>
              <w:top w:w="100" w:type="dxa"/>
              <w:start w:w="120" w:type="dxa"/>
              <w:bottom w:w="100" w:type="dxa"/>
              <w:end w:w="120" w:type="dxa"/>
            </w:tcMar>
            <w:vAlign w:val="center"/>
            <w:shd w:fill="F5F7F8"/>
          </w:tcPr>
          <w:p>
            <w:r>
              <w:rPr>
                <w:rFonts w:ascii="Aptos" w:hAnsi="Aptos"/>
                <w:b w:val="0"/>
                <w:i w:val="0"/>
                <w:color w:val="0B1727"/>
                <w:sz w:val="18"/>
              </w:rPr>
              <w:t>What discount rate makes the project’s net present value equal to zero?</w:t>
            </w:r>
          </w:p>
        </w:tc>
        <w:tc>
          <w:tcPr>
            <w:tcW w:type="dxa" w:w="4968"/>
            <w:tcMar>
              <w:top w:w="100" w:type="dxa"/>
              <w:start w:w="120" w:type="dxa"/>
              <w:bottom w:w="100" w:type="dxa"/>
              <w:end w:w="120" w:type="dxa"/>
            </w:tcMar>
            <w:vAlign w:val="center"/>
            <w:shd w:fill="F5F7F8"/>
          </w:tcPr>
          <w:p>
            <w:r>
              <w:rPr>
                <w:rFonts w:ascii="Aptos" w:hAnsi="Aptos"/>
                <w:b w:val="0"/>
                <w:i w:val="0"/>
                <w:color w:val="0B1727"/>
                <w:sz w:val="18"/>
              </w:rPr>
              <w:t>Calculated from the timing and amount of multi-year cash inflows and outflows.</w:t>
            </w:r>
          </w:p>
        </w:tc>
      </w:tr>
    </w:tbl>
    <w:p>
      <w:pPr>
        <w:spacing w:after="0"/>
      </w:pPr>
    </w:p>
    <w:p>
      <w:pPr>
        <w:spacing w:after="100"/>
      </w:pPr>
      <w:r>
        <w:rPr>
          <w:rFonts w:ascii="Aptos" w:hAnsi="Aptos"/>
          <w:b w:val="0"/>
          <w:i w:val="0"/>
          <w:color w:val="0B1727"/>
          <w:sz w:val="21"/>
        </w:rPr>
        <w:t>Because these metrics answer different questions, one should not be used as a substitute for another. A short payback estimate, for example, does not by itself prove long-term project viability.</w:t>
      </w:r>
    </w:p>
    <w:p>
      <w:pPr>
        <w:pStyle w:val="Heading1"/>
      </w:pPr>
      <w:r>
        <w:t>Calculate Your AAC Plant Scenario</w:t>
      </w:r>
    </w:p>
    <w:p>
      <w:pPr>
        <w:spacing w:after="100"/>
      </w:pPr>
      <w:r>
        <w:rPr>
          <w:rFonts w:ascii="Aptos" w:hAnsi="Aptos"/>
          <w:b w:val="0"/>
          <w:i w:val="0"/>
          <w:color w:val="0B1727"/>
          <w:sz w:val="21"/>
        </w:rPr>
        <w:t>Enter project-specific information wherever possible. Default or illustrative assumptions should be replaced with quotations, local market evidence and verified engineering data before an investment decision.</w:t>
      </w:r>
    </w:p>
    <w:p>
      <w:pPr>
        <w:pStyle w:val="Heading2"/>
      </w:pPr>
      <w:r>
        <w:t>1. Project investment</w:t>
      </w:r>
    </w:p>
    <w:p>
      <w:pPr>
        <w:pStyle w:val="ListBullet"/>
      </w:pPr>
      <w:r>
        <w:rPr>
          <w:rFonts w:ascii="Aptos" w:hAnsi="Aptos"/>
          <w:b w:val="0"/>
          <w:i w:val="0"/>
          <w:color w:val="0B1727"/>
          <w:sz w:val="21"/>
        </w:rPr>
        <w:t>Land and site development, shown separately so the investor can choose whether land is included in the return calculation.</w:t>
      </w:r>
    </w:p>
    <w:p>
      <w:pPr>
        <w:pStyle w:val="ListBullet"/>
      </w:pPr>
      <w:r>
        <w:rPr>
          <w:rFonts w:ascii="Aptos" w:hAnsi="Aptos"/>
          <w:b w:val="0"/>
          <w:i w:val="0"/>
          <w:color w:val="0B1727"/>
          <w:sz w:val="21"/>
        </w:rPr>
        <w:t>AAC plant machinery, installation, erection and commissioning scope.</w:t>
      </w:r>
    </w:p>
    <w:p>
      <w:pPr>
        <w:pStyle w:val="ListBullet"/>
      </w:pPr>
      <w:r>
        <w:rPr>
          <w:rFonts w:ascii="Aptos" w:hAnsi="Aptos"/>
          <w:b w:val="0"/>
          <w:i w:val="0"/>
          <w:color w:val="0B1727"/>
          <w:sz w:val="21"/>
        </w:rPr>
        <w:t>Civil construction, foundations, buildings, roads and storage areas.</w:t>
      </w:r>
    </w:p>
    <w:p>
      <w:pPr>
        <w:pStyle w:val="ListBullet"/>
      </w:pPr>
      <w:r>
        <w:rPr>
          <w:rFonts w:ascii="Aptos" w:hAnsi="Aptos"/>
          <w:b w:val="0"/>
          <w:i w:val="0"/>
          <w:color w:val="0B1727"/>
          <w:sz w:val="21"/>
        </w:rPr>
        <w:t>Electrical infrastructure, water systems, boiler and other utilities.</w:t>
      </w:r>
    </w:p>
    <w:p>
      <w:pPr>
        <w:pStyle w:val="ListBullet"/>
      </w:pPr>
      <w:r>
        <w:rPr>
          <w:rFonts w:ascii="Aptos" w:hAnsi="Aptos"/>
          <w:b w:val="0"/>
          <w:i w:val="0"/>
          <w:color w:val="0B1727"/>
          <w:sz w:val="21"/>
        </w:rPr>
        <w:t>Engineering, approvals, pre-operative expenses, trial production and contingency.</w:t>
      </w:r>
    </w:p>
    <w:p>
      <w:pPr>
        <w:pStyle w:val="ListBullet"/>
      </w:pPr>
      <w:r>
        <w:rPr>
          <w:rFonts w:ascii="Aptos" w:hAnsi="Aptos"/>
          <w:b w:val="0"/>
          <w:i w:val="0"/>
          <w:color w:val="0B1727"/>
          <w:sz w:val="21"/>
        </w:rPr>
        <w:t>Opening working capital and interest during construction, where applicable.</w:t>
      </w:r>
    </w:p>
    <w:p>
      <w:pPr>
        <w:pStyle w:val="Heading2"/>
      </w:pPr>
      <w:r>
        <w:t>2. Production and saleable output</w:t>
      </w:r>
    </w:p>
    <w:p>
      <w:pPr>
        <w:pStyle w:val="ListBullet"/>
      </w:pPr>
      <w:r>
        <w:rPr>
          <w:rFonts w:ascii="Aptos" w:hAnsi="Aptos"/>
          <w:b w:val="0"/>
          <w:i w:val="0"/>
          <w:color w:val="0B1727"/>
          <w:sz w:val="21"/>
        </w:rPr>
        <w:t>Rated plant capacity in m³/day.</w:t>
      </w:r>
    </w:p>
    <w:p>
      <w:pPr>
        <w:pStyle w:val="ListBullet"/>
      </w:pPr>
      <w:r>
        <w:rPr>
          <w:rFonts w:ascii="Aptos" w:hAnsi="Aptos"/>
          <w:b w:val="0"/>
          <w:i w:val="0"/>
          <w:color w:val="0B1727"/>
          <w:sz w:val="21"/>
        </w:rPr>
        <w:t>Planned operating days per year.</w:t>
      </w:r>
    </w:p>
    <w:p>
      <w:pPr>
        <w:pStyle w:val="ListBullet"/>
      </w:pPr>
      <w:r>
        <w:rPr>
          <w:rFonts w:ascii="Aptos" w:hAnsi="Aptos"/>
          <w:b w:val="0"/>
          <w:i w:val="0"/>
          <w:color w:val="0B1727"/>
          <w:sz w:val="21"/>
        </w:rPr>
        <w:t>Ramp-up and capacity utilisation by year.</w:t>
      </w:r>
    </w:p>
    <w:p>
      <w:pPr>
        <w:pStyle w:val="ListBullet"/>
      </w:pPr>
      <w:r>
        <w:rPr>
          <w:rFonts w:ascii="Aptos" w:hAnsi="Aptos"/>
          <w:b w:val="0"/>
          <w:i w:val="0"/>
          <w:color w:val="0B1727"/>
          <w:sz w:val="21"/>
        </w:rPr>
        <w:t>Mechanical availability and process efficiency.</w:t>
      </w:r>
    </w:p>
    <w:p>
      <w:pPr>
        <w:pStyle w:val="ListBullet"/>
      </w:pPr>
      <w:r>
        <w:rPr>
          <w:rFonts w:ascii="Aptos" w:hAnsi="Aptos"/>
          <w:b w:val="0"/>
          <w:i w:val="0"/>
          <w:color w:val="0B1727"/>
          <w:sz w:val="21"/>
        </w:rPr>
        <w:t>Rejection, breakage and non-saleable production.</w:t>
      </w:r>
    </w:p>
    <w:p>
      <w:pPr>
        <w:pStyle w:val="ListBullet"/>
      </w:pPr>
      <w:r>
        <w:rPr>
          <w:rFonts w:ascii="Aptos" w:hAnsi="Aptos"/>
          <w:b w:val="0"/>
          <w:i w:val="0"/>
          <w:color w:val="0B1727"/>
          <w:sz w:val="21"/>
        </w:rPr>
        <w:t>Product mix: AAC blocks, panels or other verified products.</w:t>
      </w:r>
    </w:p>
    <w:p>
      <w:pPr>
        <w:pStyle w:val="Heading2"/>
      </w:pPr>
      <w:r>
        <w:t>3. Operating costs</w:t>
      </w:r>
    </w:p>
    <w:p>
      <w:pPr>
        <w:pStyle w:val="ListBullet"/>
      </w:pPr>
      <w:r>
        <w:rPr>
          <w:rFonts w:ascii="Aptos" w:hAnsi="Aptos"/>
          <w:b w:val="0"/>
          <w:i w:val="0"/>
          <w:color w:val="0B1727"/>
          <w:sz w:val="21"/>
        </w:rPr>
        <w:t>Raw-material consumption and delivered input prices.</w:t>
      </w:r>
    </w:p>
    <w:p>
      <w:pPr>
        <w:pStyle w:val="ListBullet"/>
      </w:pPr>
      <w:r>
        <w:rPr>
          <w:rFonts w:ascii="Aptos" w:hAnsi="Aptos"/>
          <w:b w:val="0"/>
          <w:i w:val="0"/>
          <w:color w:val="0B1727"/>
          <w:sz w:val="21"/>
        </w:rPr>
        <w:t>Steam or fuel cost, power, water and other utilities.</w:t>
      </w:r>
    </w:p>
    <w:p>
      <w:pPr>
        <w:pStyle w:val="ListBullet"/>
      </w:pPr>
      <w:r>
        <w:rPr>
          <w:rFonts w:ascii="Aptos" w:hAnsi="Aptos"/>
          <w:b w:val="0"/>
          <w:i w:val="0"/>
          <w:color w:val="0B1727"/>
          <w:sz w:val="21"/>
        </w:rPr>
        <w:t>Production labour, supervision and skilled technical manpower.</w:t>
      </w:r>
    </w:p>
    <w:p>
      <w:pPr>
        <w:pStyle w:val="ListBullet"/>
      </w:pPr>
      <w:r>
        <w:rPr>
          <w:rFonts w:ascii="Aptos" w:hAnsi="Aptos"/>
          <w:b w:val="0"/>
          <w:i w:val="0"/>
          <w:color w:val="0B1727"/>
          <w:sz w:val="21"/>
        </w:rPr>
        <w:t>Routine maintenance, shutdown maintenance, spares and consumables.</w:t>
      </w:r>
    </w:p>
    <w:p>
      <w:pPr>
        <w:pStyle w:val="ListBullet"/>
      </w:pPr>
      <w:r>
        <w:rPr>
          <w:rFonts w:ascii="Aptos" w:hAnsi="Aptos"/>
          <w:b w:val="0"/>
          <w:i w:val="0"/>
          <w:color w:val="0B1727"/>
          <w:sz w:val="21"/>
        </w:rPr>
        <w:t>Quality control, administration, insurance and compliance.</w:t>
      </w:r>
    </w:p>
    <w:p>
      <w:pPr>
        <w:pStyle w:val="ListBullet"/>
      </w:pPr>
      <w:r>
        <w:rPr>
          <w:rFonts w:ascii="Aptos" w:hAnsi="Aptos"/>
          <w:b w:val="0"/>
          <w:i w:val="0"/>
          <w:color w:val="0B1727"/>
          <w:sz w:val="21"/>
        </w:rPr>
        <w:t>Selling, freight, unloading, dealer support and market-development costs.</w:t>
      </w:r>
    </w:p>
    <w:p>
      <w:pPr>
        <w:pStyle w:val="Heading2"/>
      </w:pPr>
      <w:r>
        <w:t>4. Sales and working capital</w:t>
      </w:r>
    </w:p>
    <w:p>
      <w:pPr>
        <w:pStyle w:val="ListBullet"/>
      </w:pPr>
      <w:r>
        <w:rPr>
          <w:rFonts w:ascii="Aptos" w:hAnsi="Aptos"/>
          <w:b w:val="0"/>
          <w:i w:val="0"/>
          <w:color w:val="0B1727"/>
          <w:sz w:val="21"/>
        </w:rPr>
        <w:t>Net selling price per saleable m³—not only the quoted invoice price.</w:t>
      </w:r>
    </w:p>
    <w:p>
      <w:pPr>
        <w:pStyle w:val="ListBullet"/>
      </w:pPr>
      <w:r>
        <w:rPr>
          <w:rFonts w:ascii="Aptos" w:hAnsi="Aptos"/>
          <w:b w:val="0"/>
          <w:i w:val="0"/>
          <w:color w:val="0B1727"/>
          <w:sz w:val="21"/>
        </w:rPr>
        <w:t>Expected monthly sales volume by product and territory.</w:t>
      </w:r>
    </w:p>
    <w:p>
      <w:pPr>
        <w:pStyle w:val="ListBullet"/>
      </w:pPr>
      <w:r>
        <w:rPr>
          <w:rFonts w:ascii="Aptos" w:hAnsi="Aptos"/>
          <w:b w:val="0"/>
          <w:i w:val="0"/>
          <w:color w:val="0B1727"/>
          <w:sz w:val="21"/>
        </w:rPr>
        <w:t>Finished-goods, raw-material and consumables inventory days.</w:t>
      </w:r>
    </w:p>
    <w:p>
      <w:pPr>
        <w:pStyle w:val="ListBullet"/>
      </w:pPr>
      <w:r>
        <w:rPr>
          <w:rFonts w:ascii="Aptos" w:hAnsi="Aptos"/>
          <w:b w:val="0"/>
          <w:i w:val="0"/>
          <w:color w:val="0B1727"/>
          <w:sz w:val="21"/>
        </w:rPr>
        <w:t>Customer credit period and expected collection cycle.</w:t>
      </w:r>
    </w:p>
    <w:p>
      <w:pPr>
        <w:pStyle w:val="ListBullet"/>
      </w:pPr>
      <w:r>
        <w:rPr>
          <w:rFonts w:ascii="Aptos" w:hAnsi="Aptos"/>
          <w:b w:val="0"/>
          <w:i w:val="0"/>
          <w:color w:val="0B1727"/>
          <w:sz w:val="21"/>
        </w:rPr>
        <w:t>Supplier credit and minimum cash balance.</w:t>
      </w:r>
    </w:p>
    <w:p>
      <w:pPr>
        <w:pStyle w:val="ListBullet"/>
      </w:pPr>
      <w:r>
        <w:rPr>
          <w:rFonts w:ascii="Aptos" w:hAnsi="Aptos"/>
          <w:b w:val="0"/>
          <w:i w:val="0"/>
          <w:color w:val="0B1727"/>
          <w:sz w:val="21"/>
        </w:rPr>
        <w:t>Debt/equity structure, interest, repayment and tax assumptions where included in the model.</w:t>
      </w:r>
    </w:p>
    <w:tbl>
      <w:tblPr>
        <w:tblW w:type="auto" w:w="0"/>
        <w:jc w:val="center"/>
        <w:tblLayout w:type="fixed"/>
        <w:tblLook w:firstColumn="1" w:firstRow="1" w:lastColumn="0" w:lastRow="0" w:noHBand="0" w:noVBand="1" w:val="04A0"/>
      </w:tblPr>
      <w:tblGrid>
        <w:gridCol w:w="9576"/>
      </w:tblGrid>
      <w:tr>
        <w:tc>
          <w:tcPr>
            <w:tcW w:type="dxa" w:w="9576"/>
            <w:shd w:fill="F5F7F8"/>
            <w:tcMar>
              <w:top w:w="160" w:type="dxa"/>
              <w:start w:w="180" w:type="dxa"/>
              <w:bottom w:w="160" w:type="dxa"/>
              <w:end w:w="180" w:type="dxa"/>
            </w:tcMar>
          </w:tcPr>
          <w:p>
            <w:pPr>
              <w:spacing w:after="80"/>
            </w:pPr>
            <w:r>
              <w:rPr>
                <w:rFonts w:ascii="Aptos" w:hAnsi="Aptos"/>
                <w:b/>
                <w:i w:val="0"/>
                <w:color w:val="0C4F80"/>
                <w:sz w:val="22"/>
              </w:rPr>
              <w:t>Primary button</w:t>
            </w:r>
          </w:p>
          <w:p>
            <w:pPr>
              <w:spacing w:after="0"/>
            </w:pPr>
            <w:r>
              <w:rPr>
                <w:rFonts w:ascii="Aptos" w:hAnsi="Aptos"/>
                <w:b w:val="0"/>
                <w:i w:val="0"/>
                <w:color w:val="0B1727"/>
                <w:sz w:val="21"/>
              </w:rPr>
              <w:t>CALCULATE MY AAC PLANT BREAK-EVEN</w:t>
            </w:r>
          </w:p>
        </w:tc>
      </w:tr>
    </w:tbl>
    <w:p>
      <w:pPr>
        <w:spacing w:after="0"/>
      </w:pPr>
    </w:p>
    <w:p>
      <w:pPr>
        <w:pStyle w:val="Heading1"/>
      </w:pPr>
      <w:r>
        <w:t>From Installed Capacity to Collected Revenue</w:t>
      </w:r>
    </w:p>
    <w:p>
      <w:pPr>
        <w:spacing w:after="100"/>
      </w:pPr>
      <w:r>
        <w:rPr>
          <w:rFonts w:ascii="Aptos" w:hAnsi="Aptos"/>
          <w:b w:val="0"/>
          <w:i w:val="0"/>
          <w:color w:val="0B1727"/>
          <w:sz w:val="21"/>
        </w:rPr>
        <w:t>Installed capacity is a technical rating. It is not automatically the volume that will be produced, sold or converted into cash.</w:t>
      </w:r>
    </w:p>
    <w:tbl>
      <w:tblPr>
        <w:tblW w:type="auto" w:w="0"/>
        <w:jc w:val="center"/>
        <w:tblLayout w:type="fixed"/>
        <w:tblLook w:firstColumn="1" w:firstRow="1" w:lastColumn="0" w:lastRow="0" w:noHBand="0" w:noVBand="1" w:val="04A0"/>
      </w:tblPr>
      <w:tblGrid>
        <w:gridCol w:w="3235"/>
        <w:gridCol w:w="3235"/>
        <w:gridCol w:w="3235"/>
      </w:tblGrid>
      <w:tr>
        <w:trPr>
          <w:tblHeader w:val="true"/>
        </w:trPr>
        <w:tc>
          <w:tcPr>
            <w:tcW w:type="dxa" w:w="1728"/>
            <w:shd w:fill="0B1727"/>
            <w:tcMar>
              <w:top w:w="100" w:type="dxa"/>
              <w:start w:w="120" w:type="dxa"/>
              <w:bottom w:w="100" w:type="dxa"/>
              <w:end w:w="120" w:type="dxa"/>
            </w:tcMar>
          </w:tcPr>
          <w:p>
            <w:pPr>
              <w:jc w:val="left"/>
            </w:pPr>
            <w:r>
              <w:rPr>
                <w:rFonts w:ascii="Aptos" w:hAnsi="Aptos"/>
                <w:b/>
                <w:i w:val="0"/>
                <w:color w:val="FFFFFF"/>
                <w:sz w:val="18"/>
              </w:rPr>
              <w:t>Stage</w:t>
            </w:r>
          </w:p>
        </w:tc>
        <w:tc>
          <w:tcPr>
            <w:tcW w:type="dxa" w:w="3672"/>
            <w:shd w:fill="0B1727"/>
            <w:tcMar>
              <w:top w:w="100" w:type="dxa"/>
              <w:start w:w="120" w:type="dxa"/>
              <w:bottom w:w="100" w:type="dxa"/>
              <w:end w:w="120" w:type="dxa"/>
            </w:tcMar>
          </w:tcPr>
          <w:p>
            <w:pPr>
              <w:jc w:val="left"/>
            </w:pPr>
            <w:r>
              <w:rPr>
                <w:rFonts w:ascii="Aptos" w:hAnsi="Aptos"/>
                <w:b/>
                <w:i w:val="0"/>
                <w:color w:val="FFFFFF"/>
                <w:sz w:val="18"/>
              </w:rPr>
              <w:t>What it means</w:t>
            </w:r>
          </w:p>
        </w:tc>
        <w:tc>
          <w:tcPr>
            <w:tcW w:type="dxa" w:w="4176"/>
            <w:shd w:fill="0B1727"/>
            <w:tcMar>
              <w:top w:w="100" w:type="dxa"/>
              <w:start w:w="120" w:type="dxa"/>
              <w:bottom w:w="100" w:type="dxa"/>
              <w:end w:w="120" w:type="dxa"/>
            </w:tcMar>
          </w:tcPr>
          <w:p>
            <w:pPr>
              <w:jc w:val="left"/>
            </w:pPr>
            <w:r>
              <w:rPr>
                <w:rFonts w:ascii="Aptos" w:hAnsi="Aptos"/>
                <w:b/>
                <w:i w:val="0"/>
                <w:color w:val="FFFFFF"/>
                <w:sz w:val="18"/>
              </w:rPr>
              <w:t>Typical adjustment</w:t>
            </w:r>
          </w:p>
        </w:tc>
      </w:tr>
      <w:tr>
        <w:tc>
          <w:tcPr>
            <w:tcW w:type="dxa" w:w="1728"/>
            <w:tcMar>
              <w:top w:w="100" w:type="dxa"/>
              <w:start w:w="120" w:type="dxa"/>
              <w:bottom w:w="100" w:type="dxa"/>
              <w:end w:w="120" w:type="dxa"/>
            </w:tcMar>
            <w:vAlign w:val="center"/>
          </w:tcPr>
          <w:p>
            <w:r>
              <w:rPr>
                <w:rFonts w:ascii="Aptos" w:hAnsi="Aptos"/>
                <w:b w:val="0"/>
                <w:i w:val="0"/>
                <w:color w:val="0B1727"/>
                <w:sz w:val="18"/>
              </w:rPr>
              <w:t>Rated output</w:t>
            </w:r>
          </w:p>
        </w:tc>
        <w:tc>
          <w:tcPr>
            <w:tcW w:type="dxa" w:w="3672"/>
            <w:tcMar>
              <w:top w:w="100" w:type="dxa"/>
              <w:start w:w="120" w:type="dxa"/>
              <w:bottom w:w="100" w:type="dxa"/>
              <w:end w:w="120" w:type="dxa"/>
            </w:tcMar>
            <w:vAlign w:val="center"/>
          </w:tcPr>
          <w:p>
            <w:r>
              <w:rPr>
                <w:rFonts w:ascii="Aptos" w:hAnsi="Aptos"/>
                <w:b w:val="0"/>
                <w:i w:val="0"/>
                <w:color w:val="0B1727"/>
                <w:sz w:val="18"/>
              </w:rPr>
              <w:t>The configured production capacity under defined operating conditions.</w:t>
            </w:r>
          </w:p>
        </w:tc>
        <w:tc>
          <w:tcPr>
            <w:tcW w:type="dxa" w:w="4176"/>
            <w:tcMar>
              <w:top w:w="100" w:type="dxa"/>
              <w:start w:w="120" w:type="dxa"/>
              <w:bottom w:w="100" w:type="dxa"/>
              <w:end w:w="120" w:type="dxa"/>
            </w:tcMar>
            <w:vAlign w:val="center"/>
          </w:tcPr>
          <w:p>
            <w:r>
              <w:rPr>
                <w:rFonts w:ascii="Aptos" w:hAnsi="Aptos"/>
                <w:b w:val="0"/>
                <w:i w:val="0"/>
                <w:color w:val="0B1727"/>
                <w:sz w:val="18"/>
              </w:rPr>
              <w:t>Daily capacity × planned operating days</w:t>
            </w:r>
          </w:p>
        </w:tc>
      </w:tr>
      <w:tr>
        <w:tc>
          <w:tcPr>
            <w:tcW w:type="dxa" w:w="1728"/>
            <w:tcMar>
              <w:top w:w="100" w:type="dxa"/>
              <w:start w:w="120" w:type="dxa"/>
              <w:bottom w:w="100" w:type="dxa"/>
              <w:end w:w="120" w:type="dxa"/>
            </w:tcMar>
            <w:vAlign w:val="center"/>
            <w:shd w:fill="F5F7F8"/>
          </w:tcPr>
          <w:p>
            <w:r>
              <w:rPr>
                <w:rFonts w:ascii="Aptos" w:hAnsi="Aptos"/>
                <w:b w:val="0"/>
                <w:i w:val="0"/>
                <w:color w:val="0B1727"/>
                <w:sz w:val="18"/>
              </w:rPr>
              <w:t>Achievable production</w:t>
            </w:r>
          </w:p>
        </w:tc>
        <w:tc>
          <w:tcPr>
            <w:tcW w:type="dxa" w:w="3672"/>
            <w:tcMar>
              <w:top w:w="100" w:type="dxa"/>
              <w:start w:w="120" w:type="dxa"/>
              <w:bottom w:w="100" w:type="dxa"/>
              <w:end w:w="120" w:type="dxa"/>
            </w:tcMar>
            <w:vAlign w:val="center"/>
            <w:shd w:fill="F5F7F8"/>
          </w:tcPr>
          <w:p>
            <w:r>
              <w:rPr>
                <w:rFonts w:ascii="Aptos" w:hAnsi="Aptos"/>
                <w:b w:val="0"/>
                <w:i w:val="0"/>
                <w:color w:val="0B1727"/>
                <w:sz w:val="18"/>
              </w:rPr>
              <w:t>Output after availability, process efficiency and ramp-up.</w:t>
            </w:r>
          </w:p>
        </w:tc>
        <w:tc>
          <w:tcPr>
            <w:tcW w:type="dxa" w:w="4176"/>
            <w:tcMar>
              <w:top w:w="100" w:type="dxa"/>
              <w:start w:w="120" w:type="dxa"/>
              <w:bottom w:w="100" w:type="dxa"/>
              <w:end w:w="120" w:type="dxa"/>
            </w:tcMar>
            <w:vAlign w:val="center"/>
            <w:shd w:fill="F5F7F8"/>
          </w:tcPr>
          <w:p>
            <w:r>
              <w:rPr>
                <w:rFonts w:ascii="Aptos" w:hAnsi="Aptos"/>
                <w:b w:val="0"/>
                <w:i w:val="0"/>
                <w:color w:val="0B1727"/>
                <w:sz w:val="18"/>
              </w:rPr>
              <w:t>Rated output × achievable production utilisation</w:t>
            </w:r>
          </w:p>
        </w:tc>
      </w:tr>
      <w:tr>
        <w:tc>
          <w:tcPr>
            <w:tcW w:type="dxa" w:w="1728"/>
            <w:tcMar>
              <w:top w:w="100" w:type="dxa"/>
              <w:start w:w="120" w:type="dxa"/>
              <w:bottom w:w="100" w:type="dxa"/>
              <w:end w:w="120" w:type="dxa"/>
            </w:tcMar>
            <w:vAlign w:val="center"/>
          </w:tcPr>
          <w:p>
            <w:r>
              <w:rPr>
                <w:rFonts w:ascii="Aptos" w:hAnsi="Aptos"/>
                <w:b w:val="0"/>
                <w:i w:val="0"/>
                <w:color w:val="0B1727"/>
                <w:sz w:val="18"/>
              </w:rPr>
              <w:t>Saleable production</w:t>
            </w:r>
          </w:p>
        </w:tc>
        <w:tc>
          <w:tcPr>
            <w:tcW w:type="dxa" w:w="3672"/>
            <w:tcMar>
              <w:top w:w="100" w:type="dxa"/>
              <w:start w:w="120" w:type="dxa"/>
              <w:bottom w:w="100" w:type="dxa"/>
              <w:end w:w="120" w:type="dxa"/>
            </w:tcMar>
            <w:vAlign w:val="center"/>
          </w:tcPr>
          <w:p>
            <w:r>
              <w:rPr>
                <w:rFonts w:ascii="Aptos" w:hAnsi="Aptos"/>
                <w:b w:val="0"/>
                <w:i w:val="0"/>
                <w:color w:val="0B1727"/>
                <w:sz w:val="18"/>
              </w:rPr>
              <w:t>Output remaining after rejection, breakage and quality losses.</w:t>
            </w:r>
          </w:p>
        </w:tc>
        <w:tc>
          <w:tcPr>
            <w:tcW w:type="dxa" w:w="4176"/>
            <w:tcMar>
              <w:top w:w="100" w:type="dxa"/>
              <w:start w:w="120" w:type="dxa"/>
              <w:bottom w:w="100" w:type="dxa"/>
              <w:end w:w="120" w:type="dxa"/>
            </w:tcMar>
            <w:vAlign w:val="center"/>
          </w:tcPr>
          <w:p>
            <w:r>
              <w:rPr>
                <w:rFonts w:ascii="Aptos" w:hAnsi="Aptos"/>
                <w:b w:val="0"/>
                <w:i w:val="0"/>
                <w:color w:val="0B1727"/>
                <w:sz w:val="18"/>
              </w:rPr>
              <w:t>Achievable production × saleable yield</w:t>
            </w:r>
          </w:p>
        </w:tc>
      </w:tr>
      <w:tr>
        <w:tc>
          <w:tcPr>
            <w:tcW w:type="dxa" w:w="1728"/>
            <w:tcMar>
              <w:top w:w="100" w:type="dxa"/>
              <w:start w:w="120" w:type="dxa"/>
              <w:bottom w:w="100" w:type="dxa"/>
              <w:end w:w="120" w:type="dxa"/>
            </w:tcMar>
            <w:vAlign w:val="center"/>
            <w:shd w:fill="F5F7F8"/>
          </w:tcPr>
          <w:p>
            <w:r>
              <w:rPr>
                <w:rFonts w:ascii="Aptos" w:hAnsi="Aptos"/>
                <w:b w:val="0"/>
                <w:i w:val="0"/>
                <w:color w:val="0B1727"/>
                <w:sz w:val="18"/>
              </w:rPr>
              <w:t>Sold volume</w:t>
            </w:r>
          </w:p>
        </w:tc>
        <w:tc>
          <w:tcPr>
            <w:tcW w:type="dxa" w:w="3672"/>
            <w:tcMar>
              <w:top w:w="100" w:type="dxa"/>
              <w:start w:w="120" w:type="dxa"/>
              <w:bottom w:w="100" w:type="dxa"/>
              <w:end w:w="120" w:type="dxa"/>
            </w:tcMar>
            <w:vAlign w:val="center"/>
            <w:shd w:fill="F5F7F8"/>
          </w:tcPr>
          <w:p>
            <w:r>
              <w:rPr>
                <w:rFonts w:ascii="Aptos" w:hAnsi="Aptos"/>
                <w:b w:val="0"/>
                <w:i w:val="0"/>
                <w:color w:val="0B1727"/>
                <w:sz w:val="18"/>
              </w:rPr>
              <w:t>Volume the regional market actually absorbs.</w:t>
            </w:r>
          </w:p>
        </w:tc>
        <w:tc>
          <w:tcPr>
            <w:tcW w:type="dxa" w:w="4176"/>
            <w:tcMar>
              <w:top w:w="100" w:type="dxa"/>
              <w:start w:w="120" w:type="dxa"/>
              <w:bottom w:w="100" w:type="dxa"/>
              <w:end w:w="120" w:type="dxa"/>
            </w:tcMar>
            <w:vAlign w:val="center"/>
            <w:shd w:fill="F5F7F8"/>
          </w:tcPr>
          <w:p>
            <w:r>
              <w:rPr>
                <w:rFonts w:ascii="Aptos" w:hAnsi="Aptos"/>
                <w:b w:val="0"/>
                <w:i w:val="0"/>
                <w:color w:val="0B1727"/>
                <w:sz w:val="18"/>
              </w:rPr>
              <w:t>Limited by demand, competition, price and distribution</w:t>
            </w:r>
          </w:p>
        </w:tc>
      </w:tr>
      <w:tr>
        <w:tc>
          <w:tcPr>
            <w:tcW w:type="dxa" w:w="1728"/>
            <w:tcMar>
              <w:top w:w="100" w:type="dxa"/>
              <w:start w:w="120" w:type="dxa"/>
              <w:bottom w:w="100" w:type="dxa"/>
              <w:end w:w="120" w:type="dxa"/>
            </w:tcMar>
            <w:vAlign w:val="center"/>
          </w:tcPr>
          <w:p>
            <w:r>
              <w:rPr>
                <w:rFonts w:ascii="Aptos" w:hAnsi="Aptos"/>
                <w:b w:val="0"/>
                <w:i w:val="0"/>
                <w:color w:val="0B1727"/>
                <w:sz w:val="18"/>
              </w:rPr>
              <w:t>Collected revenue</w:t>
            </w:r>
          </w:p>
        </w:tc>
        <w:tc>
          <w:tcPr>
            <w:tcW w:type="dxa" w:w="3672"/>
            <w:tcMar>
              <w:top w:w="100" w:type="dxa"/>
              <w:start w:w="120" w:type="dxa"/>
              <w:bottom w:w="100" w:type="dxa"/>
              <w:end w:w="120" w:type="dxa"/>
            </w:tcMar>
            <w:vAlign w:val="center"/>
          </w:tcPr>
          <w:p>
            <w:r>
              <w:rPr>
                <w:rFonts w:ascii="Aptos" w:hAnsi="Aptos"/>
                <w:b w:val="0"/>
                <w:i w:val="0"/>
                <w:color w:val="0B1727"/>
                <w:sz w:val="18"/>
              </w:rPr>
              <w:t>Cash received after credit period and deductions.</w:t>
            </w:r>
          </w:p>
        </w:tc>
        <w:tc>
          <w:tcPr>
            <w:tcW w:type="dxa" w:w="4176"/>
            <w:tcMar>
              <w:top w:w="100" w:type="dxa"/>
              <w:start w:w="120" w:type="dxa"/>
              <w:bottom w:w="100" w:type="dxa"/>
              <w:end w:w="120" w:type="dxa"/>
            </w:tcMar>
            <w:vAlign w:val="center"/>
          </w:tcPr>
          <w:p>
            <w:r>
              <w:rPr>
                <w:rFonts w:ascii="Aptos" w:hAnsi="Aptos"/>
                <w:b w:val="0"/>
                <w:i w:val="0"/>
                <w:color w:val="0B1727"/>
                <w:sz w:val="18"/>
              </w:rPr>
              <w:t>Sold volume × net realisation, adjusted for collections</w:t>
            </w:r>
          </w:p>
        </w:tc>
      </w:tr>
    </w:tbl>
    <w:p>
      <w:pPr>
        <w:spacing w:after="0"/>
      </w:pPr>
    </w:p>
    <w:p>
      <w:pPr>
        <w:spacing w:after="100"/>
      </w:pPr>
      <w:r>
        <w:rPr>
          <w:rFonts w:ascii="Aptos" w:hAnsi="Aptos"/>
          <w:b w:val="0"/>
          <w:i w:val="0"/>
          <w:color w:val="0B1727"/>
          <w:sz w:val="21"/>
        </w:rPr>
        <w:t>For investment planning, use the lowest defensible constraint. A plant capable of producing more than the market can sell may show a low theoretical cost per m³ while producing weak cash flow and high working-capital pressure.</w:t>
      </w:r>
    </w:p>
    <w:p>
      <w:pPr>
        <w:pStyle w:val="Heading1"/>
      </w:pPr>
      <w:r>
        <w:t>Understand the Results</w:t>
      </w:r>
    </w:p>
    <w:tbl>
      <w:tblPr>
        <w:tblW w:type="auto" w:w="0"/>
        <w:jc w:val="center"/>
        <w:tblLayout w:type="fixed"/>
        <w:tblLook w:firstColumn="1" w:firstRow="1" w:lastColumn="0" w:lastRow="0" w:noHBand="0" w:noVBand="1" w:val="04A0"/>
      </w:tblPr>
      <w:tblGrid>
        <w:gridCol w:w="4853"/>
        <w:gridCol w:w="4853"/>
      </w:tblGrid>
      <w:tr>
        <w:trPr>
          <w:tblHeader w:val="true"/>
        </w:trPr>
        <w:tc>
          <w:tcPr>
            <w:tcW w:type="dxa" w:w="2088"/>
            <w:shd w:fill="0B1727"/>
            <w:tcMar>
              <w:top w:w="100" w:type="dxa"/>
              <w:start w:w="120" w:type="dxa"/>
              <w:bottom w:w="100" w:type="dxa"/>
              <w:end w:w="120" w:type="dxa"/>
            </w:tcMar>
          </w:tcPr>
          <w:p>
            <w:pPr>
              <w:jc w:val="left"/>
            </w:pPr>
            <w:r>
              <w:rPr>
                <w:rFonts w:ascii="Aptos" w:hAnsi="Aptos"/>
                <w:b/>
                <w:i w:val="0"/>
                <w:color w:val="FFFFFF"/>
                <w:sz w:val="18"/>
              </w:rPr>
              <w:t>Result</w:t>
            </w:r>
          </w:p>
        </w:tc>
        <w:tc>
          <w:tcPr>
            <w:tcW w:type="dxa" w:w="7488"/>
            <w:shd w:fill="0B1727"/>
            <w:tcMar>
              <w:top w:w="100" w:type="dxa"/>
              <w:start w:w="120" w:type="dxa"/>
              <w:bottom w:w="100" w:type="dxa"/>
              <w:end w:w="120" w:type="dxa"/>
            </w:tcMar>
          </w:tcPr>
          <w:p>
            <w:pPr>
              <w:jc w:val="left"/>
            </w:pPr>
            <w:r>
              <w:rPr>
                <w:rFonts w:ascii="Aptos" w:hAnsi="Aptos"/>
                <w:b/>
                <w:i w:val="0"/>
                <w:color w:val="FFFFFF"/>
                <w:sz w:val="18"/>
              </w:rPr>
              <w:t>How to interpret it</w:t>
            </w:r>
          </w:p>
        </w:tc>
      </w:tr>
      <w:tr>
        <w:tc>
          <w:tcPr>
            <w:tcW w:type="dxa" w:w="2088"/>
            <w:tcMar>
              <w:top w:w="100" w:type="dxa"/>
              <w:start w:w="120" w:type="dxa"/>
              <w:bottom w:w="100" w:type="dxa"/>
              <w:end w:w="120" w:type="dxa"/>
            </w:tcMar>
            <w:vAlign w:val="center"/>
          </w:tcPr>
          <w:p>
            <w:r>
              <w:rPr>
                <w:rFonts w:ascii="Aptos" w:hAnsi="Aptos"/>
                <w:b w:val="0"/>
                <w:i w:val="0"/>
                <w:color w:val="0B1727"/>
                <w:sz w:val="18"/>
              </w:rPr>
              <w:t>Annual revenue</w:t>
            </w:r>
          </w:p>
        </w:tc>
        <w:tc>
          <w:tcPr>
            <w:tcW w:type="dxa" w:w="7488"/>
            <w:tcMar>
              <w:top w:w="100" w:type="dxa"/>
              <w:start w:w="120" w:type="dxa"/>
              <w:bottom w:w="100" w:type="dxa"/>
              <w:end w:w="120" w:type="dxa"/>
            </w:tcMar>
            <w:vAlign w:val="center"/>
          </w:tcPr>
          <w:p>
            <w:r>
              <w:rPr>
                <w:rFonts w:ascii="Aptos" w:hAnsi="Aptos"/>
                <w:b w:val="0"/>
                <w:i w:val="0"/>
                <w:color w:val="0B1727"/>
                <w:sz w:val="18"/>
              </w:rPr>
              <w:t>Saleable volume sold × net sales realisation. It should not be calculated from rated capacity unless all output can be produced and sold.</w:t>
            </w:r>
          </w:p>
        </w:tc>
      </w:tr>
      <w:tr>
        <w:tc>
          <w:tcPr>
            <w:tcW w:type="dxa" w:w="2088"/>
            <w:tcMar>
              <w:top w:w="100" w:type="dxa"/>
              <w:start w:w="120" w:type="dxa"/>
              <w:bottom w:w="100" w:type="dxa"/>
              <w:end w:w="120" w:type="dxa"/>
            </w:tcMar>
            <w:vAlign w:val="center"/>
            <w:shd w:fill="F5F7F8"/>
          </w:tcPr>
          <w:p>
            <w:r>
              <w:rPr>
                <w:rFonts w:ascii="Aptos" w:hAnsi="Aptos"/>
                <w:b w:val="0"/>
                <w:i w:val="0"/>
                <w:color w:val="0B1727"/>
                <w:sz w:val="18"/>
              </w:rPr>
              <w:t>Production cost per m³</w:t>
            </w:r>
          </w:p>
        </w:tc>
        <w:tc>
          <w:tcPr>
            <w:tcW w:type="dxa" w:w="7488"/>
            <w:tcMar>
              <w:top w:w="100" w:type="dxa"/>
              <w:start w:w="120" w:type="dxa"/>
              <w:bottom w:w="100" w:type="dxa"/>
              <w:end w:w="120" w:type="dxa"/>
            </w:tcMar>
            <w:vAlign w:val="center"/>
            <w:shd w:fill="F5F7F8"/>
          </w:tcPr>
          <w:p>
            <w:r>
              <w:rPr>
                <w:rFonts w:ascii="Aptos" w:hAnsi="Aptos"/>
                <w:b w:val="0"/>
                <w:i w:val="0"/>
                <w:color w:val="0B1727"/>
                <w:sz w:val="18"/>
              </w:rPr>
              <w:t>Relevant operating costs divided by saleable output. The model should state which finance, depreciation, freight and overhead costs are included.</w:t>
            </w:r>
          </w:p>
        </w:tc>
      </w:tr>
      <w:tr>
        <w:tc>
          <w:tcPr>
            <w:tcW w:type="dxa" w:w="2088"/>
            <w:tcMar>
              <w:top w:w="100" w:type="dxa"/>
              <w:start w:w="120" w:type="dxa"/>
              <w:bottom w:w="100" w:type="dxa"/>
              <w:end w:w="120" w:type="dxa"/>
            </w:tcMar>
            <w:vAlign w:val="center"/>
          </w:tcPr>
          <w:p>
            <w:r>
              <w:rPr>
                <w:rFonts w:ascii="Aptos" w:hAnsi="Aptos"/>
                <w:b w:val="0"/>
                <w:i w:val="0"/>
                <w:color w:val="0B1727"/>
                <w:sz w:val="18"/>
              </w:rPr>
              <w:t>Contribution per m³</w:t>
            </w:r>
          </w:p>
        </w:tc>
        <w:tc>
          <w:tcPr>
            <w:tcW w:type="dxa" w:w="7488"/>
            <w:tcMar>
              <w:top w:w="100" w:type="dxa"/>
              <w:start w:w="120" w:type="dxa"/>
              <w:bottom w:w="100" w:type="dxa"/>
              <w:end w:w="120" w:type="dxa"/>
            </w:tcMar>
            <w:vAlign w:val="center"/>
          </w:tcPr>
          <w:p>
            <w:r>
              <w:rPr>
                <w:rFonts w:ascii="Aptos" w:hAnsi="Aptos"/>
                <w:b w:val="0"/>
                <w:i w:val="0"/>
                <w:color w:val="0B1727"/>
                <w:sz w:val="18"/>
              </w:rPr>
              <w:t>Net sales realisation less variable cost per saleable m³.</w:t>
            </w:r>
          </w:p>
        </w:tc>
      </w:tr>
      <w:tr>
        <w:tc>
          <w:tcPr>
            <w:tcW w:type="dxa" w:w="2088"/>
            <w:tcMar>
              <w:top w:w="100" w:type="dxa"/>
              <w:start w:w="120" w:type="dxa"/>
              <w:bottom w:w="100" w:type="dxa"/>
              <w:end w:w="120" w:type="dxa"/>
            </w:tcMar>
            <w:vAlign w:val="center"/>
            <w:shd w:fill="F5F7F8"/>
          </w:tcPr>
          <w:p>
            <w:r>
              <w:rPr>
                <w:rFonts w:ascii="Aptos" w:hAnsi="Aptos"/>
                <w:b w:val="0"/>
                <w:i w:val="0"/>
                <w:color w:val="0B1727"/>
                <w:sz w:val="18"/>
              </w:rPr>
              <w:t>Break-even volume</w:t>
            </w:r>
          </w:p>
        </w:tc>
        <w:tc>
          <w:tcPr>
            <w:tcW w:type="dxa" w:w="7488"/>
            <w:tcMar>
              <w:top w:w="100" w:type="dxa"/>
              <w:start w:w="120" w:type="dxa"/>
              <w:bottom w:w="100" w:type="dxa"/>
              <w:end w:w="120" w:type="dxa"/>
            </w:tcMar>
            <w:vAlign w:val="center"/>
            <w:shd w:fill="F5F7F8"/>
          </w:tcPr>
          <w:p>
            <w:r>
              <w:rPr>
                <w:rFonts w:ascii="Aptos" w:hAnsi="Aptos"/>
                <w:b w:val="0"/>
                <w:i w:val="0"/>
                <w:color w:val="0B1727"/>
                <w:sz w:val="18"/>
              </w:rPr>
              <w:t>The saleable volume required for total contribution to cover fixed operating costs.</w:t>
            </w:r>
          </w:p>
        </w:tc>
      </w:tr>
      <w:tr>
        <w:tc>
          <w:tcPr>
            <w:tcW w:type="dxa" w:w="2088"/>
            <w:tcMar>
              <w:top w:w="100" w:type="dxa"/>
              <w:start w:w="120" w:type="dxa"/>
              <w:bottom w:w="100" w:type="dxa"/>
              <w:end w:w="120" w:type="dxa"/>
            </w:tcMar>
            <w:vAlign w:val="center"/>
          </w:tcPr>
          <w:p>
            <w:r>
              <w:rPr>
                <w:rFonts w:ascii="Aptos" w:hAnsi="Aptos"/>
                <w:b w:val="0"/>
                <w:i w:val="0"/>
                <w:color w:val="0B1727"/>
                <w:sz w:val="18"/>
              </w:rPr>
              <w:t>Operating profit / EBITDA</w:t>
            </w:r>
          </w:p>
        </w:tc>
        <w:tc>
          <w:tcPr>
            <w:tcW w:type="dxa" w:w="7488"/>
            <w:tcMar>
              <w:top w:w="100" w:type="dxa"/>
              <w:start w:w="120" w:type="dxa"/>
              <w:bottom w:w="100" w:type="dxa"/>
              <w:end w:w="120" w:type="dxa"/>
            </w:tcMar>
            <w:vAlign w:val="center"/>
          </w:tcPr>
          <w:p>
            <w:r>
              <w:rPr>
                <w:rFonts w:ascii="Aptos" w:hAnsi="Aptos"/>
                <w:b w:val="0"/>
                <w:i w:val="0"/>
                <w:color w:val="0B1727"/>
                <w:sz w:val="18"/>
              </w:rPr>
              <w:t>Operating performance before interest, tax, depreciation and amortisation. It is not the same as cash available to the investor.</w:t>
            </w:r>
          </w:p>
        </w:tc>
      </w:tr>
      <w:tr>
        <w:tc>
          <w:tcPr>
            <w:tcW w:type="dxa" w:w="2088"/>
            <w:tcMar>
              <w:top w:w="100" w:type="dxa"/>
              <w:start w:w="120" w:type="dxa"/>
              <w:bottom w:w="100" w:type="dxa"/>
              <w:end w:w="120" w:type="dxa"/>
            </w:tcMar>
            <w:vAlign w:val="center"/>
            <w:shd w:fill="F5F7F8"/>
          </w:tcPr>
          <w:p>
            <w:r>
              <w:rPr>
                <w:rFonts w:ascii="Aptos" w:hAnsi="Aptos"/>
                <w:b w:val="0"/>
                <w:i w:val="0"/>
                <w:color w:val="0B1727"/>
                <w:sz w:val="18"/>
              </w:rPr>
              <w:t>Project cash flow</w:t>
            </w:r>
          </w:p>
        </w:tc>
        <w:tc>
          <w:tcPr>
            <w:tcW w:type="dxa" w:w="7488"/>
            <w:tcMar>
              <w:top w:w="100" w:type="dxa"/>
              <w:start w:w="120" w:type="dxa"/>
              <w:bottom w:w="100" w:type="dxa"/>
              <w:end w:w="120" w:type="dxa"/>
            </w:tcMar>
            <w:vAlign w:val="center"/>
            <w:shd w:fill="F5F7F8"/>
          </w:tcPr>
          <w:p>
            <w:r>
              <w:rPr>
                <w:rFonts w:ascii="Aptos" w:hAnsi="Aptos"/>
                <w:b w:val="0"/>
                <w:i w:val="0"/>
                <w:color w:val="0B1727"/>
                <w:sz w:val="18"/>
              </w:rPr>
              <w:t>Cash generated after the model’s stated capital, operating, working-capital and tax assumptions.</w:t>
            </w:r>
          </w:p>
        </w:tc>
      </w:tr>
      <w:tr>
        <w:tc>
          <w:tcPr>
            <w:tcW w:type="dxa" w:w="2088"/>
            <w:tcMar>
              <w:top w:w="100" w:type="dxa"/>
              <w:start w:w="120" w:type="dxa"/>
              <w:bottom w:w="100" w:type="dxa"/>
              <w:end w:w="120" w:type="dxa"/>
            </w:tcMar>
            <w:vAlign w:val="center"/>
          </w:tcPr>
          <w:p>
            <w:r>
              <w:rPr>
                <w:rFonts w:ascii="Aptos" w:hAnsi="Aptos"/>
                <w:b w:val="0"/>
                <w:i w:val="0"/>
                <w:color w:val="0B1727"/>
                <w:sz w:val="18"/>
              </w:rPr>
              <w:t>Payback</w:t>
            </w:r>
          </w:p>
        </w:tc>
        <w:tc>
          <w:tcPr>
            <w:tcW w:type="dxa" w:w="7488"/>
            <w:tcMar>
              <w:top w:w="100" w:type="dxa"/>
              <w:start w:w="120" w:type="dxa"/>
              <w:bottom w:w="100" w:type="dxa"/>
              <w:end w:w="120" w:type="dxa"/>
            </w:tcMar>
            <w:vAlign w:val="center"/>
          </w:tcPr>
          <w:p>
            <w:r>
              <w:rPr>
                <w:rFonts w:ascii="Aptos" w:hAnsi="Aptos"/>
                <w:b w:val="0"/>
                <w:i w:val="0"/>
                <w:color w:val="0B1727"/>
                <w:sz w:val="18"/>
              </w:rPr>
              <w:t>The period in which cumulative project cash flow recovers the defined initial investment.</w:t>
            </w:r>
          </w:p>
        </w:tc>
      </w:tr>
      <w:tr>
        <w:tc>
          <w:tcPr>
            <w:tcW w:type="dxa" w:w="2088"/>
            <w:tcMar>
              <w:top w:w="100" w:type="dxa"/>
              <w:start w:w="120" w:type="dxa"/>
              <w:bottom w:w="100" w:type="dxa"/>
              <w:end w:w="120" w:type="dxa"/>
            </w:tcMar>
            <w:vAlign w:val="center"/>
            <w:shd w:fill="F5F7F8"/>
          </w:tcPr>
          <w:p>
            <w:r>
              <w:rPr>
                <w:rFonts w:ascii="Aptos" w:hAnsi="Aptos"/>
                <w:b w:val="0"/>
                <w:i w:val="0"/>
                <w:color w:val="0B1727"/>
                <w:sz w:val="18"/>
              </w:rPr>
              <w:t>IRR</w:t>
            </w:r>
          </w:p>
        </w:tc>
        <w:tc>
          <w:tcPr>
            <w:tcW w:type="dxa" w:w="7488"/>
            <w:tcMar>
              <w:top w:w="100" w:type="dxa"/>
              <w:start w:w="120" w:type="dxa"/>
              <w:bottom w:w="100" w:type="dxa"/>
              <w:end w:w="120" w:type="dxa"/>
            </w:tcMar>
            <w:vAlign w:val="center"/>
            <w:shd w:fill="F5F7F8"/>
          </w:tcPr>
          <w:p>
            <w:r>
              <w:rPr>
                <w:rFonts w:ascii="Aptos" w:hAnsi="Aptos"/>
                <w:b w:val="0"/>
                <w:i w:val="0"/>
                <w:color w:val="0B1727"/>
                <w:sz w:val="18"/>
              </w:rPr>
              <w:t>A multi-year return measure based on cash-flow timing. Project IRR and equity IRR should be shown separately if debt is modelled.</w:t>
            </w:r>
          </w:p>
        </w:tc>
      </w:tr>
    </w:tbl>
    <w:p>
      <w:pPr>
        <w:spacing w:after="0"/>
      </w:pPr>
    </w:p>
    <w:p>
      <w:pPr>
        <w:pStyle w:val="Heading1"/>
      </w:pPr>
      <w:r>
        <w:t>Do Not Trust a Single-Scenario ROI</w:t>
      </w:r>
    </w:p>
    <w:p>
      <w:pPr>
        <w:spacing w:after="100"/>
      </w:pPr>
      <w:r>
        <w:rPr>
          <w:rFonts w:ascii="Aptos" w:hAnsi="Aptos"/>
          <w:b w:val="0"/>
          <w:i w:val="0"/>
          <w:color w:val="0B1727"/>
          <w:sz w:val="21"/>
        </w:rPr>
        <w:t>A responsible feasibility review should compare at least three cases:</w:t>
      </w:r>
    </w:p>
    <w:tbl>
      <w:tblPr>
        <w:tblW w:type="auto" w:w="0"/>
        <w:jc w:val="center"/>
        <w:tblLayout w:type="fixed"/>
        <w:tblLook w:firstColumn="1" w:firstRow="1" w:lastColumn="0" w:lastRow="0" w:noHBand="0" w:noVBand="1" w:val="04A0"/>
      </w:tblPr>
      <w:tblGrid>
        <w:gridCol w:w="3235"/>
        <w:gridCol w:w="3235"/>
        <w:gridCol w:w="3235"/>
      </w:tblGrid>
      <w:tr>
        <w:trPr>
          <w:tblHeader w:val="true"/>
        </w:trPr>
        <w:tc>
          <w:tcPr>
            <w:tcW w:type="dxa" w:w="1512"/>
            <w:shd w:fill="0B1727"/>
            <w:tcMar>
              <w:top w:w="100" w:type="dxa"/>
              <w:start w:w="120" w:type="dxa"/>
              <w:bottom w:w="100" w:type="dxa"/>
              <w:end w:w="120" w:type="dxa"/>
            </w:tcMar>
          </w:tcPr>
          <w:p>
            <w:pPr>
              <w:jc w:val="left"/>
            </w:pPr>
            <w:r>
              <w:rPr>
                <w:rFonts w:ascii="Aptos" w:hAnsi="Aptos"/>
                <w:b/>
                <w:i w:val="0"/>
                <w:color w:val="FFFFFF"/>
                <w:sz w:val="18"/>
              </w:rPr>
              <w:t>Scenario</w:t>
            </w:r>
          </w:p>
        </w:tc>
        <w:tc>
          <w:tcPr>
            <w:tcW w:type="dxa" w:w="2232"/>
            <w:shd w:fill="0B1727"/>
            <w:tcMar>
              <w:top w:w="100" w:type="dxa"/>
              <w:start w:w="120" w:type="dxa"/>
              <w:bottom w:w="100" w:type="dxa"/>
              <w:end w:w="120" w:type="dxa"/>
            </w:tcMar>
          </w:tcPr>
          <w:p>
            <w:pPr>
              <w:jc w:val="left"/>
            </w:pPr>
            <w:r>
              <w:rPr>
                <w:rFonts w:ascii="Aptos" w:hAnsi="Aptos"/>
                <w:b/>
                <w:i w:val="0"/>
                <w:color w:val="FFFFFF"/>
                <w:sz w:val="18"/>
              </w:rPr>
              <w:t>Purpose</w:t>
            </w:r>
          </w:p>
        </w:tc>
        <w:tc>
          <w:tcPr>
            <w:tcW w:type="dxa" w:w="5832"/>
            <w:shd w:fill="0B1727"/>
            <w:tcMar>
              <w:top w:w="100" w:type="dxa"/>
              <w:start w:w="120" w:type="dxa"/>
              <w:bottom w:w="100" w:type="dxa"/>
              <w:end w:w="120" w:type="dxa"/>
            </w:tcMar>
          </w:tcPr>
          <w:p>
            <w:pPr>
              <w:jc w:val="left"/>
            </w:pPr>
            <w:r>
              <w:rPr>
                <w:rFonts w:ascii="Aptos" w:hAnsi="Aptos"/>
                <w:b/>
                <w:i w:val="0"/>
                <w:color w:val="FFFFFF"/>
                <w:sz w:val="18"/>
              </w:rPr>
              <w:t>Assumptions to test</w:t>
            </w:r>
          </w:p>
        </w:tc>
      </w:tr>
      <w:tr>
        <w:tc>
          <w:tcPr>
            <w:tcW w:type="dxa" w:w="1512"/>
            <w:tcMar>
              <w:top w:w="100" w:type="dxa"/>
              <w:start w:w="120" w:type="dxa"/>
              <w:bottom w:w="100" w:type="dxa"/>
              <w:end w:w="120" w:type="dxa"/>
            </w:tcMar>
            <w:vAlign w:val="center"/>
          </w:tcPr>
          <w:p>
            <w:r>
              <w:rPr>
                <w:rFonts w:ascii="Aptos" w:hAnsi="Aptos"/>
                <w:b w:val="0"/>
                <w:i w:val="0"/>
                <w:color w:val="0B1727"/>
                <w:sz w:val="18"/>
              </w:rPr>
              <w:t>Downside</w:t>
            </w:r>
          </w:p>
        </w:tc>
        <w:tc>
          <w:tcPr>
            <w:tcW w:type="dxa" w:w="2232"/>
            <w:tcMar>
              <w:top w:w="100" w:type="dxa"/>
              <w:start w:w="120" w:type="dxa"/>
              <w:bottom w:w="100" w:type="dxa"/>
              <w:end w:w="120" w:type="dxa"/>
            </w:tcMar>
            <w:vAlign w:val="center"/>
          </w:tcPr>
          <w:p>
            <w:r>
              <w:rPr>
                <w:rFonts w:ascii="Aptos" w:hAnsi="Aptos"/>
                <w:b w:val="0"/>
                <w:i w:val="0"/>
                <w:color w:val="0B1727"/>
                <w:sz w:val="18"/>
              </w:rPr>
              <w:t>Tests project resilience</w:t>
            </w:r>
          </w:p>
        </w:tc>
        <w:tc>
          <w:tcPr>
            <w:tcW w:type="dxa" w:w="5832"/>
            <w:tcMar>
              <w:top w:w="100" w:type="dxa"/>
              <w:start w:w="120" w:type="dxa"/>
              <w:bottom w:w="100" w:type="dxa"/>
              <w:end w:w="120" w:type="dxa"/>
            </w:tcMar>
            <w:vAlign w:val="center"/>
          </w:tcPr>
          <w:p>
            <w:r>
              <w:rPr>
                <w:rFonts w:ascii="Aptos" w:hAnsi="Aptos"/>
                <w:b w:val="0"/>
                <w:i w:val="0"/>
                <w:color w:val="0B1727"/>
                <w:sz w:val="18"/>
              </w:rPr>
              <w:t>Slower sales ramp-up, lower net realisation, higher raw-material/fuel cost, longer collection period and more downtime</w:t>
            </w:r>
          </w:p>
        </w:tc>
      </w:tr>
      <w:tr>
        <w:tc>
          <w:tcPr>
            <w:tcW w:type="dxa" w:w="1512"/>
            <w:tcMar>
              <w:top w:w="100" w:type="dxa"/>
              <w:start w:w="120" w:type="dxa"/>
              <w:bottom w:w="100" w:type="dxa"/>
              <w:end w:w="120" w:type="dxa"/>
            </w:tcMar>
            <w:vAlign w:val="center"/>
            <w:shd w:fill="F5F7F8"/>
          </w:tcPr>
          <w:p>
            <w:r>
              <w:rPr>
                <w:rFonts w:ascii="Aptos" w:hAnsi="Aptos"/>
                <w:b w:val="0"/>
                <w:i w:val="0"/>
                <w:color w:val="0B1727"/>
                <w:sz w:val="18"/>
              </w:rPr>
              <w:t>Base</w:t>
            </w:r>
          </w:p>
        </w:tc>
        <w:tc>
          <w:tcPr>
            <w:tcW w:type="dxa" w:w="2232"/>
            <w:tcMar>
              <w:top w:w="100" w:type="dxa"/>
              <w:start w:w="120" w:type="dxa"/>
              <w:bottom w:w="100" w:type="dxa"/>
              <w:end w:w="120" w:type="dxa"/>
            </w:tcMar>
            <w:vAlign w:val="center"/>
            <w:shd w:fill="F5F7F8"/>
          </w:tcPr>
          <w:p>
            <w:r>
              <w:rPr>
                <w:rFonts w:ascii="Aptos" w:hAnsi="Aptos"/>
                <w:b w:val="0"/>
                <w:i w:val="0"/>
                <w:color w:val="0B1727"/>
                <w:sz w:val="18"/>
              </w:rPr>
              <w:t>Represents the most defensible plan</w:t>
            </w:r>
          </w:p>
        </w:tc>
        <w:tc>
          <w:tcPr>
            <w:tcW w:type="dxa" w:w="5832"/>
            <w:tcMar>
              <w:top w:w="100" w:type="dxa"/>
              <w:start w:w="120" w:type="dxa"/>
              <w:bottom w:w="100" w:type="dxa"/>
              <w:end w:w="120" w:type="dxa"/>
            </w:tcMar>
            <w:vAlign w:val="center"/>
            <w:shd w:fill="F5F7F8"/>
          </w:tcPr>
          <w:p>
            <w:r>
              <w:rPr>
                <w:rFonts w:ascii="Aptos" w:hAnsi="Aptos"/>
                <w:b w:val="0"/>
                <w:i w:val="0"/>
                <w:color w:val="0B1727"/>
                <w:sz w:val="18"/>
              </w:rPr>
              <w:t>Evidence-based demand, practical utilisation, expected costs and a realistic working-capital cycle</w:t>
            </w:r>
          </w:p>
        </w:tc>
      </w:tr>
      <w:tr>
        <w:tc>
          <w:tcPr>
            <w:tcW w:type="dxa" w:w="1512"/>
            <w:tcMar>
              <w:top w:w="100" w:type="dxa"/>
              <w:start w:w="120" w:type="dxa"/>
              <w:bottom w:w="100" w:type="dxa"/>
              <w:end w:w="120" w:type="dxa"/>
            </w:tcMar>
            <w:vAlign w:val="center"/>
          </w:tcPr>
          <w:p>
            <w:r>
              <w:rPr>
                <w:rFonts w:ascii="Aptos" w:hAnsi="Aptos"/>
                <w:b w:val="0"/>
                <w:i w:val="0"/>
                <w:color w:val="0B1727"/>
                <w:sz w:val="18"/>
              </w:rPr>
              <w:t>Upside</w:t>
            </w:r>
          </w:p>
        </w:tc>
        <w:tc>
          <w:tcPr>
            <w:tcW w:type="dxa" w:w="2232"/>
            <w:tcMar>
              <w:top w:w="100" w:type="dxa"/>
              <w:start w:w="120" w:type="dxa"/>
              <w:bottom w:w="100" w:type="dxa"/>
              <w:end w:w="120" w:type="dxa"/>
            </w:tcMar>
            <w:vAlign w:val="center"/>
          </w:tcPr>
          <w:p>
            <w:r>
              <w:rPr>
                <w:rFonts w:ascii="Aptos" w:hAnsi="Aptos"/>
                <w:b w:val="0"/>
                <w:i w:val="0"/>
                <w:color w:val="0B1727"/>
                <w:sz w:val="18"/>
              </w:rPr>
              <w:t>Shows opportunity without becoming the approval case</w:t>
            </w:r>
          </w:p>
        </w:tc>
        <w:tc>
          <w:tcPr>
            <w:tcW w:type="dxa" w:w="5832"/>
            <w:tcMar>
              <w:top w:w="100" w:type="dxa"/>
              <w:start w:w="120" w:type="dxa"/>
              <w:bottom w:w="100" w:type="dxa"/>
              <w:end w:w="120" w:type="dxa"/>
            </w:tcMar>
            <w:vAlign w:val="center"/>
          </w:tcPr>
          <w:p>
            <w:r>
              <w:rPr>
                <w:rFonts w:ascii="Aptos" w:hAnsi="Aptos"/>
                <w:b w:val="0"/>
                <w:i w:val="0"/>
                <w:color w:val="0B1727"/>
                <w:sz w:val="18"/>
              </w:rPr>
              <w:t>Faster market absorption, stronger product mix and better efficiency—supported by a clear execution plan</w:t>
            </w:r>
          </w:p>
        </w:tc>
      </w:tr>
    </w:tbl>
    <w:p>
      <w:pPr>
        <w:spacing w:after="0"/>
      </w:pPr>
    </w:p>
    <w:p>
      <w:pPr>
        <w:spacing w:after="100"/>
      </w:pPr>
      <w:r>
        <w:rPr>
          <w:rFonts w:ascii="Aptos" w:hAnsi="Aptos"/>
          <w:b w:val="0"/>
          <w:i w:val="0"/>
          <w:color w:val="0B1727"/>
          <w:sz w:val="21"/>
        </w:rPr>
        <w:t>The project should not be approved only because the upside case produces an attractive return. The downside case should also show whether the investor can manage debt service, working-capital requirements and delayed market development.</w:t>
      </w:r>
    </w:p>
    <w:p>
      <w:pPr>
        <w:pStyle w:val="Heading1"/>
      </w:pPr>
      <w:r>
        <w:t>Costs Commonly Missed in AAC Project Calculations</w:t>
      </w:r>
    </w:p>
    <w:p>
      <w:pPr>
        <w:pStyle w:val="ListBullet"/>
      </w:pPr>
      <w:r>
        <w:rPr>
          <w:rFonts w:ascii="Aptos" w:hAnsi="Aptos"/>
          <w:b w:val="0"/>
          <w:i w:val="0"/>
          <w:color w:val="0B1727"/>
          <w:sz w:val="21"/>
        </w:rPr>
        <w:t>Interest during construction and delayed commissioning.</w:t>
      </w:r>
    </w:p>
    <w:p>
      <w:pPr>
        <w:pStyle w:val="ListBullet"/>
      </w:pPr>
      <w:r>
        <w:rPr>
          <w:rFonts w:ascii="Aptos" w:hAnsi="Aptos"/>
          <w:b w:val="0"/>
          <w:i w:val="0"/>
          <w:color w:val="0B1727"/>
          <w:sz w:val="21"/>
        </w:rPr>
        <w:t>Trial-production material, quality stabilisation and initial rejection.</w:t>
      </w:r>
    </w:p>
    <w:p>
      <w:pPr>
        <w:pStyle w:val="ListBullet"/>
      </w:pPr>
      <w:r>
        <w:rPr>
          <w:rFonts w:ascii="Aptos" w:hAnsi="Aptos"/>
          <w:b w:val="0"/>
          <w:i w:val="0"/>
          <w:color w:val="0B1727"/>
          <w:sz w:val="21"/>
        </w:rPr>
        <w:t>Market-development cost before the plant reaches target sales.</w:t>
      </w:r>
    </w:p>
    <w:p>
      <w:pPr>
        <w:pStyle w:val="ListBullet"/>
      </w:pPr>
      <w:r>
        <w:rPr>
          <w:rFonts w:ascii="Aptos" w:hAnsi="Aptos"/>
          <w:b w:val="0"/>
          <w:i w:val="0"/>
          <w:color w:val="0B1727"/>
          <w:sz w:val="21"/>
        </w:rPr>
        <w:t>Finished-goods inventory, customer credit and collection delays.</w:t>
      </w:r>
    </w:p>
    <w:p>
      <w:pPr>
        <w:pStyle w:val="ListBullet"/>
      </w:pPr>
      <w:r>
        <w:rPr>
          <w:rFonts w:ascii="Aptos" w:hAnsi="Aptos"/>
          <w:b w:val="0"/>
          <w:i w:val="0"/>
          <w:color w:val="0B1727"/>
          <w:sz w:val="21"/>
        </w:rPr>
        <w:t>Freight support, unloading, dealer incentive, discount and sales returns.</w:t>
      </w:r>
    </w:p>
    <w:p>
      <w:pPr>
        <w:pStyle w:val="ListBullet"/>
      </w:pPr>
      <w:r>
        <w:rPr>
          <w:rFonts w:ascii="Aptos" w:hAnsi="Aptos"/>
          <w:b w:val="0"/>
          <w:i w:val="0"/>
          <w:color w:val="0B1727"/>
          <w:sz w:val="21"/>
        </w:rPr>
        <w:t>Routine spares, shutdown maintenance and major component replacement.</w:t>
      </w:r>
    </w:p>
    <w:p>
      <w:pPr>
        <w:pStyle w:val="ListBullet"/>
      </w:pPr>
      <w:r>
        <w:rPr>
          <w:rFonts w:ascii="Aptos" w:hAnsi="Aptos"/>
          <w:b w:val="0"/>
          <w:i w:val="0"/>
          <w:color w:val="0B1727"/>
          <w:sz w:val="21"/>
        </w:rPr>
        <w:t>Laboratory, quality, compliance, insurance and professional costs.</w:t>
      </w:r>
    </w:p>
    <w:p>
      <w:pPr>
        <w:pStyle w:val="ListBullet"/>
      </w:pPr>
      <w:r>
        <w:rPr>
          <w:rFonts w:ascii="Aptos" w:hAnsi="Aptos"/>
          <w:b w:val="0"/>
          <w:i w:val="0"/>
          <w:color w:val="0B1727"/>
          <w:sz w:val="21"/>
        </w:rPr>
        <w:t>Additional CAPEX needed for future products, capacity expansion or panel production.</w:t>
      </w:r>
    </w:p>
    <w:p>
      <w:pPr>
        <w:pStyle w:val="Heading1"/>
      </w:pPr>
      <w:r>
        <w:t>How Plant Selection Affects ROI</w:t>
      </w:r>
    </w:p>
    <w:p>
      <w:pPr>
        <w:spacing w:after="100"/>
      </w:pPr>
      <w:r>
        <w:rPr>
          <w:rFonts w:ascii="Aptos" w:hAnsi="Aptos"/>
          <w:b w:val="0"/>
          <w:i w:val="0"/>
          <w:color w:val="0B1727"/>
          <w:sz w:val="21"/>
        </w:rPr>
        <w:t>Machinery selection affects investment, output consistency, manpower structure, maintenance dependency, utility consumption and expansion flexibility. The lowest quotation is therefore not automatically the lowest-cost project, while the highest automation level is not automatically the highest-return project.</w:t>
      </w:r>
    </w:p>
    <w:p>
      <w:pPr>
        <w:spacing w:after="100"/>
      </w:pPr>
      <w:r>
        <w:rPr>
          <w:rFonts w:ascii="Aptos" w:hAnsi="Aptos"/>
          <w:b w:val="0"/>
          <w:i w:val="0"/>
          <w:color w:val="0B1727"/>
          <w:sz w:val="21"/>
        </w:rPr>
        <w:t>Compare alternative plant configurations using the same market, cost, financing and ramp-up assumptions. This isolates the economic effect of plant configuration instead of allowing different assumptions to predetermine the result.</w:t>
      </w:r>
    </w:p>
    <w:p>
      <w:pPr>
        <w:pStyle w:val="Heading1"/>
      </w:pPr>
      <w:r>
        <w:t>What This Calculator Can—and Cannot—Tell You</w:t>
      </w:r>
    </w:p>
    <w:tbl>
      <w:tblPr>
        <w:tblW w:type="auto" w:w="0"/>
        <w:jc w:val="center"/>
        <w:tblLayout w:type="fixed"/>
        <w:tblLook w:firstColumn="1" w:firstRow="1" w:lastColumn="0" w:lastRow="0" w:noHBand="0" w:noVBand="1" w:val="04A0"/>
      </w:tblPr>
      <w:tblGrid>
        <w:gridCol w:w="4853"/>
        <w:gridCol w:w="4853"/>
      </w:tblGrid>
      <w:tr>
        <w:trPr>
          <w:tblHeader w:val="true"/>
        </w:trPr>
        <w:tc>
          <w:tcPr>
            <w:tcW w:type="dxa" w:w="4752"/>
            <w:shd w:fill="0B1727"/>
            <w:tcMar>
              <w:top w:w="100" w:type="dxa"/>
              <w:start w:w="120" w:type="dxa"/>
              <w:bottom w:w="100" w:type="dxa"/>
              <w:end w:w="120" w:type="dxa"/>
            </w:tcMar>
          </w:tcPr>
          <w:p>
            <w:pPr>
              <w:jc w:val="left"/>
            </w:pPr>
            <w:r>
              <w:rPr>
                <w:rFonts w:ascii="Aptos" w:hAnsi="Aptos"/>
                <w:b/>
                <w:i w:val="0"/>
                <w:color w:val="FFFFFF"/>
                <w:sz w:val="18"/>
              </w:rPr>
              <w:t>It can help you</w:t>
            </w:r>
          </w:p>
        </w:tc>
        <w:tc>
          <w:tcPr>
            <w:tcW w:type="dxa" w:w="4824"/>
            <w:shd w:fill="0B1727"/>
            <w:tcMar>
              <w:top w:w="100" w:type="dxa"/>
              <w:start w:w="120" w:type="dxa"/>
              <w:bottom w:w="100" w:type="dxa"/>
              <w:end w:w="120" w:type="dxa"/>
            </w:tcMar>
          </w:tcPr>
          <w:p>
            <w:pPr>
              <w:jc w:val="left"/>
            </w:pPr>
            <w:r>
              <w:rPr>
                <w:rFonts w:ascii="Aptos" w:hAnsi="Aptos"/>
                <w:b/>
                <w:i w:val="0"/>
                <w:color w:val="FFFFFF"/>
                <w:sz w:val="18"/>
              </w:rPr>
              <w:t>It cannot guarantee</w:t>
            </w:r>
          </w:p>
        </w:tc>
      </w:tr>
      <w:tr>
        <w:tc>
          <w:tcPr>
            <w:tcW w:type="dxa" w:w="4752"/>
            <w:tcMar>
              <w:top w:w="100" w:type="dxa"/>
              <w:start w:w="120" w:type="dxa"/>
              <w:bottom w:w="100" w:type="dxa"/>
              <w:end w:w="120" w:type="dxa"/>
            </w:tcMar>
            <w:vAlign w:val="center"/>
          </w:tcPr>
          <w:p>
            <w:r>
              <w:rPr>
                <w:rFonts w:ascii="Aptos" w:hAnsi="Aptos"/>
                <w:b w:val="0"/>
                <w:i w:val="0"/>
                <w:color w:val="0B1727"/>
                <w:sz w:val="18"/>
              </w:rPr>
              <w:t>Compare capacities and project configurations using a common assumption set.</w:t>
            </w:r>
          </w:p>
        </w:tc>
        <w:tc>
          <w:tcPr>
            <w:tcW w:type="dxa" w:w="4824"/>
            <w:tcMar>
              <w:top w:w="100" w:type="dxa"/>
              <w:start w:w="120" w:type="dxa"/>
              <w:bottom w:w="100" w:type="dxa"/>
              <w:end w:w="120" w:type="dxa"/>
            </w:tcMar>
            <w:vAlign w:val="center"/>
          </w:tcPr>
          <w:p>
            <w:r>
              <w:rPr>
                <w:rFonts w:ascii="Aptos" w:hAnsi="Aptos"/>
                <w:b w:val="0"/>
                <w:i w:val="0"/>
                <w:color w:val="0B1727"/>
                <w:sz w:val="18"/>
              </w:rPr>
              <w:t>Actual production, selling price, market demand, operating cost or profitability.</w:t>
            </w:r>
          </w:p>
        </w:tc>
      </w:tr>
      <w:tr>
        <w:tc>
          <w:tcPr>
            <w:tcW w:type="dxa" w:w="4752"/>
            <w:tcMar>
              <w:top w:w="100" w:type="dxa"/>
              <w:start w:w="120" w:type="dxa"/>
              <w:bottom w:w="100" w:type="dxa"/>
              <w:end w:w="120" w:type="dxa"/>
            </w:tcMar>
            <w:vAlign w:val="center"/>
            <w:shd w:fill="F5F7F8"/>
          </w:tcPr>
          <w:p>
            <w:r>
              <w:rPr>
                <w:rFonts w:ascii="Aptos" w:hAnsi="Aptos"/>
                <w:b w:val="0"/>
                <w:i w:val="0"/>
                <w:color w:val="0B1727"/>
                <w:sz w:val="18"/>
              </w:rPr>
              <w:t>Identify the utilisation or sales volume required to break even.</w:t>
            </w:r>
          </w:p>
        </w:tc>
        <w:tc>
          <w:tcPr>
            <w:tcW w:type="dxa" w:w="4824"/>
            <w:tcMar>
              <w:top w:w="100" w:type="dxa"/>
              <w:start w:w="120" w:type="dxa"/>
              <w:bottom w:w="100" w:type="dxa"/>
              <w:end w:w="120" w:type="dxa"/>
            </w:tcMar>
            <w:vAlign w:val="center"/>
            <w:shd w:fill="F5F7F8"/>
          </w:tcPr>
          <w:p>
            <w:r>
              <w:rPr>
                <w:rFonts w:ascii="Aptos" w:hAnsi="Aptos"/>
                <w:b w:val="0"/>
                <w:i w:val="0"/>
                <w:color w:val="0B1727"/>
                <w:sz w:val="18"/>
              </w:rPr>
              <w:t>That the proposed market will absorb the required output.</w:t>
            </w:r>
          </w:p>
        </w:tc>
      </w:tr>
      <w:tr>
        <w:tc>
          <w:tcPr>
            <w:tcW w:type="dxa" w:w="4752"/>
            <w:tcMar>
              <w:top w:w="100" w:type="dxa"/>
              <w:start w:w="120" w:type="dxa"/>
              <w:bottom w:w="100" w:type="dxa"/>
              <w:end w:w="120" w:type="dxa"/>
            </w:tcMar>
            <w:vAlign w:val="center"/>
          </w:tcPr>
          <w:p>
            <w:r>
              <w:rPr>
                <w:rFonts w:ascii="Aptos" w:hAnsi="Aptos"/>
                <w:b w:val="0"/>
                <w:i w:val="0"/>
                <w:color w:val="0B1727"/>
                <w:sz w:val="18"/>
              </w:rPr>
              <w:t>Test the effect of price, cost, efficiency and working-capital changes.</w:t>
            </w:r>
          </w:p>
        </w:tc>
        <w:tc>
          <w:tcPr>
            <w:tcW w:type="dxa" w:w="4824"/>
            <w:tcMar>
              <w:top w:w="100" w:type="dxa"/>
              <w:start w:w="120" w:type="dxa"/>
              <w:bottom w:w="100" w:type="dxa"/>
              <w:end w:w="120" w:type="dxa"/>
            </w:tcMar>
            <w:vAlign w:val="center"/>
          </w:tcPr>
          <w:p>
            <w:r>
              <w:rPr>
                <w:rFonts w:ascii="Aptos" w:hAnsi="Aptos"/>
                <w:b w:val="0"/>
                <w:i w:val="0"/>
                <w:color w:val="0B1727"/>
                <w:sz w:val="18"/>
              </w:rPr>
              <w:t>Loan approval, subsidy eligibility or regulatory permission.</w:t>
            </w:r>
          </w:p>
        </w:tc>
      </w:tr>
      <w:tr>
        <w:tc>
          <w:tcPr>
            <w:tcW w:type="dxa" w:w="4752"/>
            <w:tcMar>
              <w:top w:w="100" w:type="dxa"/>
              <w:start w:w="120" w:type="dxa"/>
              <w:bottom w:w="100" w:type="dxa"/>
              <w:end w:w="120" w:type="dxa"/>
            </w:tcMar>
            <w:vAlign w:val="center"/>
            <w:shd w:fill="F5F7F8"/>
          </w:tcPr>
          <w:p>
            <w:r>
              <w:rPr>
                <w:rFonts w:ascii="Aptos" w:hAnsi="Aptos"/>
                <w:b w:val="0"/>
                <w:i w:val="0"/>
                <w:color w:val="0B1727"/>
                <w:sz w:val="18"/>
              </w:rPr>
              <w:t>Prepare focused questions for machinery, market and finance discussions.</w:t>
            </w:r>
          </w:p>
        </w:tc>
        <w:tc>
          <w:tcPr>
            <w:tcW w:type="dxa" w:w="4824"/>
            <w:tcMar>
              <w:top w:w="100" w:type="dxa"/>
              <w:start w:w="120" w:type="dxa"/>
              <w:bottom w:w="100" w:type="dxa"/>
              <w:end w:w="120" w:type="dxa"/>
            </w:tcMar>
            <w:vAlign w:val="center"/>
            <w:shd w:fill="F5F7F8"/>
          </w:tcPr>
          <w:p>
            <w:r>
              <w:rPr>
                <w:rFonts w:ascii="Aptos" w:hAnsi="Aptos"/>
                <w:b w:val="0"/>
                <w:i w:val="0"/>
                <w:color w:val="0B1727"/>
                <w:sz w:val="18"/>
              </w:rPr>
              <w:t>A bankable DPR, valuation, investment recommendation or professional financial advice.</w:t>
            </w:r>
          </w:p>
        </w:tc>
      </w:tr>
    </w:tbl>
    <w:p>
      <w:pPr>
        <w:spacing w:after="0"/>
      </w:pPr>
    </w:p>
    <w:p>
      <w:pPr>
        <w:pStyle w:val="Heading1"/>
      </w:pPr>
      <w:r>
        <w:t>Before You Finalise the Investment</w:t>
      </w:r>
    </w:p>
    <w:p>
      <w:pPr>
        <w:spacing w:after="100"/>
      </w:pPr>
      <w:r>
        <w:rPr>
          <w:rFonts w:ascii="Aptos" w:hAnsi="Aptos"/>
          <w:b w:val="0"/>
          <w:i w:val="0"/>
          <w:color w:val="0B1727"/>
          <w:sz w:val="21"/>
        </w:rPr>
        <w:t>Validate the calculator inputs with evidence from your proposed market and project—not only with generic industry assumptions.</w:t>
      </w:r>
    </w:p>
    <w:p>
      <w:pPr>
        <w:pStyle w:val="ListBullet"/>
      </w:pPr>
      <w:r>
        <w:rPr>
          <w:rFonts w:ascii="Aptos" w:hAnsi="Aptos"/>
          <w:b w:val="0"/>
          <w:i w:val="0"/>
          <w:color w:val="0B1727"/>
          <w:sz w:val="21"/>
        </w:rPr>
        <w:t>Obtain current raw-material and fuel quotations for the proposed location.</w:t>
      </w:r>
    </w:p>
    <w:p>
      <w:pPr>
        <w:pStyle w:val="ListBullet"/>
      </w:pPr>
      <w:r>
        <w:rPr>
          <w:rFonts w:ascii="Aptos" w:hAnsi="Aptos"/>
          <w:b w:val="0"/>
          <w:i w:val="0"/>
          <w:color w:val="0B1727"/>
          <w:sz w:val="21"/>
        </w:rPr>
        <w:t>Map existing AAC capacity, selling prices, customer segments and transport economics within the service region.</w:t>
      </w:r>
    </w:p>
    <w:p>
      <w:pPr>
        <w:pStyle w:val="ListBullet"/>
      </w:pPr>
      <w:r>
        <w:rPr>
          <w:rFonts w:ascii="Aptos" w:hAnsi="Aptos"/>
          <w:b w:val="0"/>
          <w:i w:val="0"/>
          <w:color w:val="0B1727"/>
          <w:sz w:val="21"/>
        </w:rPr>
        <w:t>Confirm machinery scope, utilities, civil requirements, commissioning responsibility and expansion provisions.</w:t>
      </w:r>
    </w:p>
    <w:p>
      <w:pPr>
        <w:pStyle w:val="ListBullet"/>
      </w:pPr>
      <w:r>
        <w:rPr>
          <w:rFonts w:ascii="Aptos" w:hAnsi="Aptos"/>
          <w:b w:val="0"/>
          <w:i w:val="0"/>
          <w:color w:val="0B1727"/>
          <w:sz w:val="21"/>
        </w:rPr>
        <w:t>Review working capital, debt service, taxation and cash-flow timing with a qualified finance professional.</w:t>
      </w:r>
    </w:p>
    <w:p>
      <w:pPr>
        <w:pStyle w:val="ListBullet"/>
      </w:pPr>
      <w:r>
        <w:rPr>
          <w:rFonts w:ascii="Aptos" w:hAnsi="Aptos"/>
          <w:b w:val="0"/>
          <w:i w:val="0"/>
          <w:color w:val="0B1727"/>
          <w:sz w:val="21"/>
        </w:rPr>
        <w:t>Visit relevant running plants and examine production consistency, manpower, maintenance and actual dispatch conditions.</w:t>
      </w:r>
    </w:p>
    <w:tbl>
      <w:tblPr>
        <w:tblW w:type="auto" w:w="0"/>
        <w:jc w:val="center"/>
        <w:tblLayout w:type="fixed"/>
        <w:tblLook w:firstColumn="1" w:firstRow="1" w:lastColumn="0" w:lastRow="0" w:noHBand="0" w:noVBand="1" w:val="04A0"/>
      </w:tblPr>
      <w:tblGrid>
        <w:gridCol w:w="9576"/>
      </w:tblGrid>
      <w:tr>
        <w:tc>
          <w:tcPr>
            <w:tcW w:type="dxa" w:w="9576"/>
            <w:shd w:fill="EEF2F5"/>
            <w:tcMar>
              <w:top w:w="160" w:type="dxa"/>
              <w:start w:w="180" w:type="dxa"/>
              <w:bottom w:w="160" w:type="dxa"/>
              <w:end w:w="180" w:type="dxa"/>
            </w:tcMar>
          </w:tcPr>
          <w:p>
            <w:pPr>
              <w:spacing w:after="80"/>
            </w:pPr>
            <w:r>
              <w:rPr>
                <w:rFonts w:ascii="Aptos" w:hAnsi="Aptos"/>
                <w:b/>
                <w:i w:val="0"/>
                <w:color w:val="0C4F80"/>
                <w:sz w:val="22"/>
              </w:rPr>
              <w:t>Need your assumptions reviewed?</w:t>
            </w:r>
          </w:p>
          <w:p>
            <w:pPr>
              <w:spacing w:after="0"/>
            </w:pPr>
            <w:r>
              <w:rPr>
                <w:rFonts w:ascii="Aptos" w:hAnsi="Aptos"/>
                <w:b w:val="0"/>
                <w:i w:val="0"/>
                <w:color w:val="0B1727"/>
                <w:sz w:val="21"/>
              </w:rPr>
              <w:t>Request a techno-commercial assumption review from Laxmi En-Fab Pvt. Ltd. The review should focus on proposed capacity, machinery scope, production assumptions, utilities, product mix and the information required for a detailed project evaluation.</w:t>
            </w:r>
          </w:p>
        </w:tc>
      </w:tr>
    </w:tbl>
    <w:p>
      <w:pPr>
        <w:spacing w:after="0"/>
      </w:pPr>
    </w:p>
    <w:tbl>
      <w:tblPr>
        <w:tblW w:type="auto" w:w="0"/>
        <w:jc w:val="center"/>
        <w:tblLayout w:type="fixed"/>
        <w:tblLook w:firstColumn="1" w:firstRow="1" w:lastColumn="0" w:lastRow="0" w:noHBand="0" w:noVBand="1" w:val="04A0"/>
      </w:tblPr>
      <w:tblGrid>
        <w:gridCol w:w="9576"/>
      </w:tblGrid>
      <w:tr>
        <w:tc>
          <w:tcPr>
            <w:tcW w:type="dxa" w:w="9576"/>
            <w:shd w:fill="F5F7F8"/>
            <w:tcMar>
              <w:top w:w="160" w:type="dxa"/>
              <w:start w:w="180" w:type="dxa"/>
              <w:bottom w:w="160" w:type="dxa"/>
              <w:end w:w="180" w:type="dxa"/>
            </w:tcMar>
          </w:tcPr>
          <w:p>
            <w:pPr>
              <w:spacing w:after="80"/>
            </w:pPr>
            <w:r>
              <w:rPr>
                <w:rFonts w:ascii="Aptos" w:hAnsi="Aptos"/>
                <w:b/>
                <w:i w:val="0"/>
                <w:color w:val="0C4F80"/>
                <w:sz w:val="22"/>
              </w:rPr>
              <w:t>Secondary button</w:t>
            </w:r>
          </w:p>
          <w:p>
            <w:pPr>
              <w:spacing w:after="0"/>
            </w:pPr>
            <w:r>
              <w:rPr>
                <w:rFonts w:ascii="Aptos" w:hAnsi="Aptos"/>
                <w:b w:val="0"/>
                <w:i w:val="0"/>
                <w:color w:val="0B1727"/>
                <w:sz w:val="21"/>
              </w:rPr>
              <w:t>REQUEST AN ENGINEERING REVIEW OF MY ASSUMPTIONS</w:t>
            </w:r>
          </w:p>
        </w:tc>
      </w:tr>
    </w:tbl>
    <w:p>
      <w:pPr>
        <w:spacing w:after="0"/>
      </w:pPr>
    </w:p>
    <w:p>
      <w:pPr>
        <w:pStyle w:val="Heading1"/>
      </w:pPr>
      <w:r>
        <w:t>Frequently Asked Questions</w:t>
      </w:r>
    </w:p>
    <w:p>
      <w:pPr>
        <w:pStyle w:val="Heading2"/>
      </w:pPr>
      <w:r>
        <w:t>Is an AAC plant profitable in India?</w:t>
      </w:r>
    </w:p>
    <w:p>
      <w:pPr>
        <w:spacing w:after="100"/>
      </w:pPr>
      <w:r>
        <w:rPr>
          <w:rFonts w:ascii="Aptos" w:hAnsi="Aptos"/>
          <w:b w:val="0"/>
          <w:i w:val="0"/>
          <w:color w:val="0B1727"/>
          <w:sz w:val="21"/>
        </w:rPr>
        <w:t>An AAC plant can be financially viable when local demand, net sales realisation, raw-material availability, plant sizing, operating efficiency, working capital and financing are aligned. Profitability cannot be established from an industry-average margin or machinery quotation alone.</w:t>
      </w:r>
    </w:p>
    <w:p>
      <w:pPr>
        <w:pStyle w:val="Heading2"/>
      </w:pPr>
      <w:r>
        <w:t>How is AAC plant ROI calculated?</w:t>
      </w:r>
    </w:p>
    <w:p>
      <w:pPr>
        <w:spacing w:after="100"/>
      </w:pPr>
      <w:r>
        <w:rPr>
          <w:rFonts w:ascii="Aptos" w:hAnsi="Aptos"/>
          <w:b w:val="0"/>
          <w:i w:val="0"/>
          <w:color w:val="0B1727"/>
          <w:sz w:val="21"/>
        </w:rPr>
        <w:t>ROI compares a clearly defined annual return with a clearly defined investment base. Because EBITDA, profit after tax and cash flow are different, the calculation must state which return and investment values are used.</w:t>
      </w:r>
    </w:p>
    <w:p>
      <w:pPr>
        <w:pStyle w:val="Heading2"/>
      </w:pPr>
      <w:r>
        <w:t>How is break-even volume calculated?</w:t>
      </w:r>
    </w:p>
    <w:p>
      <w:pPr>
        <w:spacing w:after="100"/>
      </w:pPr>
      <w:r>
        <w:rPr>
          <w:rFonts w:ascii="Aptos" w:hAnsi="Aptos"/>
          <w:b w:val="0"/>
          <w:i w:val="0"/>
          <w:color w:val="0B1727"/>
          <w:sz w:val="21"/>
        </w:rPr>
        <w:t>Break-even volume is generally calculated as fixed operating cost divided by contribution per saleable m³. Contribution per m³ is net sales realisation less variable cost per saleable m³.</w:t>
      </w:r>
    </w:p>
    <w:p>
      <w:pPr>
        <w:pStyle w:val="Heading2"/>
      </w:pPr>
      <w:r>
        <w:t>What capacity utilisation should be used?</w:t>
      </w:r>
    </w:p>
    <w:p>
      <w:pPr>
        <w:spacing w:after="100"/>
      </w:pPr>
      <w:r>
        <w:rPr>
          <w:rFonts w:ascii="Aptos" w:hAnsi="Aptos"/>
          <w:b w:val="0"/>
          <w:i w:val="0"/>
          <w:color w:val="0B1727"/>
          <w:sz w:val="21"/>
        </w:rPr>
        <w:t>Use a multi-year ramp-up based on realistic production and sales constraints. Do not use full rated capacity from the first year unless the market, workforce, raw materials, commissioning plan and sales commitments support it.</w:t>
      </w:r>
    </w:p>
    <w:p>
      <w:pPr>
        <w:pStyle w:val="Heading2"/>
      </w:pPr>
      <w:r>
        <w:t>Should land and working capital be included?</w:t>
      </w:r>
    </w:p>
    <w:p>
      <w:pPr>
        <w:spacing w:after="100"/>
      </w:pPr>
      <w:r>
        <w:rPr>
          <w:rFonts w:ascii="Aptos" w:hAnsi="Aptos"/>
          <w:b w:val="0"/>
          <w:i w:val="0"/>
          <w:color w:val="0B1727"/>
          <w:sz w:val="21"/>
        </w:rPr>
        <w:t>Working capital should normally be included because inventory, receivables and operating cash directly affect project funding. Land may be shown separately, but the selected ROI definition must clearly state whether it is included.</w:t>
      </w:r>
    </w:p>
    <w:p>
      <w:pPr>
        <w:pStyle w:val="Heading2"/>
      </w:pPr>
      <w:r>
        <w:t>Does full automation always improve ROI?</w:t>
      </w:r>
    </w:p>
    <w:p>
      <w:pPr>
        <w:spacing w:after="100"/>
      </w:pPr>
      <w:r>
        <w:rPr>
          <w:rFonts w:ascii="Aptos" w:hAnsi="Aptos"/>
          <w:b w:val="0"/>
          <w:i w:val="0"/>
          <w:color w:val="0B1727"/>
          <w:sz w:val="21"/>
        </w:rPr>
        <w:t>No. Automation may reduce certain manual activities and improve process control, but it can also increase capital cost and skilled technical dependency. Compare configurations using the same demand and cost assumptions.</w:t>
      </w:r>
    </w:p>
    <w:p>
      <w:pPr>
        <w:pStyle w:val="Heading2"/>
      </w:pPr>
      <w:r>
        <w:t>How does transport affect profitability?</w:t>
      </w:r>
    </w:p>
    <w:p>
      <w:pPr>
        <w:spacing w:after="100"/>
      </w:pPr>
      <w:r>
        <w:rPr>
          <w:rFonts w:ascii="Aptos" w:hAnsi="Aptos"/>
          <w:b w:val="0"/>
          <w:i w:val="0"/>
          <w:color w:val="0B1727"/>
          <w:sz w:val="21"/>
        </w:rPr>
        <w:t>AAC is sold into regional markets where delivered economics matter. Freight support, unloading, distance, vehicle utilisation, breakage and customer credit can materially change net realisation and working capital.</w:t>
      </w:r>
    </w:p>
    <w:p>
      <w:pPr>
        <w:pStyle w:val="Heading2"/>
      </w:pPr>
      <w:r>
        <w:t>Can the model be used for AAC panels?</w:t>
      </w:r>
    </w:p>
    <w:p>
      <w:pPr>
        <w:spacing w:after="100"/>
      </w:pPr>
      <w:r>
        <w:rPr>
          <w:rFonts w:ascii="Aptos" w:hAnsi="Aptos"/>
          <w:b w:val="0"/>
          <w:i w:val="0"/>
          <w:color w:val="0B1727"/>
          <w:sz w:val="21"/>
        </w:rPr>
        <w:t>Only when panel-specific investment, reinforcement, production, rejection, selling-price, project-sales and working-capital assumptions are included. Block economics should not be applied mechanically to panels.</w:t>
      </w:r>
    </w:p>
    <w:p>
      <w:pPr>
        <w:pStyle w:val="Heading2"/>
      </w:pPr>
      <w:r>
        <w:t>Is the result suitable for bank finance?</w:t>
      </w:r>
    </w:p>
    <w:p>
      <w:pPr>
        <w:spacing w:after="100"/>
      </w:pPr>
      <w:r>
        <w:rPr>
          <w:rFonts w:ascii="Aptos" w:hAnsi="Aptos"/>
          <w:b w:val="0"/>
          <w:i w:val="0"/>
          <w:color w:val="0B1727"/>
          <w:sz w:val="21"/>
        </w:rPr>
        <w:t>No calculator result should be treated as a bankable project report by itself. Lenders may require a detailed DPR, quotations, approvals, promoter information, market evidence, security and independently reviewed financial projections.</w:t>
      </w:r>
    </w:p>
    <w:p>
      <w:pPr>
        <w:pStyle w:val="Heading1"/>
      </w:pPr>
      <w:r>
        <w:t>Methodology and Transparency</w:t>
      </w:r>
    </w:p>
    <w:p>
      <w:pPr>
        <w:spacing w:after="100"/>
      </w:pPr>
      <w:r>
        <w:rPr>
          <w:rFonts w:ascii="Aptos" w:hAnsi="Aptos"/>
          <w:b w:val="0"/>
          <w:i w:val="0"/>
          <w:color w:val="0B1727"/>
          <w:sz w:val="21"/>
        </w:rPr>
        <w:t>All calculator outputs should display the units, formula basis and assumptions used. User-entered values should remain distinguishable from illustrative defaults. Results should be downloadable so the investor and advisers can review the same assumption set.</w:t>
      </w:r>
    </w:p>
    <w:p>
      <w:pPr>
        <w:spacing w:after="100"/>
      </w:pPr>
      <w:r>
        <w:rPr>
          <w:rFonts w:ascii="Aptos" w:hAnsi="Aptos"/>
          <w:b w:val="0"/>
          <w:i w:val="0"/>
          <w:color w:val="0B1727"/>
          <w:sz w:val="21"/>
        </w:rPr>
        <w:t>Technical review: Add the verified reviewer’s name, designation, relevant AAC experience and review date before publication.</w:t>
      </w:r>
    </w:p>
    <w:p>
      <w:pPr>
        <w:spacing w:after="100"/>
      </w:pPr>
      <w:r>
        <w:rPr>
          <w:rFonts w:ascii="Aptos" w:hAnsi="Aptos"/>
          <w:b w:val="0"/>
          <w:i w:val="0"/>
          <w:color w:val="0B1727"/>
          <w:sz w:val="21"/>
        </w:rPr>
        <w:t>Financial review: Add the verified qualified reviewer’s name, credentials, scope of review and model version before publication.</w:t>
      </w:r>
    </w:p>
    <w:p>
      <w:pPr>
        <w:spacing w:after="100"/>
      </w:pPr>
      <w:r>
        <w:rPr>
          <w:rFonts w:ascii="Aptos" w:hAnsi="Aptos"/>
          <w:b w:val="0"/>
          <w:i w:val="0"/>
          <w:color w:val="0B1727"/>
          <w:sz w:val="21"/>
        </w:rPr>
        <w:t>Last updated: Add the publication date, last-reviewed date and calculator version.</w:t>
      </w:r>
    </w:p>
    <w:p>
      <w:pPr>
        <w:sectPr>
          <w:headerReference w:type="default" r:id="rId9"/>
          <w:footerReference w:type="default" r:id="rId10"/>
          <w:pgSz w:w="12240" w:h="15840"/>
          <w:pgMar w:top="1123" w:right="1267" w:bottom="1080" w:left="1267" w:header="504" w:footer="504" w:gutter="0"/>
          <w:cols w:space="720"/>
          <w:docGrid w:linePitch="360"/>
        </w:sectPr>
      </w:pPr>
    </w:p>
    <w:p>
      <w:pPr>
        <w:pStyle w:val="Heading1"/>
      </w:pPr>
      <w:r>
        <w:t>Developer &amp; Editorial Handoff — Do Not Publish This Section</w:t>
      </w:r>
    </w:p>
    <w:tbl>
      <w:tblPr>
        <w:tblW w:type="auto" w:w="0"/>
        <w:jc w:val="center"/>
        <w:tblLayout w:type="fixed"/>
        <w:tblLook w:firstColumn="1" w:firstRow="1" w:lastColumn="0" w:lastRow="0" w:noHBand="0" w:noVBand="1" w:val="04A0"/>
      </w:tblPr>
      <w:tblGrid>
        <w:gridCol w:w="9576"/>
      </w:tblGrid>
      <w:tr>
        <w:tc>
          <w:tcPr>
            <w:tcW w:type="dxa" w:w="9576"/>
            <w:shd w:fill="FFF3CD"/>
            <w:tcMar>
              <w:top w:w="160" w:type="dxa"/>
              <w:start w:w="180" w:type="dxa"/>
              <w:bottom w:w="160" w:type="dxa"/>
              <w:end w:w="180" w:type="dxa"/>
            </w:tcMar>
          </w:tcPr>
          <w:p>
            <w:pPr>
              <w:spacing w:after="80"/>
            </w:pPr>
            <w:r>
              <w:rPr>
                <w:rFonts w:ascii="Aptos" w:hAnsi="Aptos"/>
                <w:b/>
                <w:i w:val="0"/>
                <w:color w:val="0C4F80"/>
                <w:sz w:val="22"/>
              </w:rPr>
              <w:t>Publication gate</w:t>
            </w:r>
          </w:p>
          <w:p>
            <w:pPr>
              <w:spacing w:after="0"/>
            </w:pPr>
            <w:r>
              <w:rPr>
                <w:rFonts w:ascii="Aptos" w:hAnsi="Aptos"/>
                <w:b w:val="0"/>
                <w:i w:val="0"/>
                <w:color w:val="0B1727"/>
                <w:sz w:val="21"/>
              </w:rPr>
              <w:t>Do not publish the calculator claims until the working model, formulas and review credentials are confirmed. Remove this handoff section from the live webpage.</w:t>
            </w:r>
          </w:p>
        </w:tc>
      </w:tr>
    </w:tbl>
    <w:p>
      <w:pPr>
        <w:spacing w:after="0"/>
      </w:pPr>
    </w:p>
    <w:p>
      <w:pPr>
        <w:pStyle w:val="Heading2"/>
      </w:pPr>
      <w:r>
        <w:t>Required calculator implementation</w:t>
      </w:r>
    </w:p>
    <w:p>
      <w:pPr>
        <w:pStyle w:val="ListBullet"/>
      </w:pPr>
      <w:r>
        <w:rPr>
          <w:rFonts w:ascii="Aptos" w:hAnsi="Aptos"/>
          <w:b w:val="0"/>
          <w:i w:val="0"/>
          <w:color w:val="0B1727"/>
          <w:sz w:val="21"/>
        </w:rPr>
        <w:t>Make the explanatory copy indexable HTML; do not hide it inside images, a PDF or an inaccessible JavaScript interface.</w:t>
      </w:r>
    </w:p>
    <w:p>
      <w:pPr>
        <w:pStyle w:val="ListBullet"/>
      </w:pPr>
      <w:r>
        <w:rPr>
          <w:rFonts w:ascii="Aptos" w:hAnsi="Aptos"/>
          <w:b w:val="0"/>
          <w:i w:val="0"/>
          <w:color w:val="0B1727"/>
          <w:sz w:val="21"/>
        </w:rPr>
        <w:t>Show units beside every input and definition/tooltips for technical and financial terms.</w:t>
      </w:r>
    </w:p>
    <w:p>
      <w:pPr>
        <w:pStyle w:val="ListBullet"/>
      </w:pPr>
      <w:r>
        <w:rPr>
          <w:rFonts w:ascii="Aptos" w:hAnsi="Aptos"/>
          <w:b w:val="0"/>
          <w:i w:val="0"/>
          <w:color w:val="0B1727"/>
          <w:sz w:val="21"/>
        </w:rPr>
        <w:t>Provide base, downside and upside scenarios; do not show one unexplained ROI number.</w:t>
      </w:r>
    </w:p>
    <w:p>
      <w:pPr>
        <w:pStyle w:val="ListBullet"/>
      </w:pPr>
      <w:r>
        <w:rPr>
          <w:rFonts w:ascii="Aptos" w:hAnsi="Aptos"/>
          <w:b w:val="0"/>
          <w:i w:val="0"/>
          <w:color w:val="0B1727"/>
          <w:sz w:val="21"/>
        </w:rPr>
        <w:t>State whether outputs are pre-tax or post-tax and how depreciation, interest, repayment, GST and terminal value are handled.</w:t>
      </w:r>
    </w:p>
    <w:p>
      <w:pPr>
        <w:pStyle w:val="ListBullet"/>
      </w:pPr>
      <w:r>
        <w:rPr>
          <w:rFonts w:ascii="Aptos" w:hAnsi="Aptos"/>
          <w:b w:val="0"/>
          <w:i w:val="0"/>
          <w:color w:val="0B1727"/>
          <w:sz w:val="21"/>
        </w:rPr>
        <w:t>Keep basic results available without mandatory lead capture. Ask for contact details only for saving, downloading or requesting review.</w:t>
      </w:r>
    </w:p>
    <w:p>
      <w:pPr>
        <w:pStyle w:val="ListBullet"/>
      </w:pPr>
      <w:r>
        <w:rPr>
          <w:rFonts w:ascii="Aptos" w:hAnsi="Aptos"/>
          <w:b w:val="0"/>
          <w:i w:val="0"/>
          <w:color w:val="0B1727"/>
          <w:sz w:val="21"/>
        </w:rPr>
        <w:t>Add privacy consent before transmitting project and contact information.</w:t>
      </w:r>
    </w:p>
    <w:p>
      <w:pPr>
        <w:pStyle w:val="ListBullet"/>
      </w:pPr>
      <w:r>
        <w:rPr>
          <w:rFonts w:ascii="Aptos" w:hAnsi="Aptos"/>
          <w:b w:val="0"/>
          <w:i w:val="0"/>
          <w:color w:val="0B1727"/>
          <w:sz w:val="21"/>
        </w:rPr>
        <w:t>Test mobile accessibility, keyboard navigation, validation messages and Core Web Vitals.</w:t>
      </w:r>
    </w:p>
    <w:p>
      <w:pPr>
        <w:pStyle w:val="Heading2"/>
      </w:pPr>
      <w:r>
        <w:t>Verification required before publication</w:t>
      </w:r>
    </w:p>
    <w:p>
      <w:pPr>
        <w:pStyle w:val="ListBullet"/>
      </w:pPr>
      <w:r>
        <w:rPr>
          <w:rFonts w:ascii="Aptos" w:hAnsi="Aptos"/>
          <w:b w:val="0"/>
          <w:i w:val="0"/>
          <w:color w:val="0B1727"/>
          <w:sz w:val="21"/>
        </w:rPr>
        <w:t>Confirm the actual calculator exists and supports every output named on the page.</w:t>
      </w:r>
    </w:p>
    <w:p>
      <w:pPr>
        <w:pStyle w:val="ListBullet"/>
      </w:pPr>
      <w:r>
        <w:rPr>
          <w:rFonts w:ascii="Aptos" w:hAnsi="Aptos"/>
          <w:b w:val="0"/>
          <w:i w:val="0"/>
          <w:color w:val="0B1727"/>
          <w:sz w:val="21"/>
        </w:rPr>
        <w:t>Confirm supported plant-capacity range and whether blocks and panels use separate calculation logic.</w:t>
      </w:r>
    </w:p>
    <w:p>
      <w:pPr>
        <w:pStyle w:val="ListBullet"/>
      </w:pPr>
      <w:r>
        <w:rPr>
          <w:rFonts w:ascii="Aptos" w:hAnsi="Aptos"/>
          <w:b w:val="0"/>
          <w:i w:val="0"/>
          <w:color w:val="0B1727"/>
          <w:sz w:val="21"/>
        </w:rPr>
        <w:t>Approve the exact ROI, break-even, payback, NPV and IRR formulas.</w:t>
      </w:r>
    </w:p>
    <w:p>
      <w:pPr>
        <w:pStyle w:val="ListBullet"/>
      </w:pPr>
      <w:r>
        <w:rPr>
          <w:rFonts w:ascii="Aptos" w:hAnsi="Aptos"/>
          <w:b w:val="0"/>
          <w:i w:val="0"/>
          <w:color w:val="0B1727"/>
          <w:sz w:val="21"/>
        </w:rPr>
        <w:t>Confirm working-capital, debt, tax, depreciation, GST and terminal-value treatment.</w:t>
      </w:r>
    </w:p>
    <w:p>
      <w:pPr>
        <w:pStyle w:val="ListBullet"/>
      </w:pPr>
      <w:r>
        <w:rPr>
          <w:rFonts w:ascii="Aptos" w:hAnsi="Aptos"/>
          <w:b w:val="0"/>
          <w:i w:val="0"/>
          <w:color w:val="0B1727"/>
          <w:sz w:val="21"/>
        </w:rPr>
        <w:t>Add named technical and qualified financial reviewers.</w:t>
      </w:r>
    </w:p>
    <w:p>
      <w:pPr>
        <w:pStyle w:val="ListBullet"/>
      </w:pPr>
      <w:r>
        <w:rPr>
          <w:rFonts w:ascii="Aptos" w:hAnsi="Aptos"/>
          <w:b w:val="0"/>
          <w:i w:val="0"/>
          <w:color w:val="0B1727"/>
          <w:sz w:val="21"/>
        </w:rPr>
        <w:t>Add verified company experience or project evidence only where publication permission exists.</w:t>
      </w:r>
    </w:p>
    <w:p>
      <w:pPr>
        <w:pStyle w:val="Heading2"/>
      </w:pPr>
      <w:r>
        <w:t>Recommended CTA form</w:t>
      </w:r>
    </w:p>
    <w:tbl>
      <w:tblPr>
        <w:tblW w:type="auto" w:w="0"/>
        <w:jc w:val="center"/>
        <w:tblLayout w:type="fixed"/>
        <w:tblLook w:firstColumn="1" w:firstRow="1" w:lastColumn="0" w:lastRow="0" w:noHBand="0" w:noVBand="1" w:val="04A0"/>
      </w:tblPr>
      <w:tblGrid>
        <w:gridCol w:w="4853"/>
        <w:gridCol w:w="4853"/>
      </w:tblGrid>
      <w:tr>
        <w:trPr>
          <w:tblHeader w:val="true"/>
        </w:trPr>
        <w:tc>
          <w:tcPr>
            <w:tcW w:type="dxa" w:w="4752"/>
            <w:shd w:fill="0B1727"/>
            <w:tcMar>
              <w:top w:w="100" w:type="dxa"/>
              <w:start w:w="120" w:type="dxa"/>
              <w:bottom w:w="100" w:type="dxa"/>
              <w:end w:w="120" w:type="dxa"/>
            </w:tcMar>
          </w:tcPr>
          <w:p>
            <w:pPr>
              <w:jc w:val="left"/>
            </w:pPr>
            <w:r>
              <w:rPr>
                <w:rFonts w:ascii="Aptos" w:hAnsi="Aptos"/>
                <w:b/>
                <w:i w:val="0"/>
                <w:color w:val="FFFFFF"/>
                <w:sz w:val="18"/>
              </w:rPr>
              <w:t>Required</w:t>
            </w:r>
          </w:p>
        </w:tc>
        <w:tc>
          <w:tcPr>
            <w:tcW w:type="dxa" w:w="4824"/>
            <w:shd w:fill="0B1727"/>
            <w:tcMar>
              <w:top w:w="100" w:type="dxa"/>
              <w:start w:w="120" w:type="dxa"/>
              <w:bottom w:w="100" w:type="dxa"/>
              <w:end w:w="120" w:type="dxa"/>
            </w:tcMar>
          </w:tcPr>
          <w:p>
            <w:pPr>
              <w:jc w:val="left"/>
            </w:pPr>
            <w:r>
              <w:rPr>
                <w:rFonts w:ascii="Aptos" w:hAnsi="Aptos"/>
                <w:b/>
                <w:i w:val="0"/>
                <w:color w:val="FFFFFF"/>
                <w:sz w:val="18"/>
              </w:rPr>
              <w:t>Optional</w:t>
            </w:r>
          </w:p>
        </w:tc>
      </w:tr>
      <w:tr>
        <w:tc>
          <w:tcPr>
            <w:tcW w:type="dxa" w:w="4752"/>
            <w:tcMar>
              <w:top w:w="100" w:type="dxa"/>
              <w:start w:w="120" w:type="dxa"/>
              <w:bottom w:w="100" w:type="dxa"/>
              <w:end w:w="120" w:type="dxa"/>
            </w:tcMar>
            <w:vAlign w:val="center"/>
          </w:tcPr>
          <w:p>
            <w:r>
              <w:rPr>
                <w:rFonts w:ascii="Aptos" w:hAnsi="Aptos"/>
                <w:b w:val="0"/>
                <w:i w:val="0"/>
                <w:color w:val="0B1727"/>
                <w:sz w:val="18"/>
              </w:rPr>
              <w:t>Name, company, mobile or email, project location, product, proposed capacity/project stage, consent</w:t>
            </w:r>
          </w:p>
        </w:tc>
        <w:tc>
          <w:tcPr>
            <w:tcW w:type="dxa" w:w="4824"/>
            <w:tcMar>
              <w:top w:w="100" w:type="dxa"/>
              <w:start w:w="120" w:type="dxa"/>
              <w:bottom w:w="100" w:type="dxa"/>
              <w:end w:w="120" w:type="dxa"/>
            </w:tcMar>
            <w:vAlign w:val="center"/>
          </w:tcPr>
          <w:p>
            <w:r>
              <w:rPr>
                <w:rFonts w:ascii="Aptos" w:hAnsi="Aptos"/>
                <w:b w:val="0"/>
                <w:i w:val="0"/>
                <w:color w:val="0B1727"/>
                <w:sz w:val="18"/>
              </w:rPr>
              <w:t>Land status, raw-material basis, target market, indicative investment range, existing DPR upload</w:t>
            </w:r>
          </w:p>
        </w:tc>
      </w:tr>
    </w:tbl>
    <w:p>
      <w:pPr>
        <w:spacing w:after="0"/>
      </w:pPr>
    </w:p>
    <w:sectPr w:rsidR="00FC693F" w:rsidRPr="0006063C" w:rsidSect="00034616">
      <w:pgSz w:w="12240" w:h="15840"/>
      <w:pgMar w:top="1123" w:right="1267" w:bottom="1080"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96879"/>
        <w:sz w:val="16"/>
      </w:rPr>
      <w:t>AAC Plant ROI &amp; Break-Even  |  Publication-ready webpage copy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0C4F80"/>
        <w:sz w:val="17"/>
      </w:rPr>
      <w:t>LAXMI EN-FAB PVT. LTD.  /  AAC INVESTOR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B17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0B1727"/>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C4F8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04F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374" w:hanging="230"/>
      <w:contextualSpacing/>
    </w:pPr>
    <w:rPr>
      <w:rFonts w:ascii="Aptos" w:hAnsi="Aptos"/>
      <w:color w:val="0B172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374" w:hanging="230"/>
      <w:contextualSpacing/>
    </w:pPr>
    <w:rPr>
      <w:rFonts w:ascii="Aptos" w:hAnsi="Aptos"/>
      <w:color w:val="0B172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Plant ROI Calculator and Break-Even Guide</dc:title>
  <dc:subject>Publication-ready webpage copy for Laxmi En-Fab Pvt. Ltd.</dc:subject>
  <dc:creator>Laxmi En-Fab Pvt. Ltd.</dc:creator>
  <cp:keywords>AAC plant ROI calculator, AAC plant break-even, AAC plant profitability India</cp:keywords>
  <dc:description>generated by python-docx</dc:description>
  <cp:lastModifiedBy/>
  <cp:revision>1</cp:revision>
  <dcterms:created xsi:type="dcterms:W3CDTF">2013-12-23T23:15:00Z</dcterms:created>
  <dcterms:modified xsi:type="dcterms:W3CDTF">2013-12-23T23:15:00Z</dcterms:modified>
  <cp:category/>
</cp:coreProperties>
</file>