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ptos" w:hAnsi="Aptos"/>
          <w:b/>
          <w:color w:val="0C4F80"/>
          <w:sz w:val="18"/>
        </w:rPr>
        <w:t>EXISTING AAC PLANT PERFORMANCE</w:t>
      </w:r>
    </w:p>
    <w:p>
      <w:pPr>
        <w:spacing w:after="140"/>
      </w:pPr>
      <w:r>
        <w:rPr>
          <w:rFonts w:ascii="Aptos Display" w:hAnsi="Aptos Display"/>
          <w:b/>
          <w:color w:val="0B1727"/>
          <w:sz w:val="52"/>
        </w:rPr>
        <w:t>How to Improve AAC Block Quality in an Existing Plant</w:t>
      </w:r>
    </w:p>
    <w:p>
      <w:pPr>
        <w:spacing w:after="240"/>
      </w:pPr>
      <w:r>
        <w:rPr>
          <w:rFonts w:ascii="Aptos" w:hAnsi="Aptos"/>
          <w:color w:val="667085"/>
          <w:sz w:val="24"/>
        </w:rPr>
        <w:t>A practical method for diagnosing cracks, low strength, density variation, cutting defects and high rejection—before changing the recipe or replacing equipment.</w:t>
      </w:r>
    </w:p>
    <w:tbl>
      <w:tblPr>
        <w:tblW w:type="auto" w:w="0"/>
        <w:jc w:val="center"/>
        <w:tblLook w:firstColumn="1" w:firstRow="1" w:lastColumn="0" w:lastRow="0" w:noHBand="0" w:noVBand="1" w:val="04A0"/>
      </w:tblPr>
      <w:tblGrid>
        <w:gridCol w:w="9878"/>
      </w:tblGrid>
      <w:tr>
        <w:tc>
          <w:tcPr>
            <w:tcW w:type="dxa" w:w="9878"/>
            <w:shd w:fill="EEF2F5"/>
            <w:tcMar>
              <w:top w:w="100" w:type="dxa"/>
              <w:start w:w="120" w:type="dxa"/>
              <w:bottom w:w="100" w:type="dxa"/>
              <w:end w:w="120" w:type="dxa"/>
            </w:tcMar>
            <w:vAlign w:val="center"/>
          </w:tcPr>
          <w:p>
            <w:pPr>
              <w:spacing w:after="0" w:line="269" w:lineRule="auto"/>
            </w:pPr>
            <w:r/>
            <w:r>
              <w:rPr>
                <w:rFonts w:ascii="Aptos" w:hAnsi="Aptos"/>
                <w:b w:val="0"/>
                <w:color w:val="0B1727"/>
                <w:sz w:val="21"/>
              </w:rPr>
              <w:t>Direct answer</w:t>
              <w:br/>
              <w:t>AAC block quality improves when the plant first defines the defect, traces the affected batch, verifies that measurements and instruments are reliable, and then tests one controlled correction at a time. Raw materials, slurry condition, batching, cake development, cutting, autoclaving and handling are interconnected. Changing several variables together may temporarily alter the symptom without identifying the root cause.</w:t>
            </w:r>
          </w:p>
        </w:tc>
      </w:tr>
    </w:tbl>
    <w:p>
      <w:pPr>
        <w:pStyle w:val="Heading1"/>
      </w:pPr>
      <w:r>
        <w:t>Start with the defect—not a random recipe change</w:t>
      </w:r>
    </w:p>
    <w:p>
      <w:r>
        <w:t>Poor AAC block quality may appear as low compressive strength, unexpected dry-density variation, cracks, non-uniform pore structure, dimensional variation, rough surfaces, broken edges or excessive handling damage. The same visible defect can have several possible contributors. A crack, for example, may originate during cake formation, cutting, transfer, autoclaving, depressurisation or post-autoclave handling.</w:t>
      </w:r>
    </w:p>
    <w:p>
      <w:r>
        <w:t>For this reason, the first objective is not to identify a single ‘most important’ parameter. It is to establish a traceable relationship between the finished-block defect and the batch, recipe, measurement, machine condition and operating history that produced it.</w:t>
      </w:r>
    </w:p>
    <w:p>
      <w:pPr>
        <w:pStyle w:val="Heading1"/>
      </w:pPr>
      <w:r>
        <w:t>A five-step AAC quality diagnostic method</w:t>
      </w:r>
    </w:p>
    <w:p>
      <w:pPr>
        <w:pStyle w:val="ListNumber"/>
      </w:pPr>
      <w:r>
        <w:t>Confirm and classify the defect. Record where it appears, when it is first visible and whether it affects every block, one cake, one mould, one autoclave load or several production days.</w:t>
      </w:r>
    </w:p>
    <w:p>
      <w:pPr>
        <w:pStyle w:val="ListNumber"/>
      </w:pPr>
      <w:r>
        <w:t>Trace the affected production. Link the finished blocks to batch records, raw-material lots, operators, moulds, cutting time and autoclave cycle data.</w:t>
      </w:r>
    </w:p>
    <w:p>
      <w:pPr>
        <w:pStyle w:val="ListNumber"/>
      </w:pPr>
      <w:r>
        <w:t>Verify measurement reliability. Check sampling methods, load-cell calibration, density-measurement technique, temperature instruments and laboratory procedures before changing the recipe.</w:t>
      </w:r>
    </w:p>
    <w:p>
      <w:pPr>
        <w:pStyle w:val="ListNumber"/>
      </w:pPr>
      <w:r>
        <w:t>Compare the affected batch with stable production. Look for deviations in raw materials, water correction, slurry condition, dosing, temperature, rise behaviour, green strength, cutting and steam-cycle trends.</w:t>
      </w:r>
    </w:p>
    <w:p>
      <w:pPr>
        <w:pStyle w:val="ListNumber"/>
      </w:pPr>
      <w:r>
        <w:t>Run a controlled correction trial. Change one defined variable, document the assumption and validate the result using the relevant finished-product tests.</w:t>
      </w:r>
    </w:p>
    <w:p>
      <w:r>
        <w:t>Plant-specific operating targets should be established from the raw-material system, recipe, product grade, equipment configuration and validated production data. A universal value copied from another plant may not be suitable.</w:t>
      </w:r>
    </w:p>
    <w:p>
      <w:pPr>
        <w:pStyle w:val="Heading1"/>
      </w:pPr>
      <w:r>
        <w:t>Slurry density: a critical control, not a standalone answer</w:t>
      </w:r>
    </w:p>
    <w:p>
      <w:r>
        <w:t>Slurry density is one of the most useful production controls because it reflects the relationship between liquid and suspended solids at the measurement point. Variation can influence water balance, cake rise, pore structure, green strength and the relationship between finished density and strength. However, density should not be interpreted in isolation.</w:t>
      </w:r>
    </w:p>
    <w:p>
      <w:r>
        <w:t>Fresh slurry and return slurry may have different compositions and process effects. Their density, temperature, solids condition, circulation and addition rate should be monitored using a defined method. The sampling point and measurement procedure must remain consistent; otherwise, apparent changes may be measurement variation rather than process variation.</w:t>
      </w:r>
    </w:p>
    <w:p>
      <w:r>
        <w:t>A useful slurry-control record should include:</w:t>
      </w:r>
    </w:p>
    <w:p>
      <w:pPr>
        <w:pStyle w:val="ListBullet"/>
      </w:pPr>
      <w:r>
        <w:t>slurry type and tank identification;</w:t>
      </w:r>
    </w:p>
    <w:p>
      <w:pPr>
        <w:pStyle w:val="ListBullet"/>
      </w:pPr>
      <w:r>
        <w:t>measurement time and sampling point;</w:t>
      </w:r>
    </w:p>
    <w:p>
      <w:pPr>
        <w:pStyle w:val="ListBullet"/>
      </w:pPr>
      <w:r>
        <w:t>density and temperature;</w:t>
      </w:r>
    </w:p>
    <w:p>
      <w:pPr>
        <w:pStyle w:val="ListBullet"/>
      </w:pPr>
      <w:r>
        <w:t>raw-material or return-slurry lot;</w:t>
      </w:r>
    </w:p>
    <w:p>
      <w:pPr>
        <w:pStyle w:val="ListBullet"/>
      </w:pPr>
      <w:r>
        <w:t>water correction and quantity added to the batch;</w:t>
      </w:r>
    </w:p>
    <w:p>
      <w:pPr>
        <w:pStyle w:val="ListBullet"/>
      </w:pPr>
      <w:r>
        <w:t>related rise, cutting and finished-product results.</w:t>
      </w:r>
    </w:p>
    <w:p>
      <w:r>
        <w:t>Continuous measurement can improve visibility and traceability, but only when the instrument is correctly installed, calibrated, maintained and connected to an appropriate operator response or control strategy.</w:t>
      </w:r>
    </w:p>
    <w:p>
      <w:pPr>
        <w:pStyle w:val="Heading1"/>
      </w:pPr>
      <w:r>
        <w:t>Defect-to-check troubleshooting guide</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088"/>
            <w:shd w:fill="0C4F80"/>
            <w:vAlign w:val="center"/>
            <w:tcMar>
              <w:top w:w="100" w:type="dxa"/>
              <w:start w:w="120" w:type="dxa"/>
              <w:bottom w:w="100" w:type="dxa"/>
              <w:end w:w="120" w:type="dxa"/>
            </w:tcMar>
          </w:tcPr>
          <w:p>
            <w:pPr>
              <w:spacing w:after="0" w:line="269" w:lineRule="auto"/>
            </w:pPr>
            <w:r/>
            <w:r>
              <w:rPr>
                <w:rFonts w:ascii="Aptos" w:hAnsi="Aptos"/>
                <w:b/>
                <w:color w:val="FFFFFF"/>
                <w:sz w:val="18"/>
              </w:rPr>
              <w:t>Observed condition</w:t>
            </w:r>
          </w:p>
        </w:tc>
        <w:tc>
          <w:tcPr>
            <w:tcW w:type="dxa" w:w="3672"/>
            <w:shd w:fill="0C4F80"/>
            <w:vAlign w:val="center"/>
            <w:tcMar>
              <w:top w:w="100" w:type="dxa"/>
              <w:start w:w="120" w:type="dxa"/>
              <w:bottom w:w="100" w:type="dxa"/>
              <w:end w:w="120" w:type="dxa"/>
            </w:tcMar>
          </w:tcPr>
          <w:p>
            <w:pPr>
              <w:spacing w:after="0" w:line="269" w:lineRule="auto"/>
            </w:pPr>
            <w:r/>
            <w:r>
              <w:rPr>
                <w:rFonts w:ascii="Aptos" w:hAnsi="Aptos"/>
                <w:b/>
                <w:color w:val="FFFFFF"/>
                <w:sz w:val="18"/>
              </w:rPr>
              <w:t>Possible contributors—not a final diagnosis</w:t>
            </w:r>
          </w:p>
        </w:tc>
        <w:tc>
          <w:tcPr>
            <w:tcW w:type="dxa" w:w="4104"/>
            <w:shd w:fill="0C4F80"/>
            <w:vAlign w:val="center"/>
            <w:tcMar>
              <w:top w:w="100" w:type="dxa"/>
              <w:start w:w="120" w:type="dxa"/>
              <w:bottom w:w="100" w:type="dxa"/>
              <w:end w:w="120" w:type="dxa"/>
            </w:tcMar>
          </w:tcPr>
          <w:p>
            <w:pPr>
              <w:spacing w:after="0" w:line="269" w:lineRule="auto"/>
            </w:pPr>
            <w:r/>
            <w:r>
              <w:rPr>
                <w:rFonts w:ascii="Aptos" w:hAnsi="Aptos"/>
                <w:b/>
                <w:color w:val="FFFFFF"/>
                <w:sz w:val="18"/>
              </w:rPr>
              <w:t>First evidence to check</w:t>
            </w:r>
          </w:p>
        </w:tc>
      </w:tr>
      <w:tr>
        <w:tc>
          <w:tcPr>
            <w:tcW w:type="dxa" w:w="2088"/>
            <w:vAlign w:val="center"/>
            <w:tcMar>
              <w:top w:w="100" w:type="dxa"/>
              <w:start w:w="120" w:type="dxa"/>
              <w:bottom w:w="100" w:type="dxa"/>
              <w:end w:w="120" w:type="dxa"/>
            </w:tcMar>
          </w:tcPr>
          <w:p>
            <w:pPr>
              <w:spacing w:after="0" w:line="269" w:lineRule="auto"/>
            </w:pPr>
            <w:r/>
            <w:r>
              <w:rPr>
                <w:rFonts w:ascii="Aptos" w:hAnsi="Aptos"/>
                <w:b w:val="0"/>
                <w:color w:val="0B1727"/>
                <w:sz w:val="18"/>
              </w:rPr>
              <w:t>Low compressive strength</w:t>
            </w:r>
          </w:p>
        </w:tc>
        <w:tc>
          <w:tcPr>
            <w:tcW w:type="dxa" w:w="3672"/>
            <w:vAlign w:val="center"/>
            <w:tcMar>
              <w:top w:w="100" w:type="dxa"/>
              <w:start w:w="120" w:type="dxa"/>
              <w:bottom w:w="100" w:type="dxa"/>
              <w:end w:w="120" w:type="dxa"/>
            </w:tcMar>
          </w:tcPr>
          <w:p>
            <w:pPr>
              <w:spacing w:after="0" w:line="269" w:lineRule="auto"/>
            </w:pPr>
            <w:r/>
            <w:r>
              <w:rPr>
                <w:rFonts w:ascii="Aptos" w:hAnsi="Aptos"/>
                <w:b w:val="0"/>
                <w:color w:val="0B1727"/>
                <w:sz w:val="18"/>
              </w:rPr>
              <w:t>Raw-material reactivity or fineness; recipe deviation; water balance; pore structure; inadequate or non-uniform curing</w:t>
            </w:r>
          </w:p>
        </w:tc>
        <w:tc>
          <w:tcPr>
            <w:tcW w:type="dxa" w:w="4104"/>
            <w:vAlign w:val="center"/>
            <w:tcMar>
              <w:top w:w="100" w:type="dxa"/>
              <w:start w:w="120" w:type="dxa"/>
              <w:bottom w:w="100" w:type="dxa"/>
              <w:end w:w="120" w:type="dxa"/>
            </w:tcMar>
          </w:tcPr>
          <w:p>
            <w:pPr>
              <w:spacing w:after="0" w:line="269" w:lineRule="auto"/>
            </w:pPr>
            <w:r/>
            <w:r>
              <w:rPr>
                <w:rFonts w:ascii="Aptos" w:hAnsi="Aptos"/>
                <w:b w:val="0"/>
                <w:color w:val="0B1727"/>
                <w:sz w:val="18"/>
              </w:rPr>
              <w:t>Raw-material tests, batch weights, density records, cake observations, autoclave trends and laboratory results</w:t>
            </w:r>
          </w:p>
        </w:tc>
      </w:tr>
      <w:tr>
        <w:tc>
          <w:tcPr>
            <w:tcW w:type="dxa" w:w="2088"/>
            <w:shd w:fill="F5F7F8"/>
            <w:vAlign w:val="center"/>
            <w:tcMar>
              <w:top w:w="100" w:type="dxa"/>
              <w:start w:w="120" w:type="dxa"/>
              <w:bottom w:w="100" w:type="dxa"/>
              <w:end w:w="120" w:type="dxa"/>
            </w:tcMar>
          </w:tcPr>
          <w:p>
            <w:pPr>
              <w:spacing w:after="0" w:line="269" w:lineRule="auto"/>
            </w:pPr>
            <w:r/>
            <w:r>
              <w:rPr>
                <w:rFonts w:ascii="Aptos" w:hAnsi="Aptos"/>
                <w:b w:val="0"/>
                <w:color w:val="0B1727"/>
                <w:sz w:val="18"/>
              </w:rPr>
              <w:t>Batch-to-batch density variation</w:t>
            </w:r>
          </w:p>
        </w:tc>
        <w:tc>
          <w:tcPr>
            <w:tcW w:type="dxa" w:w="3672"/>
            <w:shd w:fill="F5F7F8"/>
            <w:vAlign w:val="center"/>
            <w:tcMar>
              <w:top w:w="100" w:type="dxa"/>
              <w:start w:w="120" w:type="dxa"/>
              <w:bottom w:w="100" w:type="dxa"/>
              <w:end w:w="120" w:type="dxa"/>
            </w:tcMar>
          </w:tcPr>
          <w:p>
            <w:pPr>
              <w:spacing w:after="0" w:line="269" w:lineRule="auto"/>
            </w:pPr>
            <w:r/>
            <w:r>
              <w:rPr>
                <w:rFonts w:ascii="Aptos" w:hAnsi="Aptos"/>
                <w:b w:val="0"/>
                <w:color w:val="0B1727"/>
                <w:sz w:val="18"/>
              </w:rPr>
              <w:t>Slurry variation; raw-material moisture; water correction; dosing error; aluminium addition; inconsistent rise</w:t>
            </w:r>
          </w:p>
        </w:tc>
        <w:tc>
          <w:tcPr>
            <w:tcW w:type="dxa" w:w="4104"/>
            <w:shd w:fill="F5F7F8"/>
            <w:vAlign w:val="center"/>
            <w:tcMar>
              <w:top w:w="100" w:type="dxa"/>
              <w:start w:w="120" w:type="dxa"/>
              <w:bottom w:w="100" w:type="dxa"/>
              <w:end w:w="120" w:type="dxa"/>
            </w:tcMar>
          </w:tcPr>
          <w:p>
            <w:pPr>
              <w:spacing w:after="0" w:line="269" w:lineRule="auto"/>
            </w:pPr>
            <w:r/>
            <w:r>
              <w:rPr>
                <w:rFonts w:ascii="Aptos" w:hAnsi="Aptos"/>
                <w:b w:val="0"/>
                <w:color w:val="0B1727"/>
                <w:sz w:val="18"/>
              </w:rPr>
              <w:t>Slurry density/temperature, moisture correction, load-cell records, actual dosing and rise history</w:t>
            </w:r>
          </w:p>
        </w:tc>
      </w:tr>
      <w:tr>
        <w:tc>
          <w:tcPr>
            <w:tcW w:type="dxa" w:w="2088"/>
            <w:vAlign w:val="center"/>
            <w:tcMar>
              <w:top w:w="100" w:type="dxa"/>
              <w:start w:w="120" w:type="dxa"/>
              <w:bottom w:w="100" w:type="dxa"/>
              <w:end w:w="120" w:type="dxa"/>
            </w:tcMar>
          </w:tcPr>
          <w:p>
            <w:pPr>
              <w:spacing w:after="0" w:line="269" w:lineRule="auto"/>
            </w:pPr>
            <w:r/>
            <w:r>
              <w:rPr>
                <w:rFonts w:ascii="Aptos" w:hAnsi="Aptos"/>
                <w:b w:val="0"/>
                <w:color w:val="0B1727"/>
                <w:sz w:val="18"/>
              </w:rPr>
              <w:t>Cracks</w:t>
            </w:r>
          </w:p>
        </w:tc>
        <w:tc>
          <w:tcPr>
            <w:tcW w:type="dxa" w:w="3672"/>
            <w:vAlign w:val="center"/>
            <w:tcMar>
              <w:top w:w="100" w:type="dxa"/>
              <w:start w:w="120" w:type="dxa"/>
              <w:bottom w:w="100" w:type="dxa"/>
              <w:end w:w="120" w:type="dxa"/>
            </w:tcMar>
          </w:tcPr>
          <w:p>
            <w:pPr>
              <w:spacing w:after="0" w:line="269" w:lineRule="auto"/>
            </w:pPr>
            <w:r/>
            <w:r>
              <w:rPr>
                <w:rFonts w:ascii="Aptos" w:hAnsi="Aptos"/>
                <w:b w:val="0"/>
                <w:color w:val="0B1727"/>
                <w:sz w:val="18"/>
              </w:rPr>
              <w:t>Weak or over-risen cake; premature movement; cutting stress; transfer damage; steam/condensate conditions; unsuitable pressure or temperature change</w:t>
            </w:r>
          </w:p>
        </w:tc>
        <w:tc>
          <w:tcPr>
            <w:tcW w:type="dxa" w:w="4104"/>
            <w:vAlign w:val="center"/>
            <w:tcMar>
              <w:top w:w="100" w:type="dxa"/>
              <w:start w:w="120" w:type="dxa"/>
              <w:bottom w:w="100" w:type="dxa"/>
              <w:end w:w="120" w:type="dxa"/>
            </w:tcMar>
          </w:tcPr>
          <w:p>
            <w:pPr>
              <w:spacing w:after="0" w:line="269" w:lineRule="auto"/>
            </w:pPr>
            <w:r/>
            <w:r>
              <w:rPr>
                <w:rFonts w:ascii="Aptos" w:hAnsi="Aptos"/>
                <w:b w:val="0"/>
                <w:color w:val="0B1727"/>
                <w:sz w:val="18"/>
              </w:rPr>
              <w:t>When the crack first appears, crack pattern, handling sequence, cutting record and complete autoclave-cycle trend</w:t>
            </w:r>
          </w:p>
        </w:tc>
      </w:tr>
      <w:tr>
        <w:tc>
          <w:tcPr>
            <w:tcW w:type="dxa" w:w="2088"/>
            <w:shd w:fill="F5F7F8"/>
            <w:vAlign w:val="center"/>
            <w:tcMar>
              <w:top w:w="100" w:type="dxa"/>
              <w:start w:w="120" w:type="dxa"/>
              <w:bottom w:w="100" w:type="dxa"/>
              <w:end w:w="120" w:type="dxa"/>
            </w:tcMar>
          </w:tcPr>
          <w:p>
            <w:pPr>
              <w:spacing w:after="0" w:line="269" w:lineRule="auto"/>
            </w:pPr>
            <w:r/>
            <w:r>
              <w:rPr>
                <w:rFonts w:ascii="Aptos" w:hAnsi="Aptos"/>
                <w:b w:val="0"/>
                <w:color w:val="0B1727"/>
                <w:sz w:val="18"/>
              </w:rPr>
              <w:t>Rough surface or dimensional variation</w:t>
            </w:r>
          </w:p>
        </w:tc>
        <w:tc>
          <w:tcPr>
            <w:tcW w:type="dxa" w:w="3672"/>
            <w:shd w:fill="F5F7F8"/>
            <w:vAlign w:val="center"/>
            <w:tcMar>
              <w:top w:w="100" w:type="dxa"/>
              <w:start w:w="120" w:type="dxa"/>
              <w:bottom w:w="100" w:type="dxa"/>
              <w:end w:w="120" w:type="dxa"/>
            </w:tcMar>
          </w:tcPr>
          <w:p>
            <w:pPr>
              <w:spacing w:after="0" w:line="269" w:lineRule="auto"/>
            </w:pPr>
            <w:r/>
            <w:r>
              <w:rPr>
                <w:rFonts w:ascii="Aptos" w:hAnsi="Aptos"/>
                <w:b w:val="0"/>
                <w:color w:val="0B1727"/>
                <w:sz w:val="18"/>
              </w:rPr>
              <w:t>Wire condition or alignment; cutter calibration; frame position; cake readiness; machine movement</w:t>
            </w:r>
          </w:p>
        </w:tc>
        <w:tc>
          <w:tcPr>
            <w:tcW w:type="dxa" w:w="4104"/>
            <w:shd w:fill="F5F7F8"/>
            <w:vAlign w:val="center"/>
            <w:tcMar>
              <w:top w:w="100" w:type="dxa"/>
              <w:start w:w="120" w:type="dxa"/>
              <w:bottom w:w="100" w:type="dxa"/>
              <w:end w:w="120" w:type="dxa"/>
            </w:tcMar>
          </w:tcPr>
          <w:p>
            <w:pPr>
              <w:spacing w:after="0" w:line="269" w:lineRule="auto"/>
            </w:pPr>
            <w:r/>
            <w:r>
              <w:rPr>
                <w:rFonts w:ascii="Aptos" w:hAnsi="Aptos"/>
                <w:b w:val="0"/>
                <w:color w:val="0B1727"/>
                <w:sz w:val="18"/>
              </w:rPr>
              <w:t>Wire inspection, machine calibration, cut dimensions and green-cake condition</w:t>
            </w:r>
          </w:p>
        </w:tc>
      </w:tr>
      <w:tr>
        <w:tc>
          <w:tcPr>
            <w:tcW w:type="dxa" w:w="2088"/>
            <w:vAlign w:val="center"/>
            <w:tcMar>
              <w:top w:w="100" w:type="dxa"/>
              <w:start w:w="120" w:type="dxa"/>
              <w:bottom w:w="100" w:type="dxa"/>
              <w:end w:w="120" w:type="dxa"/>
            </w:tcMar>
          </w:tcPr>
          <w:p>
            <w:pPr>
              <w:spacing w:after="0" w:line="269" w:lineRule="auto"/>
            </w:pPr>
            <w:r/>
            <w:r>
              <w:rPr>
                <w:rFonts w:ascii="Aptos" w:hAnsi="Aptos"/>
                <w:b w:val="0"/>
                <w:color w:val="0B1727"/>
                <w:sz w:val="18"/>
              </w:rPr>
              <w:t>Broken edges or high handling loss</w:t>
            </w:r>
          </w:p>
        </w:tc>
        <w:tc>
          <w:tcPr>
            <w:tcW w:type="dxa" w:w="3672"/>
            <w:vAlign w:val="center"/>
            <w:tcMar>
              <w:top w:w="100" w:type="dxa"/>
              <w:start w:w="120" w:type="dxa"/>
              <w:bottom w:w="100" w:type="dxa"/>
              <w:end w:w="120" w:type="dxa"/>
            </w:tcMar>
          </w:tcPr>
          <w:p>
            <w:pPr>
              <w:spacing w:after="0" w:line="269" w:lineRule="auto"/>
            </w:pPr>
            <w:r/>
            <w:r>
              <w:rPr>
                <w:rFonts w:ascii="Aptos" w:hAnsi="Aptos"/>
                <w:b w:val="0"/>
                <w:color w:val="0B1727"/>
                <w:sz w:val="18"/>
              </w:rPr>
              <w:t>Insufficient green strength; cutting damage; sticking; separator or packing impact; unsuitable handling method</w:t>
            </w:r>
          </w:p>
        </w:tc>
        <w:tc>
          <w:tcPr>
            <w:tcW w:type="dxa" w:w="4104"/>
            <w:vAlign w:val="center"/>
            <w:tcMar>
              <w:top w:w="100" w:type="dxa"/>
              <w:start w:w="120" w:type="dxa"/>
              <w:bottom w:w="100" w:type="dxa"/>
              <w:end w:w="120" w:type="dxa"/>
            </w:tcMar>
          </w:tcPr>
          <w:p>
            <w:pPr>
              <w:spacing w:after="0" w:line="269" w:lineRule="auto"/>
            </w:pPr>
            <w:r/>
            <w:r>
              <w:rPr>
                <w:rFonts w:ascii="Aptos" w:hAnsi="Aptos"/>
                <w:b w:val="0"/>
                <w:color w:val="0B1727"/>
                <w:sz w:val="18"/>
              </w:rPr>
              <w:t>Damage location and timing, cake hardness, cutting/handling observations and equipment condition</w:t>
            </w:r>
          </w:p>
        </w:tc>
      </w:tr>
    </w:tbl>
    <w:p>
      <w:pPr>
        <w:spacing w:after="0"/>
      </w:pPr>
    </w:p>
    <w:p>
      <w:r>
        <w:t>Important: A troubleshooting table narrows the investigation; it does not prove causation. Confirm the root cause through records, inspection, testing and a controlled trial.</w:t>
      </w:r>
    </w:p>
    <w:p>
      <w:pPr>
        <w:pStyle w:val="Heading1"/>
      </w:pPr>
      <w:r>
        <w:t>Raw-material and batching controls</w:t>
      </w:r>
    </w:p>
    <w:p>
      <w:r>
        <w:t>Incoming materials should be assessed through a defined acceptance and testing plan rather than supplier certificates alone. Relevant characteristics may include fly ash or sand fineness and chemistry, lime reactivity, cement consistency, gypsum quality, aluminium powder or paste condition, water quality and raw-material moisture. The required tests and acceptance limits must be set by the plant’s competent technical team.</w:t>
      </w:r>
    </w:p>
    <w:p>
      <w:r>
        <w:t>Batching checks should cover actual—not only commanded—weights, load-cell calibration, zero drift, feeder consistency, water correction and the timing of additions. Automatic weighing can improve repeatability, but an automated system can reproduce an incorrect value consistently when instruments or control logic are wrong.</w:t>
      </w:r>
    </w:p>
    <w:p>
      <w:pPr>
        <w:pStyle w:val="Heading1"/>
      </w:pPr>
      <w:r>
        <w:t>Mixing, cake development and cutting</w:t>
      </w:r>
    </w:p>
    <w:p>
      <w:r>
        <w:t>Mixing sequence, time, material temperature and aluminium addition affect how the mix develops after casting. Operators should record rise time, rise profile, cake height, temperature and cutting readiness. ‘Ready to cut’ should be defined by a repeatable plant method rather than elapsed time alone, especially when ambient conditions or raw materials vary.</w:t>
      </w:r>
    </w:p>
    <w:p>
      <w:r>
        <w:t>Cutting quality depends on both cake condition and mechanical condition. Inspect wire tension and wear, alignment, frame position, calibration and synchronisation. If a defect appears only on a particular face, layer, wire path or mould position, preserve that location information during investigation; it may help separate a recipe problem from a local mechanical or handling problem.</w:t>
      </w:r>
    </w:p>
    <w:p>
      <w:pPr>
        <w:pStyle w:val="Heading1"/>
      </w:pPr>
      <w:r>
        <w:t>Autoclave and steam-system checks</w:t>
      </w:r>
    </w:p>
    <w:p>
      <w:r>
        <w:t>Autoclaving develops the final properties of AAC through controlled hydrothermal curing. A quality review should examine the complete cycle—not pressure alone—including the pressure and temperature profile, holding conditions, steam distribution, condensate drainage, load arrangement and depressurisation trend.</w:t>
      </w:r>
    </w:p>
    <w:p>
      <w:r>
        <w:t>An unsuitable cycle or uneven conditions may contribute to inconsistent curing or cracking. Do not change pressure, holding time or release practice from a generic online value. Review the cycle against the recipe, product, autoclave system, plant data and applicable operating and safety procedures.</w:t>
      </w:r>
    </w:p>
    <w:p>
      <w:pPr>
        <w:pStyle w:val="Heading1"/>
      </w:pPr>
      <w:r>
        <w:t>Quality checks and production records</w:t>
      </w:r>
    </w:p>
    <w:p>
      <w:r>
        <w:t>Quality control should connect in-process measurements with finished-product performance. In India, IS 2185 (Part 3):1984 specifies requirements for autoclaved cellular aerated concrete blocks. The current applicability, amendments or reaffirmation status and the required sampling/testing procedure should be confirmed from the Bureau of Indian Standards or an authorised standards source before publication or compliance use.</w:t>
      </w:r>
    </w:p>
    <w:p>
      <w:r>
        <w:t>Depending on the applicable specification and plant control plan, relevant checks may include dimensions and visual condition, dry density, compressive strength, drying shrinkage, moisture-related properties and thermal performance. Tests must follow the prescribed method; an internal value measured by a different procedure should not be presented as equivalent to a standard result.</w:t>
      </w:r>
    </w:p>
    <w:p>
      <w:pPr>
        <w:pStyle w:val="Heading1"/>
      </w:pPr>
      <w:r>
        <w:t>Replace star ratings with an accountable control plan</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656"/>
            <w:shd w:fill="0C4F80"/>
            <w:vAlign w:val="center"/>
            <w:tcMar>
              <w:top w:w="100" w:type="dxa"/>
              <w:start w:w="120" w:type="dxa"/>
              <w:bottom w:w="100" w:type="dxa"/>
              <w:end w:w="120" w:type="dxa"/>
            </w:tcMar>
          </w:tcPr>
          <w:p>
            <w:pPr>
              <w:spacing w:after="0" w:line="269" w:lineRule="auto"/>
            </w:pPr>
            <w:r/>
            <w:r>
              <w:rPr>
                <w:rFonts w:ascii="Aptos" w:hAnsi="Aptos"/>
                <w:b/>
                <w:color w:val="FFFFFF"/>
                <w:sz w:val="18"/>
              </w:rPr>
              <w:t>Control area</w:t>
            </w:r>
          </w:p>
        </w:tc>
        <w:tc>
          <w:tcPr>
            <w:tcW w:type="dxa" w:w="2952"/>
            <w:shd w:fill="0C4F80"/>
            <w:vAlign w:val="center"/>
            <w:tcMar>
              <w:top w:w="100" w:type="dxa"/>
              <w:start w:w="120" w:type="dxa"/>
              <w:bottom w:w="100" w:type="dxa"/>
              <w:end w:w="120" w:type="dxa"/>
            </w:tcMar>
          </w:tcPr>
          <w:p>
            <w:pPr>
              <w:spacing w:after="0" w:line="269" w:lineRule="auto"/>
            </w:pPr>
            <w:r/>
            <w:r>
              <w:rPr>
                <w:rFonts w:ascii="Aptos" w:hAnsi="Aptos"/>
                <w:b/>
                <w:color w:val="FFFFFF"/>
                <w:sz w:val="18"/>
              </w:rPr>
              <w:t>What to record</w:t>
            </w:r>
          </w:p>
        </w:tc>
        <w:tc>
          <w:tcPr>
            <w:tcW w:type="dxa" w:w="3240"/>
            <w:shd w:fill="0C4F80"/>
            <w:vAlign w:val="center"/>
            <w:tcMar>
              <w:top w:w="100" w:type="dxa"/>
              <w:start w:w="120" w:type="dxa"/>
              <w:bottom w:w="100" w:type="dxa"/>
              <w:end w:w="120" w:type="dxa"/>
            </w:tcMar>
          </w:tcPr>
          <w:p>
            <w:pPr>
              <w:spacing w:after="0" w:line="269" w:lineRule="auto"/>
            </w:pPr>
            <w:r/>
            <w:r>
              <w:rPr>
                <w:rFonts w:ascii="Aptos" w:hAnsi="Aptos"/>
                <w:b/>
                <w:color w:val="FFFFFF"/>
                <w:sz w:val="18"/>
              </w:rPr>
              <w:t>Why it matters</w:t>
            </w:r>
          </w:p>
        </w:tc>
        <w:tc>
          <w:tcPr>
            <w:tcW w:type="dxa" w:w="2016"/>
            <w:shd w:fill="0C4F80"/>
            <w:vAlign w:val="center"/>
            <w:tcMar>
              <w:top w:w="100" w:type="dxa"/>
              <w:start w:w="120" w:type="dxa"/>
              <w:bottom w:w="100" w:type="dxa"/>
              <w:end w:w="120" w:type="dxa"/>
            </w:tcMar>
          </w:tcPr>
          <w:p>
            <w:pPr>
              <w:spacing w:after="0" w:line="269" w:lineRule="auto"/>
            </w:pPr>
            <w:r/>
            <w:r>
              <w:rPr>
                <w:rFonts w:ascii="Aptos" w:hAnsi="Aptos"/>
                <w:b/>
                <w:color w:val="FFFFFF"/>
                <w:sz w:val="18"/>
              </w:rPr>
              <w:t>Owner/action</w:t>
            </w:r>
          </w:p>
        </w:tc>
      </w:tr>
      <w:tr>
        <w:tc>
          <w:tcPr>
            <w:tcW w:type="dxa" w:w="1656"/>
            <w:vAlign w:val="center"/>
            <w:tcMar>
              <w:top w:w="100" w:type="dxa"/>
              <w:start w:w="120" w:type="dxa"/>
              <w:bottom w:w="100" w:type="dxa"/>
              <w:end w:w="120" w:type="dxa"/>
            </w:tcMar>
          </w:tcPr>
          <w:p>
            <w:pPr>
              <w:spacing w:after="0" w:line="269" w:lineRule="auto"/>
            </w:pPr>
            <w:r/>
            <w:r>
              <w:rPr>
                <w:rFonts w:ascii="Aptos" w:hAnsi="Aptos"/>
                <w:b w:val="0"/>
                <w:color w:val="0B1727"/>
                <w:sz w:val="18"/>
              </w:rPr>
              <w:t>Raw materials</w:t>
            </w:r>
          </w:p>
        </w:tc>
        <w:tc>
          <w:tcPr>
            <w:tcW w:type="dxa" w:w="2952"/>
            <w:vAlign w:val="center"/>
            <w:tcMar>
              <w:top w:w="100" w:type="dxa"/>
              <w:start w:w="120" w:type="dxa"/>
              <w:bottom w:w="100" w:type="dxa"/>
              <w:end w:w="120" w:type="dxa"/>
            </w:tcMar>
          </w:tcPr>
          <w:p>
            <w:pPr>
              <w:spacing w:after="0" w:line="269" w:lineRule="auto"/>
            </w:pPr>
            <w:r/>
            <w:r>
              <w:rPr>
                <w:rFonts w:ascii="Aptos" w:hAnsi="Aptos"/>
                <w:b w:val="0"/>
                <w:color w:val="0B1727"/>
                <w:sz w:val="18"/>
              </w:rPr>
              <w:t>Lot, test result, moisture/reactivity where applicable</w:t>
            </w:r>
          </w:p>
        </w:tc>
        <w:tc>
          <w:tcPr>
            <w:tcW w:type="dxa" w:w="3240"/>
            <w:vAlign w:val="center"/>
            <w:tcMar>
              <w:top w:w="100" w:type="dxa"/>
              <w:start w:w="120" w:type="dxa"/>
              <w:bottom w:w="100" w:type="dxa"/>
              <w:end w:w="120" w:type="dxa"/>
            </w:tcMar>
          </w:tcPr>
          <w:p>
            <w:pPr>
              <w:spacing w:after="0" w:line="269" w:lineRule="auto"/>
            </w:pPr>
            <w:r/>
            <w:r>
              <w:rPr>
                <w:rFonts w:ascii="Aptos" w:hAnsi="Aptos"/>
                <w:b w:val="0"/>
                <w:color w:val="0B1727"/>
                <w:sz w:val="18"/>
              </w:rPr>
              <w:t>Links input changes with production behaviour</w:t>
            </w:r>
          </w:p>
        </w:tc>
        <w:tc>
          <w:tcPr>
            <w:tcW w:type="dxa" w:w="2016"/>
            <w:vAlign w:val="center"/>
            <w:tcMar>
              <w:top w:w="100" w:type="dxa"/>
              <w:start w:w="120" w:type="dxa"/>
              <w:bottom w:w="100" w:type="dxa"/>
              <w:end w:w="120" w:type="dxa"/>
            </w:tcMar>
          </w:tcPr>
          <w:p>
            <w:pPr>
              <w:spacing w:after="0" w:line="269" w:lineRule="auto"/>
            </w:pPr>
            <w:r/>
            <w:r>
              <w:rPr>
                <w:rFonts w:ascii="Aptos" w:hAnsi="Aptos"/>
                <w:b w:val="0"/>
                <w:color w:val="0B1727"/>
                <w:sz w:val="18"/>
              </w:rPr>
              <w:t>QC accepts, quarantines or escalates</w:t>
            </w:r>
          </w:p>
        </w:tc>
      </w:tr>
      <w:tr>
        <w:tc>
          <w:tcPr>
            <w:tcW w:type="dxa" w:w="1656"/>
            <w:shd w:fill="F5F7F8"/>
            <w:vAlign w:val="center"/>
            <w:tcMar>
              <w:top w:w="100" w:type="dxa"/>
              <w:start w:w="120" w:type="dxa"/>
              <w:bottom w:w="100" w:type="dxa"/>
              <w:end w:w="120" w:type="dxa"/>
            </w:tcMar>
          </w:tcPr>
          <w:p>
            <w:pPr>
              <w:spacing w:after="0" w:line="269" w:lineRule="auto"/>
            </w:pPr>
            <w:r/>
            <w:r>
              <w:rPr>
                <w:rFonts w:ascii="Aptos" w:hAnsi="Aptos"/>
                <w:b w:val="0"/>
                <w:color w:val="0B1727"/>
                <w:sz w:val="18"/>
              </w:rPr>
              <w:t>Slurry</w:t>
            </w:r>
          </w:p>
        </w:tc>
        <w:tc>
          <w:tcPr>
            <w:tcW w:type="dxa" w:w="2952"/>
            <w:shd w:fill="F5F7F8"/>
            <w:vAlign w:val="center"/>
            <w:tcMar>
              <w:top w:w="100" w:type="dxa"/>
              <w:start w:w="120" w:type="dxa"/>
              <w:bottom w:w="100" w:type="dxa"/>
              <w:end w:w="120" w:type="dxa"/>
            </w:tcMar>
          </w:tcPr>
          <w:p>
            <w:pPr>
              <w:spacing w:after="0" w:line="269" w:lineRule="auto"/>
            </w:pPr>
            <w:r/>
            <w:r>
              <w:rPr>
                <w:rFonts w:ascii="Aptos" w:hAnsi="Aptos"/>
                <w:b w:val="0"/>
                <w:color w:val="0B1727"/>
                <w:sz w:val="18"/>
              </w:rPr>
              <w:t>Type, density, temperature, time and sampling point</w:t>
            </w:r>
          </w:p>
        </w:tc>
        <w:tc>
          <w:tcPr>
            <w:tcW w:type="dxa" w:w="3240"/>
            <w:shd w:fill="F5F7F8"/>
            <w:vAlign w:val="center"/>
            <w:tcMar>
              <w:top w:w="100" w:type="dxa"/>
              <w:start w:w="120" w:type="dxa"/>
              <w:bottom w:w="100" w:type="dxa"/>
              <w:end w:w="120" w:type="dxa"/>
            </w:tcMar>
          </w:tcPr>
          <w:p>
            <w:pPr>
              <w:spacing w:after="0" w:line="269" w:lineRule="auto"/>
            </w:pPr>
            <w:r/>
            <w:r>
              <w:rPr>
                <w:rFonts w:ascii="Aptos" w:hAnsi="Aptos"/>
                <w:b w:val="0"/>
                <w:color w:val="0B1727"/>
                <w:sz w:val="18"/>
              </w:rPr>
              <w:t>Shows variation in liquid/solids condition</w:t>
            </w:r>
          </w:p>
        </w:tc>
        <w:tc>
          <w:tcPr>
            <w:tcW w:type="dxa" w:w="2016"/>
            <w:shd w:fill="F5F7F8"/>
            <w:vAlign w:val="center"/>
            <w:tcMar>
              <w:top w:w="100" w:type="dxa"/>
              <w:start w:w="120" w:type="dxa"/>
              <w:bottom w:w="100" w:type="dxa"/>
              <w:end w:w="120" w:type="dxa"/>
            </w:tcMar>
          </w:tcPr>
          <w:p>
            <w:pPr>
              <w:spacing w:after="0" w:line="269" w:lineRule="auto"/>
            </w:pPr>
            <w:r/>
            <w:r>
              <w:rPr>
                <w:rFonts w:ascii="Aptos" w:hAnsi="Aptos"/>
                <w:b w:val="0"/>
                <w:color w:val="0B1727"/>
                <w:sz w:val="18"/>
              </w:rPr>
              <w:t>Operator corrects only under approved logic</w:t>
            </w:r>
          </w:p>
        </w:tc>
      </w:tr>
      <w:tr>
        <w:tc>
          <w:tcPr>
            <w:tcW w:type="dxa" w:w="1656"/>
            <w:vAlign w:val="center"/>
            <w:tcMar>
              <w:top w:w="100" w:type="dxa"/>
              <w:start w:w="120" w:type="dxa"/>
              <w:bottom w:w="100" w:type="dxa"/>
              <w:end w:w="120" w:type="dxa"/>
            </w:tcMar>
          </w:tcPr>
          <w:p>
            <w:pPr>
              <w:spacing w:after="0" w:line="269" w:lineRule="auto"/>
            </w:pPr>
            <w:r/>
            <w:r>
              <w:rPr>
                <w:rFonts w:ascii="Aptos" w:hAnsi="Aptos"/>
                <w:b w:val="0"/>
                <w:color w:val="0B1727"/>
                <w:sz w:val="18"/>
              </w:rPr>
              <w:t>Batching</w:t>
            </w:r>
          </w:p>
        </w:tc>
        <w:tc>
          <w:tcPr>
            <w:tcW w:type="dxa" w:w="2952"/>
            <w:vAlign w:val="center"/>
            <w:tcMar>
              <w:top w:w="100" w:type="dxa"/>
              <w:start w:w="120" w:type="dxa"/>
              <w:bottom w:w="100" w:type="dxa"/>
              <w:end w:w="120" w:type="dxa"/>
            </w:tcMar>
          </w:tcPr>
          <w:p>
            <w:pPr>
              <w:spacing w:after="0" w:line="269" w:lineRule="auto"/>
            </w:pPr>
            <w:r/>
            <w:r>
              <w:rPr>
                <w:rFonts w:ascii="Aptos" w:hAnsi="Aptos"/>
                <w:b w:val="0"/>
                <w:color w:val="0B1727"/>
                <w:sz w:val="18"/>
              </w:rPr>
              <w:t>Commanded and actual weights; calibration status</w:t>
            </w:r>
          </w:p>
        </w:tc>
        <w:tc>
          <w:tcPr>
            <w:tcW w:type="dxa" w:w="3240"/>
            <w:vAlign w:val="center"/>
            <w:tcMar>
              <w:top w:w="100" w:type="dxa"/>
              <w:start w:w="120" w:type="dxa"/>
              <w:bottom w:w="100" w:type="dxa"/>
              <w:end w:w="120" w:type="dxa"/>
            </w:tcMar>
          </w:tcPr>
          <w:p>
            <w:pPr>
              <w:spacing w:after="0" w:line="269" w:lineRule="auto"/>
            </w:pPr>
            <w:r/>
            <w:r>
              <w:rPr>
                <w:rFonts w:ascii="Aptos" w:hAnsi="Aptos"/>
                <w:b w:val="0"/>
                <w:color w:val="0B1727"/>
                <w:sz w:val="18"/>
              </w:rPr>
              <w:t>Detects dosing error and instrument drift</w:t>
            </w:r>
          </w:p>
        </w:tc>
        <w:tc>
          <w:tcPr>
            <w:tcW w:type="dxa" w:w="2016"/>
            <w:vAlign w:val="center"/>
            <w:tcMar>
              <w:top w:w="100" w:type="dxa"/>
              <w:start w:w="120" w:type="dxa"/>
              <w:bottom w:w="100" w:type="dxa"/>
              <w:end w:w="120" w:type="dxa"/>
            </w:tcMar>
          </w:tcPr>
          <w:p>
            <w:pPr>
              <w:spacing w:after="0" w:line="269" w:lineRule="auto"/>
            </w:pPr>
            <w:r/>
            <w:r>
              <w:rPr>
                <w:rFonts w:ascii="Aptos" w:hAnsi="Aptos"/>
                <w:b w:val="0"/>
                <w:color w:val="0B1727"/>
                <w:sz w:val="18"/>
              </w:rPr>
              <w:t>Production and instrumentation review deviations</w:t>
            </w:r>
          </w:p>
        </w:tc>
      </w:tr>
      <w:tr>
        <w:tc>
          <w:tcPr>
            <w:tcW w:type="dxa" w:w="1656"/>
            <w:shd w:fill="F5F7F8"/>
            <w:vAlign w:val="center"/>
            <w:tcMar>
              <w:top w:w="100" w:type="dxa"/>
              <w:start w:w="120" w:type="dxa"/>
              <w:bottom w:w="100" w:type="dxa"/>
              <w:end w:w="120" w:type="dxa"/>
            </w:tcMar>
          </w:tcPr>
          <w:p>
            <w:pPr>
              <w:spacing w:after="0" w:line="269" w:lineRule="auto"/>
            </w:pPr>
            <w:r/>
            <w:r>
              <w:rPr>
                <w:rFonts w:ascii="Aptos" w:hAnsi="Aptos"/>
                <w:b w:val="0"/>
                <w:color w:val="0B1727"/>
                <w:sz w:val="18"/>
              </w:rPr>
              <w:t>Cake/cutting</w:t>
            </w:r>
          </w:p>
        </w:tc>
        <w:tc>
          <w:tcPr>
            <w:tcW w:type="dxa" w:w="2952"/>
            <w:shd w:fill="F5F7F8"/>
            <w:vAlign w:val="center"/>
            <w:tcMar>
              <w:top w:w="100" w:type="dxa"/>
              <w:start w:w="120" w:type="dxa"/>
              <w:bottom w:w="100" w:type="dxa"/>
              <w:end w:w="120" w:type="dxa"/>
            </w:tcMar>
          </w:tcPr>
          <w:p>
            <w:pPr>
              <w:spacing w:after="0" w:line="269" w:lineRule="auto"/>
            </w:pPr>
            <w:r/>
            <w:r>
              <w:rPr>
                <w:rFonts w:ascii="Aptos" w:hAnsi="Aptos"/>
                <w:b w:val="0"/>
                <w:color w:val="0B1727"/>
                <w:sz w:val="18"/>
              </w:rPr>
              <w:t>Rise, cake condition, cutting time and defect location</w:t>
            </w:r>
          </w:p>
        </w:tc>
        <w:tc>
          <w:tcPr>
            <w:tcW w:type="dxa" w:w="3240"/>
            <w:shd w:fill="F5F7F8"/>
            <w:vAlign w:val="center"/>
            <w:tcMar>
              <w:top w:w="100" w:type="dxa"/>
              <w:start w:w="120" w:type="dxa"/>
              <w:bottom w:w="100" w:type="dxa"/>
              <w:end w:w="120" w:type="dxa"/>
            </w:tcMar>
          </w:tcPr>
          <w:p>
            <w:pPr>
              <w:spacing w:after="0" w:line="269" w:lineRule="auto"/>
            </w:pPr>
            <w:r/>
            <w:r>
              <w:rPr>
                <w:rFonts w:ascii="Aptos" w:hAnsi="Aptos"/>
                <w:b w:val="0"/>
                <w:color w:val="0B1727"/>
                <w:sz w:val="18"/>
              </w:rPr>
              <w:t>Connects chemical development with mechanical damage</w:t>
            </w:r>
          </w:p>
        </w:tc>
        <w:tc>
          <w:tcPr>
            <w:tcW w:type="dxa" w:w="2016"/>
            <w:shd w:fill="F5F7F8"/>
            <w:vAlign w:val="center"/>
            <w:tcMar>
              <w:top w:w="100" w:type="dxa"/>
              <w:start w:w="120" w:type="dxa"/>
              <w:bottom w:w="100" w:type="dxa"/>
              <w:end w:w="120" w:type="dxa"/>
            </w:tcMar>
          </w:tcPr>
          <w:p>
            <w:pPr>
              <w:spacing w:after="0" w:line="269" w:lineRule="auto"/>
            </w:pPr>
            <w:r/>
            <w:r>
              <w:rPr>
                <w:rFonts w:ascii="Aptos" w:hAnsi="Aptos"/>
                <w:b w:val="0"/>
                <w:color w:val="0B1727"/>
                <w:sz w:val="18"/>
              </w:rPr>
              <w:t>Production/maintenance isolate likely stage</w:t>
            </w:r>
          </w:p>
        </w:tc>
      </w:tr>
      <w:tr>
        <w:tc>
          <w:tcPr>
            <w:tcW w:type="dxa" w:w="1656"/>
            <w:vAlign w:val="center"/>
            <w:tcMar>
              <w:top w:w="100" w:type="dxa"/>
              <w:start w:w="120" w:type="dxa"/>
              <w:bottom w:w="100" w:type="dxa"/>
              <w:end w:w="120" w:type="dxa"/>
            </w:tcMar>
          </w:tcPr>
          <w:p>
            <w:pPr>
              <w:spacing w:after="0" w:line="269" w:lineRule="auto"/>
            </w:pPr>
            <w:r/>
            <w:r>
              <w:rPr>
                <w:rFonts w:ascii="Aptos" w:hAnsi="Aptos"/>
                <w:b w:val="0"/>
                <w:color w:val="0B1727"/>
                <w:sz w:val="18"/>
              </w:rPr>
              <w:t>Autoclave</w:t>
            </w:r>
          </w:p>
        </w:tc>
        <w:tc>
          <w:tcPr>
            <w:tcW w:type="dxa" w:w="2952"/>
            <w:vAlign w:val="center"/>
            <w:tcMar>
              <w:top w:w="100" w:type="dxa"/>
              <w:start w:w="120" w:type="dxa"/>
              <w:bottom w:w="100" w:type="dxa"/>
              <w:end w:w="120" w:type="dxa"/>
            </w:tcMar>
          </w:tcPr>
          <w:p>
            <w:pPr>
              <w:spacing w:after="0" w:line="269" w:lineRule="auto"/>
            </w:pPr>
            <w:r/>
            <w:r>
              <w:rPr>
                <w:rFonts w:ascii="Aptos" w:hAnsi="Aptos"/>
                <w:b w:val="0"/>
                <w:color w:val="0B1727"/>
                <w:sz w:val="18"/>
              </w:rPr>
              <w:t>Complete cycle trend, load and condensate observations</w:t>
            </w:r>
          </w:p>
        </w:tc>
        <w:tc>
          <w:tcPr>
            <w:tcW w:type="dxa" w:w="3240"/>
            <w:vAlign w:val="center"/>
            <w:tcMar>
              <w:top w:w="100" w:type="dxa"/>
              <w:start w:w="120" w:type="dxa"/>
              <w:bottom w:w="100" w:type="dxa"/>
              <w:end w:w="120" w:type="dxa"/>
            </w:tcMar>
          </w:tcPr>
          <w:p>
            <w:pPr>
              <w:spacing w:after="0" w:line="269" w:lineRule="auto"/>
            </w:pPr>
            <w:r/>
            <w:r>
              <w:rPr>
                <w:rFonts w:ascii="Aptos" w:hAnsi="Aptos"/>
                <w:b w:val="0"/>
                <w:color w:val="0B1727"/>
                <w:sz w:val="18"/>
              </w:rPr>
              <w:t>Supports curing and crack investigation</w:t>
            </w:r>
          </w:p>
        </w:tc>
        <w:tc>
          <w:tcPr>
            <w:tcW w:type="dxa" w:w="2016"/>
            <w:vAlign w:val="center"/>
            <w:tcMar>
              <w:top w:w="100" w:type="dxa"/>
              <w:start w:w="120" w:type="dxa"/>
              <w:bottom w:w="100" w:type="dxa"/>
              <w:end w:w="120" w:type="dxa"/>
            </w:tcMar>
          </w:tcPr>
          <w:p>
            <w:pPr>
              <w:spacing w:after="0" w:line="269" w:lineRule="auto"/>
            </w:pPr>
            <w:r/>
            <w:r>
              <w:rPr>
                <w:rFonts w:ascii="Aptos" w:hAnsi="Aptos"/>
                <w:b w:val="0"/>
                <w:color w:val="0B1727"/>
                <w:sz w:val="18"/>
              </w:rPr>
              <w:t>Authorised team reviews safely</w:t>
            </w:r>
          </w:p>
        </w:tc>
      </w:tr>
      <w:tr>
        <w:tc>
          <w:tcPr>
            <w:tcW w:type="dxa" w:w="1656"/>
            <w:shd w:fill="F5F7F8"/>
            <w:vAlign w:val="center"/>
            <w:tcMar>
              <w:top w:w="100" w:type="dxa"/>
              <w:start w:w="120" w:type="dxa"/>
              <w:bottom w:w="100" w:type="dxa"/>
              <w:end w:w="120" w:type="dxa"/>
            </w:tcMar>
          </w:tcPr>
          <w:p>
            <w:pPr>
              <w:spacing w:after="0" w:line="269" w:lineRule="auto"/>
            </w:pPr>
            <w:r/>
            <w:r>
              <w:rPr>
                <w:rFonts w:ascii="Aptos" w:hAnsi="Aptos"/>
                <w:b w:val="0"/>
                <w:color w:val="0B1727"/>
                <w:sz w:val="18"/>
              </w:rPr>
              <w:t>Finished blocks</w:t>
            </w:r>
          </w:p>
        </w:tc>
        <w:tc>
          <w:tcPr>
            <w:tcW w:type="dxa" w:w="2952"/>
            <w:shd w:fill="F5F7F8"/>
            <w:vAlign w:val="center"/>
            <w:tcMar>
              <w:top w:w="100" w:type="dxa"/>
              <w:start w:w="120" w:type="dxa"/>
              <w:bottom w:w="100" w:type="dxa"/>
              <w:end w:w="120" w:type="dxa"/>
            </w:tcMar>
          </w:tcPr>
          <w:p>
            <w:pPr>
              <w:spacing w:after="0" w:line="269" w:lineRule="auto"/>
            </w:pPr>
            <w:r/>
            <w:r>
              <w:rPr>
                <w:rFonts w:ascii="Aptos" w:hAnsi="Aptos"/>
                <w:b w:val="0"/>
                <w:color w:val="0B1727"/>
                <w:sz w:val="18"/>
              </w:rPr>
              <w:t>Traceable test and rejection results</w:t>
            </w:r>
          </w:p>
        </w:tc>
        <w:tc>
          <w:tcPr>
            <w:tcW w:type="dxa" w:w="3240"/>
            <w:shd w:fill="F5F7F8"/>
            <w:vAlign w:val="center"/>
            <w:tcMar>
              <w:top w:w="100" w:type="dxa"/>
              <w:start w:w="120" w:type="dxa"/>
              <w:bottom w:w="100" w:type="dxa"/>
              <w:end w:w="120" w:type="dxa"/>
            </w:tcMar>
          </w:tcPr>
          <w:p>
            <w:pPr>
              <w:spacing w:after="0" w:line="269" w:lineRule="auto"/>
            </w:pPr>
            <w:r/>
            <w:r>
              <w:rPr>
                <w:rFonts w:ascii="Aptos" w:hAnsi="Aptos"/>
                <w:b w:val="0"/>
                <w:color w:val="0B1727"/>
                <w:sz w:val="18"/>
              </w:rPr>
              <w:t>Confirms whether the correction worked</w:t>
            </w:r>
          </w:p>
        </w:tc>
        <w:tc>
          <w:tcPr>
            <w:tcW w:type="dxa" w:w="2016"/>
            <w:shd w:fill="F5F7F8"/>
            <w:vAlign w:val="center"/>
            <w:tcMar>
              <w:top w:w="100" w:type="dxa"/>
              <w:start w:w="120" w:type="dxa"/>
              <w:bottom w:w="100" w:type="dxa"/>
              <w:end w:w="120" w:type="dxa"/>
            </w:tcMar>
          </w:tcPr>
          <w:p>
            <w:pPr>
              <w:spacing w:after="0" w:line="269" w:lineRule="auto"/>
            </w:pPr>
            <w:r/>
            <w:r>
              <w:rPr>
                <w:rFonts w:ascii="Aptos" w:hAnsi="Aptos"/>
                <w:b w:val="0"/>
                <w:color w:val="0B1727"/>
                <w:sz w:val="18"/>
              </w:rPr>
              <w:t>QC closes or continues the trial</w:t>
            </w:r>
          </w:p>
        </w:tc>
      </w:tr>
    </w:tbl>
    <w:p>
      <w:pPr>
        <w:spacing w:after="0"/>
      </w:pPr>
    </w:p>
    <w:p>
      <w:pPr>
        <w:pStyle w:val="Heading1"/>
      </w:pPr>
      <w:r>
        <w:t>Can quality improve without major investment?</w:t>
      </w:r>
    </w:p>
    <w:p>
      <w:r>
        <w:t>Sometimes. Calibration, measurement discipline, preventive maintenance, operator training, SOP correction and better batch traceability may resolve problems that do not require new machinery. Other problems may require instrumentation, equipment repair, cutting-system modification, steam-system correction or broader modernization. The investment decision should follow diagnosis, not precede it.</w:t>
      </w:r>
    </w:p>
    <w:p>
      <w:pPr>
        <w:pStyle w:val="Heading1"/>
      </w:pPr>
      <w:r>
        <w:t>Does automation guarantee better AAC block quality?</w:t>
      </w:r>
    </w:p>
    <w:p>
      <w:r>
        <w:t>No. Automation can improve repeatability, traceability and response time, but it does not replace correct process design, reliable instruments, calibration, maintenance, competent operators and laboratory verification. The correct question is not simply ‘manual or automatic?’ It is: which variable must be measured, how reliably, what decision follows and who is accountable for the response?</w:t>
      </w:r>
    </w:p>
    <w:p>
      <w:pPr>
        <w:pStyle w:val="Heading1"/>
      </w:pPr>
      <w:r>
        <w:t>How Laxmi En-Fab can support an existing-plant review</w:t>
      </w:r>
    </w:p>
    <w:p>
      <w:r>
        <w:t>Laxmi En-Fab’s exact quality-diagnostic service scope, responsible technical reviewer, relevant project evidence and any performance outcomes must be confirmed before this section is published. Verification Required.</w:t>
      </w:r>
    </w:p>
    <w:p>
      <w:r>
        <w:t>Subject to company confirmation, a diagnostic review may begin with defect photographs, recent test reports, batch records, raw-material information, equipment configuration and autoclave-cycle data. The purpose should be to determine whether the next step is better measurement, calibration, maintenance, process correction, controlled trials or equipment modification—not to recommend machinery before establishing the problem.</w:t>
      </w:r>
    </w:p>
    <w:p>
      <w:pPr>
        <w:pStyle w:val="Heading1"/>
      </w:pPr>
      <w:r>
        <w:t>Frequently asked questions</w:t>
      </w:r>
    </w:p>
    <w:p>
      <w:pPr>
        <w:pStyle w:val="Heading2"/>
      </w:pPr>
      <w:r>
        <w:t>What should an AAC plant check first when strength decreases?</w:t>
      </w:r>
    </w:p>
    <w:p>
      <w:r>
        <w:t>First confirm the test method and sample traceability. Then review affected batches, raw-material results, actual dosing, slurry condition, cake development and autoclave trends. Do not change several recipe variables at once.</w:t>
      </w:r>
    </w:p>
    <w:p>
      <w:pPr>
        <w:pStyle w:val="Heading2"/>
      </w:pPr>
      <w:r>
        <w:t>Can slurry density alone predict final AAC block quality?</w:t>
      </w:r>
    </w:p>
    <w:p>
      <w:r>
        <w:t>No. It is a critical indicator, but final quality also depends on material characteristics, recipe, temperature, mixing, gas formation, cake development, cutting, curing and handling.</w:t>
      </w:r>
    </w:p>
    <w:p>
      <w:pPr>
        <w:pStyle w:val="Heading2"/>
      </w:pPr>
      <w:r>
        <w:t>Why do AAC blocks crack after autoclaving?</w:t>
      </w:r>
    </w:p>
    <w:p>
      <w:r>
        <w:t>Possible contributors include earlier cake weakness or handling damage, cutting stress, uneven curing conditions, condensate or load effects, and unsuitable cycle changes. The crack pattern and the time it first appears are essential diagnostic evidence.</w:t>
      </w:r>
    </w:p>
    <w:p>
      <w:pPr>
        <w:pStyle w:val="Heading2"/>
      </w:pPr>
      <w:r>
        <w:t>Can changing the raw-material supplier solve a quality problem?</w:t>
      </w:r>
    </w:p>
    <w:p>
      <w:r>
        <w:t>It may help when test evidence confirms a material issue. Changing suppliers without checking process and measurement consistency can conceal the real cause or introduce new variation.</w:t>
      </w:r>
    </w:p>
    <w:p>
      <w:pPr>
        <w:pStyle w:val="Heading2"/>
      </w:pPr>
      <w:r>
        <w:t>What information is needed for a technical review?</w:t>
      </w:r>
    </w:p>
    <w:p>
      <w:r>
        <w:t>Provide defect photographs, test results, batch and slurry records, raw-material information, recipe changes, equipment details, cake/cutting observations and complete autoclave-cycle trends for the affected period.</w:t>
      </w:r>
    </w:p>
    <w:p>
      <w:pPr>
        <w:pStyle w:val="Heading1"/>
      </w:pPr>
      <w:r>
        <w:t>Next step: request a diagnostic review</w:t>
      </w:r>
    </w:p>
    <w:tbl>
      <w:tblPr>
        <w:tblW w:type="auto" w:w="0"/>
        <w:tblLook w:firstColumn="1" w:firstRow="1" w:lastColumn="0" w:lastRow="0" w:noHBand="0" w:noVBand="1" w:val="04A0"/>
      </w:tblPr>
      <w:tblGrid>
        <w:gridCol w:w="9878"/>
      </w:tblGrid>
      <w:tr>
        <w:tc>
          <w:tcPr>
            <w:tcW w:type="dxa" w:w="9878"/>
            <w:shd w:fill="0B1727"/>
            <w:tcMar>
              <w:top w:w="100" w:type="dxa"/>
              <w:start w:w="120" w:type="dxa"/>
              <w:bottom w:w="100" w:type="dxa"/>
              <w:end w:w="120" w:type="dxa"/>
            </w:tcMar>
            <w:vAlign w:val="center"/>
          </w:tcPr>
          <w:p>
            <w:pPr>
              <w:spacing w:after="0" w:line="269" w:lineRule="auto"/>
            </w:pPr>
            <w:r/>
            <w:r>
              <w:rPr>
                <w:rFonts w:ascii="Aptos" w:hAnsi="Aptos"/>
                <w:b w:val="0"/>
                <w:color w:val="FFFFFF"/>
                <w:sz w:val="20"/>
              </w:rPr>
              <w:t>Request an AAC Plant Quality Diagnostic Review</w:t>
              <w:br/>
              <w:t>Share the main defect, plant location, raw-material base, approximate capacity, recent test results and clear photographs. Laxmi En-Fab can then confirm whether the available information is sufficient for an initial technical discussion.</w:t>
              <w:br/>
              <w:br/>
              <w:t>Secondary option: Download the AAC Quality Diagnostic Checklist and prepare the required records before contacting the engineering team.</w:t>
              <w:br/>
              <w:br/>
              <w:t>CTA wording and service availability: Verification Required before publication.</w:t>
            </w:r>
          </w:p>
        </w:tc>
      </w:tr>
    </w:tbl>
    <w:p>
      <w:pPr>
        <w:pStyle w:val="Heading1"/>
      </w:pPr>
      <w:r>
        <w:t>Suggested webpage metadata</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1872"/>
            <w:shd w:fill="0C4F80"/>
            <w:vAlign w:val="center"/>
            <w:tcMar>
              <w:top w:w="100" w:type="dxa"/>
              <w:start w:w="120" w:type="dxa"/>
              <w:bottom w:w="100" w:type="dxa"/>
              <w:end w:w="120" w:type="dxa"/>
            </w:tcMar>
          </w:tcPr>
          <w:p>
            <w:pPr>
              <w:spacing w:after="0" w:line="269" w:lineRule="auto"/>
            </w:pPr>
            <w:r/>
            <w:r>
              <w:rPr>
                <w:rFonts w:ascii="Aptos" w:hAnsi="Aptos"/>
                <w:b/>
                <w:color w:val="FFFFFF"/>
                <w:sz w:val="18"/>
              </w:rPr>
              <w:t>Field</w:t>
            </w:r>
          </w:p>
        </w:tc>
        <w:tc>
          <w:tcPr>
            <w:tcW w:type="dxa" w:w="7992"/>
            <w:shd w:fill="0C4F80"/>
            <w:vAlign w:val="center"/>
            <w:tcMar>
              <w:top w:w="100" w:type="dxa"/>
              <w:start w:w="120" w:type="dxa"/>
              <w:bottom w:w="100" w:type="dxa"/>
              <w:end w:w="120" w:type="dxa"/>
            </w:tcMar>
          </w:tcPr>
          <w:p>
            <w:pPr>
              <w:spacing w:after="0" w:line="269" w:lineRule="auto"/>
            </w:pPr>
            <w:r/>
            <w:r>
              <w:rPr>
                <w:rFonts w:ascii="Aptos" w:hAnsi="Aptos"/>
                <w:b/>
                <w:color w:val="FFFFFF"/>
                <w:sz w:val="18"/>
              </w:rPr>
              <w:t>Recommended copy</w:t>
            </w:r>
          </w:p>
        </w:tc>
      </w:tr>
      <w:tr>
        <w:tc>
          <w:tcPr>
            <w:tcW w:type="dxa" w:w="1872"/>
            <w:vAlign w:val="center"/>
            <w:tcMar>
              <w:top w:w="100" w:type="dxa"/>
              <w:start w:w="120" w:type="dxa"/>
              <w:bottom w:w="100" w:type="dxa"/>
              <w:end w:w="120" w:type="dxa"/>
            </w:tcMar>
          </w:tcPr>
          <w:p>
            <w:pPr>
              <w:spacing w:after="0" w:line="269" w:lineRule="auto"/>
            </w:pPr>
            <w:r/>
            <w:r>
              <w:rPr>
                <w:rFonts w:ascii="Aptos" w:hAnsi="Aptos"/>
                <w:b w:val="0"/>
                <w:color w:val="0B1727"/>
                <w:sz w:val="18"/>
              </w:rPr>
              <w:t>SEO title</w:t>
            </w:r>
          </w:p>
        </w:tc>
        <w:tc>
          <w:tcPr>
            <w:tcW w:type="dxa" w:w="7992"/>
            <w:vAlign w:val="center"/>
            <w:tcMar>
              <w:top w:w="100" w:type="dxa"/>
              <w:start w:w="120" w:type="dxa"/>
              <w:bottom w:w="100" w:type="dxa"/>
              <w:end w:w="120" w:type="dxa"/>
            </w:tcMar>
          </w:tcPr>
          <w:p>
            <w:pPr>
              <w:spacing w:after="0" w:line="269" w:lineRule="auto"/>
            </w:pPr>
            <w:r/>
            <w:r>
              <w:rPr>
                <w:rFonts w:ascii="Aptos" w:hAnsi="Aptos"/>
                <w:b w:val="0"/>
                <w:color w:val="0B1727"/>
                <w:sz w:val="18"/>
              </w:rPr>
              <w:t>Improve AAC Block Quality: Plant Troubleshooting Guide</w:t>
            </w:r>
          </w:p>
        </w:tc>
      </w:tr>
      <w:tr>
        <w:tc>
          <w:tcPr>
            <w:tcW w:type="dxa" w:w="1872"/>
            <w:shd w:fill="F5F7F8"/>
            <w:vAlign w:val="center"/>
            <w:tcMar>
              <w:top w:w="100" w:type="dxa"/>
              <w:start w:w="120" w:type="dxa"/>
              <w:bottom w:w="100" w:type="dxa"/>
              <w:end w:w="120" w:type="dxa"/>
            </w:tcMar>
          </w:tcPr>
          <w:p>
            <w:pPr>
              <w:spacing w:after="0" w:line="269" w:lineRule="auto"/>
            </w:pPr>
            <w:r/>
            <w:r>
              <w:rPr>
                <w:rFonts w:ascii="Aptos" w:hAnsi="Aptos"/>
                <w:b w:val="0"/>
                <w:color w:val="0B1727"/>
                <w:sz w:val="18"/>
              </w:rPr>
              <w:t>Meta description</w:t>
            </w:r>
          </w:p>
        </w:tc>
        <w:tc>
          <w:tcPr>
            <w:tcW w:type="dxa" w:w="7992"/>
            <w:shd w:fill="F5F7F8"/>
            <w:vAlign w:val="center"/>
            <w:tcMar>
              <w:top w:w="100" w:type="dxa"/>
              <w:start w:w="120" w:type="dxa"/>
              <w:bottom w:w="100" w:type="dxa"/>
              <w:end w:w="120" w:type="dxa"/>
            </w:tcMar>
          </w:tcPr>
          <w:p>
            <w:pPr>
              <w:spacing w:after="0" w:line="269" w:lineRule="auto"/>
            </w:pPr>
            <w:r/>
            <w:r>
              <w:rPr>
                <w:rFonts w:ascii="Aptos" w:hAnsi="Aptos"/>
                <w:b w:val="0"/>
                <w:color w:val="0B1727"/>
                <w:sz w:val="18"/>
              </w:rPr>
              <w:t>Diagnose AAC block cracks, low strength, density variation and cutting defects using a practical process-control guide for existing AAC plants.</w:t>
            </w:r>
          </w:p>
        </w:tc>
      </w:tr>
      <w:tr>
        <w:tc>
          <w:tcPr>
            <w:tcW w:type="dxa" w:w="1872"/>
            <w:vAlign w:val="center"/>
            <w:tcMar>
              <w:top w:w="100" w:type="dxa"/>
              <w:start w:w="120" w:type="dxa"/>
              <w:bottom w:w="100" w:type="dxa"/>
              <w:end w:w="120" w:type="dxa"/>
            </w:tcMar>
          </w:tcPr>
          <w:p>
            <w:pPr>
              <w:spacing w:after="0" w:line="269" w:lineRule="auto"/>
            </w:pPr>
            <w:r/>
            <w:r>
              <w:rPr>
                <w:rFonts w:ascii="Aptos" w:hAnsi="Aptos"/>
                <w:b w:val="0"/>
                <w:color w:val="0B1727"/>
                <w:sz w:val="18"/>
              </w:rPr>
              <w:t>URL</w:t>
            </w:r>
          </w:p>
        </w:tc>
        <w:tc>
          <w:tcPr>
            <w:tcW w:type="dxa" w:w="7992"/>
            <w:vAlign w:val="center"/>
            <w:tcMar>
              <w:top w:w="100" w:type="dxa"/>
              <w:start w:w="120" w:type="dxa"/>
              <w:bottom w:w="100" w:type="dxa"/>
              <w:end w:w="120" w:type="dxa"/>
            </w:tcMar>
          </w:tcPr>
          <w:p>
            <w:pPr>
              <w:spacing w:after="0" w:line="269" w:lineRule="auto"/>
            </w:pPr>
            <w:r/>
            <w:r>
              <w:rPr>
                <w:rFonts w:ascii="Aptos" w:hAnsi="Aptos"/>
                <w:b w:val="0"/>
                <w:color w:val="0B1727"/>
                <w:sz w:val="18"/>
              </w:rPr>
              <w:t>/improve-aac-block-quality/</w:t>
            </w:r>
          </w:p>
        </w:tc>
      </w:tr>
      <w:tr>
        <w:tc>
          <w:tcPr>
            <w:tcW w:type="dxa" w:w="1872"/>
            <w:shd w:fill="F5F7F8"/>
            <w:vAlign w:val="center"/>
            <w:tcMar>
              <w:top w:w="100" w:type="dxa"/>
              <w:start w:w="120" w:type="dxa"/>
              <w:bottom w:w="100" w:type="dxa"/>
              <w:end w:w="120" w:type="dxa"/>
            </w:tcMar>
          </w:tcPr>
          <w:p>
            <w:pPr>
              <w:spacing w:after="0" w:line="269" w:lineRule="auto"/>
            </w:pPr>
            <w:r/>
            <w:r>
              <w:rPr>
                <w:rFonts w:ascii="Aptos" w:hAnsi="Aptos"/>
                <w:b w:val="0"/>
                <w:color w:val="0B1727"/>
                <w:sz w:val="18"/>
              </w:rPr>
              <w:t>Primary CTA</w:t>
            </w:r>
          </w:p>
        </w:tc>
        <w:tc>
          <w:tcPr>
            <w:tcW w:type="dxa" w:w="7992"/>
            <w:shd w:fill="F5F7F8"/>
            <w:vAlign w:val="center"/>
            <w:tcMar>
              <w:top w:w="100" w:type="dxa"/>
              <w:start w:w="120" w:type="dxa"/>
              <w:bottom w:w="100" w:type="dxa"/>
              <w:end w:w="120" w:type="dxa"/>
            </w:tcMar>
          </w:tcPr>
          <w:p>
            <w:pPr>
              <w:spacing w:after="0" w:line="269" w:lineRule="auto"/>
            </w:pPr>
            <w:r/>
            <w:r>
              <w:rPr>
                <w:rFonts w:ascii="Aptos" w:hAnsi="Aptos"/>
                <w:b w:val="0"/>
                <w:color w:val="0B1727"/>
                <w:sz w:val="18"/>
              </w:rPr>
              <w:t>Request an AAC Plant Quality Diagnostic Review</w:t>
            </w:r>
          </w:p>
        </w:tc>
      </w:tr>
      <w:tr>
        <w:tc>
          <w:tcPr>
            <w:tcW w:type="dxa" w:w="1872"/>
            <w:vAlign w:val="center"/>
            <w:tcMar>
              <w:top w:w="100" w:type="dxa"/>
              <w:start w:w="120" w:type="dxa"/>
              <w:bottom w:w="100" w:type="dxa"/>
              <w:end w:w="120" w:type="dxa"/>
            </w:tcMar>
          </w:tcPr>
          <w:p>
            <w:pPr>
              <w:spacing w:after="0" w:line="269" w:lineRule="auto"/>
            </w:pPr>
            <w:r/>
            <w:r>
              <w:rPr>
                <w:rFonts w:ascii="Aptos" w:hAnsi="Aptos"/>
                <w:b w:val="0"/>
                <w:color w:val="0B1727"/>
                <w:sz w:val="18"/>
              </w:rPr>
              <w:t>Secondary CTA</w:t>
            </w:r>
          </w:p>
        </w:tc>
        <w:tc>
          <w:tcPr>
            <w:tcW w:type="dxa" w:w="7992"/>
            <w:vAlign w:val="center"/>
            <w:tcMar>
              <w:top w:w="100" w:type="dxa"/>
              <w:start w:w="120" w:type="dxa"/>
              <w:bottom w:w="100" w:type="dxa"/>
              <w:end w:w="120" w:type="dxa"/>
            </w:tcMar>
          </w:tcPr>
          <w:p>
            <w:pPr>
              <w:spacing w:after="0" w:line="269" w:lineRule="auto"/>
            </w:pPr>
            <w:r/>
            <w:r>
              <w:rPr>
                <w:rFonts w:ascii="Aptos" w:hAnsi="Aptos"/>
                <w:b w:val="0"/>
                <w:color w:val="0B1727"/>
                <w:sz w:val="18"/>
              </w:rPr>
              <w:t>Download the AAC Quality Diagnostic Checklist</w:t>
            </w:r>
          </w:p>
        </w:tc>
      </w:tr>
    </w:tbl>
    <w:p>
      <w:pPr>
        <w:spacing w:after="0"/>
      </w:pPr>
    </w:p>
    <w:p>
      <w:pPr>
        <w:pStyle w:val="Heading1"/>
      </w:pPr>
      <w:r>
        <w:t>Sources and publication notes</w:t>
      </w:r>
    </w:p>
    <w:p>
      <w:pPr>
        <w:pStyle w:val="ListBullet"/>
      </w:pPr>
      <w:r>
        <w:t>Bureau of Indian Standards, IS 2185 (Part 3):1984 record: https://lims.bis.gov.in/</w:t>
      </w:r>
    </w:p>
    <w:p>
      <w:pPr>
        <w:pStyle w:val="ListBullet"/>
      </w:pPr>
      <w:r>
        <w:t>Masa Group, AAC production process information: https://www.masa-group.com/en/products/aac-production/</w:t>
      </w:r>
    </w:p>
    <w:p>
      <w:pPr>
        <w:pStyle w:val="ListBullet"/>
      </w:pPr>
      <w:r>
        <w:t>Aircrete Europe, fresh and return-slurry density measurement: https://www.aircrete.com/aircrete-news/the-automatic-density-measure-ment-of-fresh-and-return-slurry-controlling-the-details-of-aac-production/</w:t>
      </w:r>
    </w:p>
    <w:p>
      <w:pPr>
        <w:pStyle w:val="ListBullet"/>
      </w:pPr>
      <w:r>
        <w:t>AAC Worldwide, production technology and defect-prevention resources: https://www.aac-worldwide.com/category/production-technology/</w:t>
      </w:r>
    </w:p>
    <w:p>
      <w:r>
        <w:t>Publication control: Verify all company-specific service claims, expert identities, case results, images, CTA contact routes and any plant-specific operating values before the webpage goes live. This guide intentionally avoids universal recipe, pressure, temperature, holding-time, density or strength targets.</w:t>
      </w:r>
    </w:p>
    <w:sectPr w:rsidR="00FC693F" w:rsidRPr="0006063C" w:rsidSect="00034616">
      <w:headerReference w:type="default" r:id="rId9"/>
      <w:footerReference w:type="default" r:id="rId10"/>
      <w:pgSz w:w="12240" w:h="15840"/>
      <w:pgMar w:top="1037" w:right="1181" w:bottom="1037"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085"/>
        <w:sz w:val="16"/>
      </w:rPr>
      <w:t>Improve AAC Block Quality | Publication-ready webpage copy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67085"/>
        <w:sz w:val="16"/>
      </w:rPr>
      <w:t>LAXMI EN-FAB PVT. LTD.  |  TECHNICAL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color w:val="0B17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0B1727"/>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C4F80"/>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C4F8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line="276" w:lineRule="auto"/>
      <w:ind w:left="461" w:hanging="259"/>
      <w:contextualSpacing/>
    </w:pPr>
    <w:rPr>
      <w:rFonts w:ascii="Aptos" w:hAnsi="Aptos"/>
      <w:color w:val="0B1727"/>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70" w:line="276" w:lineRule="auto"/>
      <w:ind w:left="461" w:hanging="259"/>
      <w:contextualSpacing/>
    </w:pPr>
    <w:rPr>
      <w:rFonts w:ascii="Aptos" w:hAnsi="Aptos"/>
      <w:color w:val="0B1727"/>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Improve AAC Block Quality in an Existing Plant</dc:title>
  <dc:subject>Publication-ready technical webpage copy for Laxmi En-Fab Pvt. Ltd.</dc:subject>
  <dc:creator>Laxmi En-Fab Pvt. Ltd. — technical reviewer to be confirmed</dc:creator>
  <cp:keywords/>
  <dc:description>generated by python-docx</dc:description>
  <cp:lastModifiedBy/>
  <cp:revision>1</cp:revision>
  <dcterms:created xsi:type="dcterms:W3CDTF">2013-12-23T23:15:00Z</dcterms:created>
  <dcterms:modified xsi:type="dcterms:W3CDTF">2013-12-23T23:15:00Z</dcterms:modified>
  <cp:category/>
</cp:coreProperties>
</file>