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200"/>
        <w:jc w:val="center"/>
      </w:pPr>
      <w:r>
        <w:rPr>
          <w:rFonts w:ascii="Aptos" w:hAnsi="Aptos"/>
          <w:b/>
          <w:i w:val="0"/>
          <w:color w:val="B8892D"/>
          <w:sz w:val="20"/>
        </w:rPr>
        <w:t>TECHNICAL GUIDE</w:t>
      </w:r>
    </w:p>
    <w:p>
      <w:pPr>
        <w:spacing w:after="200"/>
        <w:jc w:val="center"/>
      </w:pPr>
      <w:r>
        <w:rPr>
          <w:rFonts w:ascii="Aptos Display" w:hAnsi="Aptos Display"/>
          <w:b/>
          <w:i w:val="0"/>
          <w:color w:val="0B1727"/>
          <w:sz w:val="56"/>
        </w:rPr>
        <w:t>AAC Block &amp; Panel</w:t>
        <w:br/>
        <w:t>Production Process</w:t>
      </w:r>
    </w:p>
    <w:p>
      <w:pPr>
        <w:spacing w:after="440"/>
        <w:jc w:val="center"/>
      </w:pPr>
      <w:r>
        <w:rPr>
          <w:rFonts w:ascii="Aptos" w:hAnsi="Aptos"/>
          <w:b w:val="0"/>
          <w:i w:val="0"/>
          <w:color w:val="0C4F80"/>
          <w:sz w:val="26"/>
        </w:rPr>
        <w:t>Step-by-step manufacturing, process controls and investor verification</w:t>
      </w:r>
    </w:p>
    <w:tbl>
      <w:tblPr>
        <w:tblStyle w:val="TableGrid"/>
        <w:tblW w:type="dxa" w:w="9360"/>
        <w:jc w:val="center"/>
        <w:tblLayout w:type="fixed"/>
        <w:tblLook w:firstColumn="1" w:firstRow="1" w:lastColumn="0" w:lastRow="0" w:noHBand="0" w:noVBand="1" w:val="04A0"/>
      </w:tblPr>
      <w:tblGrid>
        <w:gridCol w:w="9360"/>
      </w:tblGrid>
      <w:tr>
        <w:tc>
          <w:tcPr>
            <w:tcW w:type="dxa" w:w="9360"/>
            <w:tcMar>
              <w:top w:w="180" w:type="dxa"/>
              <w:start w:w="220" w:type="dxa"/>
              <w:bottom w:w="180" w:type="dxa"/>
              <w:end w:w="220" w:type="dxa"/>
            </w:tcMar>
            <w:vAlign w:val="center"/>
            <w:shd w:fill="EEF2F5"/>
          </w:tcPr>
          <w:p>
            <w:pPr>
              <w:keepLines/>
              <w:spacing w:after="0"/>
            </w:pPr>
            <w:r>
              <w:rPr>
                <w:rFonts w:ascii="Aptos" w:hAnsi="Aptos"/>
                <w:b/>
                <w:i w:val="0"/>
                <w:color w:val="0C4F80"/>
                <w:sz w:val="20"/>
              </w:rPr>
              <w:t xml:space="preserve">PURPOSE  </w:t>
            </w:r>
            <w:r>
              <w:rPr>
                <w:rFonts w:ascii="Aptos" w:hAnsi="Aptos"/>
                <w:b w:val="0"/>
                <w:i w:val="0"/>
                <w:color w:val="0B1727"/>
                <w:sz w:val="20"/>
              </w:rPr>
              <w:t>A practical guide for new investors, existing AAC manufacturers, technical teams, purchase teams and consultants evaluating an AAC block or reinforced-panel production line.</w:t>
            </w:r>
          </w:p>
        </w:tc>
      </w:tr>
    </w:tbl>
    <w:p>
      <w:pPr>
        <w:spacing w:after="20"/>
      </w:pPr>
    </w:p>
    <w:p>
      <w:pPr>
        <w:spacing w:before="480"/>
        <w:jc w:val="center"/>
      </w:pPr>
      <w:r>
        <w:rPr>
          <w:rFonts w:ascii="Aptos" w:hAnsi="Aptos"/>
          <w:b w:val="0"/>
          <w:i w:val="0"/>
          <w:color w:val="607080"/>
          <w:sz w:val="18"/>
        </w:rPr>
        <w:t>Prepared for website publication  |  India  |  August 2026</w:t>
      </w:r>
    </w:p>
    <w:p>
      <w:r>
        <w:br w:type="page"/>
      </w:r>
    </w:p>
    <w:p>
      <w:pPr>
        <w:pStyle w:val="Heading1"/>
      </w:pPr>
      <w:r>
        <w:t>SEO &amp; Publication Information</w:t>
      </w:r>
    </w:p>
    <w:tbl>
      <w:tblPr>
        <w:tblStyle w:val="TableGrid"/>
        <w:tblW w:type="dxa" w:w="9360"/>
        <w:jc w:val="center"/>
        <w:tblLayout w:type="fixed"/>
        <w:tblLook w:firstColumn="1" w:firstRow="1" w:lastColumn="0" w:lastRow="0" w:noHBand="0" w:noVBand="1" w:val="04A0"/>
      </w:tblPr>
      <w:tblGrid>
        <w:gridCol w:w="2100"/>
        <w:gridCol w:w="7260"/>
      </w:tblGrid>
      <w:tr>
        <w:trPr>
          <w:tblHeader w:val="true"/>
        </w:trPr>
        <w:tc>
          <w:tcPr>
            <w:tcW w:type="dxa" w:w="2100"/>
            <w:shd w:fill="0C4F80"/>
            <w:tcMar>
              <w:top w:w="100" w:type="dxa"/>
              <w:start w:w="120" w:type="dxa"/>
              <w:bottom w:w="100" w:type="dxa"/>
              <w:end w:w="120" w:type="dxa"/>
            </w:tcMar>
            <w:vAlign w:val="center"/>
          </w:tcPr>
          <w:p>
            <w:pPr>
              <w:keepLines/>
              <w:spacing w:after="0"/>
            </w:pPr>
            <w:r>
              <w:rPr>
                <w:rFonts w:ascii="Aptos" w:hAnsi="Aptos"/>
                <w:b/>
                <w:i w:val="0"/>
                <w:color w:val="FFFFFF"/>
                <w:sz w:val="18"/>
              </w:rPr>
              <w:t>Field</w:t>
            </w:r>
          </w:p>
        </w:tc>
        <w:tc>
          <w:tcPr>
            <w:tcW w:type="dxa" w:w="7260"/>
            <w:shd w:fill="0C4F80"/>
            <w:tcMar>
              <w:top w:w="100" w:type="dxa"/>
              <w:start w:w="120" w:type="dxa"/>
              <w:bottom w:w="100" w:type="dxa"/>
              <w:end w:w="120" w:type="dxa"/>
            </w:tcMar>
            <w:vAlign w:val="center"/>
          </w:tcPr>
          <w:p>
            <w:pPr>
              <w:keepLines/>
              <w:spacing w:after="0"/>
            </w:pPr>
            <w:r>
              <w:rPr>
                <w:rFonts w:ascii="Aptos" w:hAnsi="Aptos"/>
                <w:b/>
                <w:i w:val="0"/>
                <w:color w:val="FFFFFF"/>
                <w:sz w:val="18"/>
              </w:rPr>
              <w:t>Recommendation</w:t>
            </w:r>
          </w:p>
        </w:tc>
      </w:tr>
      <w:tr>
        <w:tc>
          <w:tcPr>
            <w:tcW w:type="dxa" w:w="21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SEO title</w:t>
            </w:r>
          </w:p>
        </w:tc>
        <w:tc>
          <w:tcPr>
            <w:tcW w:type="dxa" w:w="726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AAC Block &amp; Panel Production Process | Guide</w:t>
            </w:r>
          </w:p>
        </w:tc>
      </w:tr>
      <w:tr>
        <w:tc>
          <w:tcPr>
            <w:tcW w:type="dxa" w:w="21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Meta description</w:t>
            </w:r>
          </w:p>
        </w:tc>
        <w:tc>
          <w:tcPr>
            <w:tcW w:type="dxa" w:w="726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Understand AAC block and reinforced-panel production—from raw-material preparation and cutting to autoclaving, quality control and plant selection.</w:t>
            </w:r>
          </w:p>
        </w:tc>
      </w:tr>
      <w:tr>
        <w:tc>
          <w:tcPr>
            <w:tcW w:type="dxa" w:w="21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Recommended URL</w:t>
            </w:r>
          </w:p>
        </w:tc>
        <w:tc>
          <w:tcPr>
            <w:tcW w:type="dxa" w:w="726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https://www.laxmienfab.com/aac-block-panel-production-process/</w:t>
            </w:r>
          </w:p>
        </w:tc>
      </w:tr>
      <w:tr>
        <w:tc>
          <w:tcPr>
            <w:tcW w:type="dxa" w:w="21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Primary keyword</w:t>
            </w:r>
          </w:p>
        </w:tc>
        <w:tc>
          <w:tcPr>
            <w:tcW w:type="dxa" w:w="726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AAC block and panel production process</w:t>
            </w:r>
          </w:p>
        </w:tc>
      </w:tr>
      <w:tr>
        <w:tc>
          <w:tcPr>
            <w:tcW w:type="dxa" w:w="21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Breadcrumb</w:t>
            </w:r>
          </w:p>
        </w:tc>
        <w:tc>
          <w:tcPr>
            <w:tcW w:type="dxa" w:w="726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Home › AAC Investor Academy › AAC Production Technology › Block &amp; Panel Production Process</w:t>
            </w:r>
          </w:p>
        </w:tc>
      </w:tr>
    </w:tbl>
    <w:p>
      <w:pPr>
        <w:spacing w:after="20"/>
      </w:pPr>
    </w:p>
    <w:p>
      <w:pPr>
        <w:pStyle w:val="Heading1"/>
      </w:pPr>
      <w:r>
        <w:t>AAC Block &amp; Panel Production Process: Step-by-Step Guide</w:t>
      </w:r>
    </w:p>
    <w:p>
      <w:r>
        <w:rPr>
          <w:rFonts w:ascii="Aptos" w:hAnsi="Aptos"/>
          <w:b w:val="0"/>
          <w:i w:val="0"/>
          <w:color w:val="0B1727"/>
          <w:sz w:val="22"/>
        </w:rPr>
        <w:t>AAC block and reinforced AAC panel production is a controlled manufacturing process involving raw-material preparation, accurate batching, mixing, casting, rising and pre-curing, cutting, autoclaving, separation, inspection and packing.</w:t>
      </w:r>
    </w:p>
    <w:p>
      <w:r>
        <w:rPr>
          <w:rFonts w:ascii="Aptos" w:hAnsi="Aptos"/>
          <w:b w:val="0"/>
          <w:i w:val="0"/>
          <w:color w:val="0B1727"/>
          <w:sz w:val="22"/>
        </w:rPr>
        <w:t>Blocks and reinforced panels share many core production stages. Panel manufacturing adds reinforcement-related operations such as cage preparation, protective coating, positioning and verification. The exact production recipe, equipment configuration and curing cycle must be selected according to the available raw materials, required product range, plant capacity and applicable quality requirements.</w:t>
      </w:r>
    </w:p>
    <w:p>
      <w:r>
        <w:rPr>
          <w:rFonts w:ascii="Aptos" w:hAnsi="Aptos"/>
          <w:b w:val="0"/>
          <w:i w:val="0"/>
          <w:color w:val="0B1727"/>
          <w:sz w:val="22"/>
        </w:rPr>
        <w:t>For an investor, understanding the process is important because the same basic manufacturing sequence can require very different machinery, utilities and control systems.</w:t>
      </w:r>
    </w:p>
    <w:p>
      <w:pPr>
        <w:pStyle w:val="Heading2"/>
      </w:pPr>
      <w:r>
        <w:t>AAC Production Process at a Glance</w:t>
      </w:r>
    </w:p>
    <w:p>
      <w:pPr>
        <w:pStyle w:val="ListNumber"/>
        <w:numPr>
          <w:ilvl w:val="0"/>
          <w:numId w:val="10"/>
        </w:numPr>
      </w:pPr>
      <w:r>
        <w:rPr>
          <w:rFonts w:ascii="Aptos" w:hAnsi="Aptos"/>
          <w:b w:val="0"/>
          <w:i w:val="0"/>
          <w:color w:val="0B1727"/>
          <w:sz w:val="22"/>
        </w:rPr>
        <w:t>Raw-material storage</w:t>
      </w:r>
    </w:p>
    <w:p>
      <w:pPr>
        <w:pStyle w:val="ListNumber"/>
        <w:numPr>
          <w:ilvl w:val="0"/>
          <w:numId w:val="10"/>
        </w:numPr>
      </w:pPr>
      <w:r>
        <w:rPr>
          <w:rFonts w:ascii="Aptos" w:hAnsi="Aptos"/>
          <w:b w:val="0"/>
          <w:i w:val="0"/>
          <w:color w:val="0B1727"/>
          <w:sz w:val="22"/>
        </w:rPr>
        <w:t>Raw-material preparation</w:t>
      </w:r>
    </w:p>
    <w:p>
      <w:pPr>
        <w:pStyle w:val="ListNumber"/>
        <w:numPr>
          <w:ilvl w:val="0"/>
          <w:numId w:val="10"/>
        </w:numPr>
      </w:pPr>
      <w:r>
        <w:rPr>
          <w:rFonts w:ascii="Aptos" w:hAnsi="Aptos"/>
          <w:b w:val="0"/>
          <w:i w:val="0"/>
          <w:color w:val="0B1727"/>
          <w:sz w:val="22"/>
        </w:rPr>
        <w:t>Slurry preparation</w:t>
      </w:r>
    </w:p>
    <w:p>
      <w:pPr>
        <w:pStyle w:val="ListNumber"/>
        <w:numPr>
          <w:ilvl w:val="0"/>
          <w:numId w:val="10"/>
        </w:numPr>
      </w:pPr>
      <w:r>
        <w:rPr>
          <w:rFonts w:ascii="Aptos" w:hAnsi="Aptos"/>
          <w:b w:val="0"/>
          <w:i w:val="0"/>
          <w:color w:val="0B1727"/>
          <w:sz w:val="22"/>
        </w:rPr>
        <w:t>Batching and weighing</w:t>
      </w:r>
    </w:p>
    <w:p>
      <w:pPr>
        <w:pStyle w:val="ListNumber"/>
        <w:numPr>
          <w:ilvl w:val="0"/>
          <w:numId w:val="10"/>
        </w:numPr>
      </w:pPr>
      <w:r>
        <w:rPr>
          <w:rFonts w:ascii="Aptos" w:hAnsi="Aptos"/>
          <w:b w:val="0"/>
          <w:i w:val="0"/>
          <w:color w:val="0B1727"/>
          <w:sz w:val="22"/>
        </w:rPr>
        <w:t>Mixing and casting</w:t>
      </w:r>
    </w:p>
    <w:p>
      <w:pPr>
        <w:pStyle w:val="ListNumber"/>
        <w:numPr>
          <w:ilvl w:val="0"/>
          <w:numId w:val="10"/>
        </w:numPr>
      </w:pPr>
      <w:r>
        <w:rPr>
          <w:rFonts w:ascii="Aptos" w:hAnsi="Aptos"/>
          <w:b w:val="0"/>
          <w:i w:val="0"/>
          <w:color w:val="0B1727"/>
          <w:sz w:val="22"/>
        </w:rPr>
        <w:t>Reinforcement preparation and positioning for panels</w:t>
      </w:r>
    </w:p>
    <w:p>
      <w:pPr>
        <w:pStyle w:val="ListNumber"/>
        <w:numPr>
          <w:ilvl w:val="0"/>
          <w:numId w:val="10"/>
        </w:numPr>
      </w:pPr>
      <w:r>
        <w:rPr>
          <w:rFonts w:ascii="Aptos" w:hAnsi="Aptos"/>
          <w:b w:val="0"/>
          <w:i w:val="0"/>
          <w:color w:val="0B1727"/>
          <w:sz w:val="22"/>
        </w:rPr>
        <w:t>Rising and pre-curing</w:t>
      </w:r>
    </w:p>
    <w:p>
      <w:pPr>
        <w:pStyle w:val="ListNumber"/>
        <w:numPr>
          <w:ilvl w:val="0"/>
          <w:numId w:val="10"/>
        </w:numPr>
      </w:pPr>
      <w:r>
        <w:rPr>
          <w:rFonts w:ascii="Aptos" w:hAnsi="Aptos"/>
          <w:b w:val="0"/>
          <w:i w:val="0"/>
          <w:color w:val="0B1727"/>
          <w:sz w:val="22"/>
        </w:rPr>
        <w:t>Demoulding</w:t>
      </w:r>
    </w:p>
    <w:p>
      <w:pPr>
        <w:pStyle w:val="ListNumber"/>
        <w:numPr>
          <w:ilvl w:val="0"/>
          <w:numId w:val="10"/>
        </w:numPr>
      </w:pPr>
      <w:r>
        <w:rPr>
          <w:rFonts w:ascii="Aptos" w:hAnsi="Aptos"/>
          <w:b w:val="0"/>
          <w:i w:val="0"/>
          <w:color w:val="0B1727"/>
          <w:sz w:val="22"/>
        </w:rPr>
        <w:t>Cutting and profiling</w:t>
      </w:r>
    </w:p>
    <w:p>
      <w:pPr>
        <w:pStyle w:val="ListNumber"/>
        <w:numPr>
          <w:ilvl w:val="0"/>
          <w:numId w:val="10"/>
        </w:numPr>
      </w:pPr>
      <w:r>
        <w:rPr>
          <w:rFonts w:ascii="Aptos" w:hAnsi="Aptos"/>
          <w:b w:val="0"/>
          <w:i w:val="0"/>
          <w:color w:val="0B1727"/>
          <w:sz w:val="22"/>
        </w:rPr>
        <w:t>Loading for autoclaving</w:t>
      </w:r>
    </w:p>
    <w:p>
      <w:pPr>
        <w:pStyle w:val="ListNumber"/>
        <w:numPr>
          <w:ilvl w:val="0"/>
          <w:numId w:val="10"/>
        </w:numPr>
      </w:pPr>
      <w:r>
        <w:rPr>
          <w:rFonts w:ascii="Aptos" w:hAnsi="Aptos"/>
          <w:b w:val="0"/>
          <w:i w:val="0"/>
          <w:color w:val="0B1727"/>
          <w:sz w:val="22"/>
        </w:rPr>
        <w:t>High-pressure steam curing</w:t>
      </w:r>
    </w:p>
    <w:p>
      <w:pPr>
        <w:pStyle w:val="ListNumber"/>
        <w:numPr>
          <w:ilvl w:val="0"/>
          <w:numId w:val="10"/>
        </w:numPr>
      </w:pPr>
      <w:r>
        <w:rPr>
          <w:rFonts w:ascii="Aptos" w:hAnsi="Aptos"/>
          <w:b w:val="0"/>
          <w:i w:val="0"/>
          <w:color w:val="0B1727"/>
          <w:sz w:val="22"/>
        </w:rPr>
        <w:t>Controlled pressure release and unloading</w:t>
      </w:r>
    </w:p>
    <w:p>
      <w:pPr>
        <w:pStyle w:val="ListNumber"/>
        <w:numPr>
          <w:ilvl w:val="0"/>
          <w:numId w:val="10"/>
        </w:numPr>
      </w:pPr>
      <w:r>
        <w:rPr>
          <w:rFonts w:ascii="Aptos" w:hAnsi="Aptos"/>
          <w:b w:val="0"/>
          <w:i w:val="0"/>
          <w:color w:val="0B1727"/>
          <w:sz w:val="22"/>
        </w:rPr>
        <w:t>Separation and product handling</w:t>
      </w:r>
    </w:p>
    <w:p>
      <w:pPr>
        <w:pStyle w:val="ListNumber"/>
        <w:numPr>
          <w:ilvl w:val="0"/>
          <w:numId w:val="10"/>
        </w:numPr>
      </w:pPr>
      <w:r>
        <w:rPr>
          <w:rFonts w:ascii="Aptos" w:hAnsi="Aptos"/>
          <w:b w:val="0"/>
          <w:i w:val="0"/>
          <w:color w:val="0B1727"/>
          <w:sz w:val="22"/>
        </w:rPr>
        <w:t>Inspection, packing and dispatch</w:t>
      </w:r>
    </w:p>
    <w:p>
      <w:r>
        <w:rPr>
          <w:rFonts w:ascii="Aptos" w:hAnsi="Aptos"/>
          <w:b w:val="0"/>
          <w:i w:val="0"/>
          <w:color w:val="0B1727"/>
          <w:sz w:val="22"/>
        </w:rPr>
        <w:t>This flow represents the general manufacturing principle. The detailed sequence can change according to the silica source, product mix, cutting technology, mould-handling arrangement, reinforcement system and level of automation.</w:t>
      </w:r>
    </w:p>
    <w:tbl>
      <w:tblPr>
        <w:tblStyle w:val="TableGrid"/>
        <w:tblW w:type="dxa" w:w="9360"/>
        <w:jc w:val="center"/>
        <w:tblLayout w:type="fixed"/>
        <w:tblLook w:firstColumn="1" w:firstRow="1" w:lastColumn="0" w:lastRow="0" w:noHBand="0" w:noVBand="1" w:val="04A0"/>
      </w:tblPr>
      <w:tblGrid>
        <w:gridCol w:w="9360"/>
      </w:tblGrid>
      <w:tr>
        <w:tc>
          <w:tcPr>
            <w:tcW w:type="dxa" w:w="9360"/>
            <w:tcMar>
              <w:top w:w="180" w:type="dxa"/>
              <w:start w:w="220" w:type="dxa"/>
              <w:bottom w:w="180" w:type="dxa"/>
              <w:end w:w="220" w:type="dxa"/>
            </w:tcMar>
            <w:vAlign w:val="center"/>
            <w:shd w:fill="EEF2F5"/>
          </w:tcPr>
          <w:p>
            <w:pPr>
              <w:keepLines/>
              <w:spacing w:after="0"/>
            </w:pPr>
            <w:r>
              <w:rPr>
                <w:rFonts w:ascii="Aptos" w:hAnsi="Aptos"/>
                <w:b/>
                <w:i w:val="0"/>
                <w:color w:val="0C4F80"/>
                <w:sz w:val="20"/>
              </w:rPr>
              <w:t xml:space="preserve">ENGINEERING INSIGHT  </w:t>
            </w:r>
            <w:r>
              <w:rPr>
                <w:rFonts w:ascii="Aptos" w:hAnsi="Aptos"/>
                <w:b w:val="0"/>
                <w:i w:val="0"/>
                <w:color w:val="0B1727"/>
                <w:sz w:val="20"/>
              </w:rPr>
              <w:t>The production stages may look similar across AAC plants, but the required plant configuration is not automatically the same. Raw-material properties, batch size, product dimensions, automation, utilities and expansion plans must be evaluated before machinery is selected.</w:t>
            </w:r>
          </w:p>
        </w:tc>
      </w:tr>
    </w:tbl>
    <w:p>
      <w:pPr>
        <w:spacing w:after="20"/>
      </w:pPr>
    </w:p>
    <w:p>
      <w:pPr>
        <w:pStyle w:val="Heading1"/>
      </w:pPr>
      <w:r>
        <w:t>Raw Materials Used in AAC Manufacturing</w:t>
      </w:r>
    </w:p>
    <w:p>
      <w:r>
        <w:rPr>
          <w:rFonts w:ascii="Aptos" w:hAnsi="Aptos"/>
          <w:b w:val="0"/>
          <w:i w:val="0"/>
          <w:color w:val="0B1727"/>
          <w:sz w:val="22"/>
        </w:rPr>
        <w:t>AAC is generally manufactured using a silica-rich material together with cement, lime, gypsum, aluminium powder or paste, and water.</w:t>
      </w:r>
    </w:p>
    <w:tbl>
      <w:tblPr>
        <w:tblStyle w:val="TableGrid"/>
        <w:tblW w:type="dxa" w:w="9360"/>
        <w:jc w:val="center"/>
        <w:tblLayout w:type="fixed"/>
        <w:tblLook w:firstColumn="1" w:firstRow="1" w:lastColumn="0" w:lastRow="0" w:noHBand="0" w:noVBand="1" w:val="04A0"/>
      </w:tblPr>
      <w:tblGrid>
        <w:gridCol w:w="3400"/>
        <w:gridCol w:w="5960"/>
      </w:tblGrid>
      <w:tr>
        <w:trPr>
          <w:tblHeader w:val="true"/>
        </w:trPr>
        <w:tc>
          <w:tcPr>
            <w:tcW w:type="dxa" w:w="3400"/>
            <w:shd w:fill="0C4F80"/>
            <w:tcMar>
              <w:top w:w="100" w:type="dxa"/>
              <w:start w:w="120" w:type="dxa"/>
              <w:bottom w:w="100" w:type="dxa"/>
              <w:end w:w="120" w:type="dxa"/>
            </w:tcMar>
            <w:vAlign w:val="center"/>
          </w:tcPr>
          <w:p>
            <w:pPr>
              <w:keepLines/>
              <w:spacing w:after="0"/>
            </w:pPr>
            <w:r>
              <w:rPr>
                <w:rFonts w:ascii="Aptos" w:hAnsi="Aptos"/>
                <w:b/>
                <w:i w:val="0"/>
                <w:color w:val="FFFFFF"/>
                <w:sz w:val="18"/>
              </w:rPr>
              <w:t>Raw material</w:t>
            </w:r>
          </w:p>
        </w:tc>
        <w:tc>
          <w:tcPr>
            <w:tcW w:type="dxa" w:w="5960"/>
            <w:shd w:fill="0C4F80"/>
            <w:tcMar>
              <w:top w:w="100" w:type="dxa"/>
              <w:start w:w="120" w:type="dxa"/>
              <w:bottom w:w="100" w:type="dxa"/>
              <w:end w:w="120" w:type="dxa"/>
            </w:tcMar>
            <w:vAlign w:val="center"/>
          </w:tcPr>
          <w:p>
            <w:pPr>
              <w:keepLines/>
              <w:spacing w:after="0"/>
            </w:pPr>
            <w:r>
              <w:rPr>
                <w:rFonts w:ascii="Aptos" w:hAnsi="Aptos"/>
                <w:b/>
                <w:i w:val="0"/>
                <w:color w:val="FFFFFF"/>
                <w:sz w:val="18"/>
              </w:rPr>
              <w:t>Principal function</w:t>
            </w:r>
          </w:p>
        </w:tc>
      </w:tr>
      <w:tr>
        <w:tc>
          <w:tcPr>
            <w:tcW w:type="dxa" w:w="34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Dry fly ash, processed pond ash or silica sand</w:t>
            </w:r>
          </w:p>
        </w:tc>
        <w:tc>
          <w:tcPr>
            <w:tcW w:type="dxa" w:w="596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Provides the silica required for hydrothermal reactions</w:t>
            </w:r>
          </w:p>
        </w:tc>
      </w:tr>
      <w:tr>
        <w:tc>
          <w:tcPr>
            <w:tcW w:type="dxa" w:w="34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Cement</w:t>
            </w:r>
          </w:p>
        </w:tc>
        <w:tc>
          <w:tcPr>
            <w:tcW w:type="dxa" w:w="596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Supports early hydration and green strength</w:t>
            </w:r>
          </w:p>
        </w:tc>
      </w:tr>
      <w:tr>
        <w:tc>
          <w:tcPr>
            <w:tcW w:type="dxa" w:w="34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Lime</w:t>
            </w:r>
          </w:p>
        </w:tc>
        <w:tc>
          <w:tcPr>
            <w:tcW w:type="dxa" w:w="596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Provides calcium and contributes to the alkaline reaction environment</w:t>
            </w:r>
          </w:p>
        </w:tc>
      </w:tr>
      <w:tr>
        <w:tc>
          <w:tcPr>
            <w:tcW w:type="dxa" w:w="34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Gypsum</w:t>
            </w:r>
          </w:p>
        </w:tc>
        <w:tc>
          <w:tcPr>
            <w:tcW w:type="dxa" w:w="596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Helps regulate setting and material chemistry</w:t>
            </w:r>
          </w:p>
        </w:tc>
      </w:tr>
      <w:tr>
        <w:tc>
          <w:tcPr>
            <w:tcW w:type="dxa" w:w="34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Aluminium powder or paste</w:t>
            </w:r>
          </w:p>
        </w:tc>
        <w:tc>
          <w:tcPr>
            <w:tcW w:type="dxa" w:w="596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Generates gas during rising and creates the cellular structure</w:t>
            </w:r>
          </w:p>
        </w:tc>
      </w:tr>
      <w:tr>
        <w:tc>
          <w:tcPr>
            <w:tcW w:type="dxa" w:w="34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Water</w:t>
            </w:r>
          </w:p>
        </w:tc>
        <w:tc>
          <w:tcPr>
            <w:tcW w:type="dxa" w:w="596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Supports hydration, slurry preparation and material transport</w:t>
            </w:r>
          </w:p>
        </w:tc>
      </w:tr>
    </w:tbl>
    <w:p>
      <w:pPr>
        <w:spacing w:after="20"/>
      </w:pPr>
    </w:p>
    <w:p>
      <w:r>
        <w:rPr>
          <w:rFonts w:ascii="Aptos" w:hAnsi="Aptos"/>
          <w:b w:val="0"/>
          <w:i w:val="0"/>
          <w:color w:val="0B1727"/>
          <w:sz w:val="22"/>
        </w:rPr>
        <w:t>The suitability and proportion of each material cannot be decided from its name alone. Representative samples should be tested before the production process and machinery arrangement are finalised.</w:t>
      </w:r>
    </w:p>
    <w:p>
      <w:pPr>
        <w:pStyle w:val="ListBullet"/>
      </w:pPr>
      <w:r>
        <w:rPr>
          <w:rFonts w:ascii="Aptos" w:hAnsi="Aptos"/>
          <w:b w:val="0"/>
          <w:i w:val="0"/>
          <w:color w:val="0B1727"/>
          <w:sz w:val="22"/>
        </w:rPr>
        <w:t>Chemical composition</w:t>
      </w:r>
    </w:p>
    <w:p>
      <w:pPr>
        <w:pStyle w:val="ListBullet"/>
      </w:pPr>
      <w:r>
        <w:rPr>
          <w:rFonts w:ascii="Aptos" w:hAnsi="Aptos"/>
          <w:b w:val="0"/>
          <w:i w:val="0"/>
          <w:color w:val="0B1727"/>
          <w:sz w:val="22"/>
        </w:rPr>
        <w:t>Particle-size distribution and fineness</w:t>
      </w:r>
    </w:p>
    <w:p>
      <w:pPr>
        <w:pStyle w:val="ListBullet"/>
      </w:pPr>
      <w:r>
        <w:rPr>
          <w:rFonts w:ascii="Aptos" w:hAnsi="Aptos"/>
          <w:b w:val="0"/>
          <w:i w:val="0"/>
          <w:color w:val="0B1727"/>
          <w:sz w:val="22"/>
        </w:rPr>
        <w:t>Moisture content</w:t>
      </w:r>
    </w:p>
    <w:p>
      <w:pPr>
        <w:pStyle w:val="ListBullet"/>
      </w:pPr>
      <w:r>
        <w:rPr>
          <w:rFonts w:ascii="Aptos" w:hAnsi="Aptos"/>
          <w:b w:val="0"/>
          <w:i w:val="0"/>
          <w:color w:val="0B1727"/>
          <w:sz w:val="22"/>
        </w:rPr>
        <w:t>Loss on ignition</w:t>
      </w:r>
    </w:p>
    <w:p>
      <w:pPr>
        <w:pStyle w:val="ListBullet"/>
      </w:pPr>
      <w:r>
        <w:rPr>
          <w:rFonts w:ascii="Aptos" w:hAnsi="Aptos"/>
          <w:b w:val="0"/>
          <w:i w:val="0"/>
          <w:color w:val="0B1727"/>
          <w:sz w:val="22"/>
        </w:rPr>
        <w:t>Lime reactivity</w:t>
      </w:r>
    </w:p>
    <w:p>
      <w:pPr>
        <w:pStyle w:val="ListBullet"/>
      </w:pPr>
      <w:r>
        <w:rPr>
          <w:rFonts w:ascii="Aptos" w:hAnsi="Aptos"/>
          <w:b w:val="0"/>
          <w:i w:val="0"/>
          <w:color w:val="0B1727"/>
          <w:sz w:val="22"/>
        </w:rPr>
        <w:t>Solids concentration</w:t>
      </w:r>
    </w:p>
    <w:p>
      <w:pPr>
        <w:pStyle w:val="ListBullet"/>
      </w:pPr>
      <w:r>
        <w:rPr>
          <w:rFonts w:ascii="Aptos" w:hAnsi="Aptos"/>
          <w:b w:val="0"/>
          <w:i w:val="0"/>
          <w:color w:val="0B1727"/>
          <w:sz w:val="22"/>
        </w:rPr>
        <w:t>Contaminants and oversized particles</w:t>
      </w:r>
    </w:p>
    <w:p>
      <w:pPr>
        <w:pStyle w:val="ListBullet"/>
      </w:pPr>
      <w:r>
        <w:rPr>
          <w:rFonts w:ascii="Aptos" w:hAnsi="Aptos"/>
          <w:b w:val="0"/>
          <w:i w:val="0"/>
          <w:color w:val="0B1727"/>
          <w:sz w:val="22"/>
        </w:rPr>
        <w:t>Consistency between deliveries</w:t>
      </w:r>
    </w:p>
    <w:p>
      <w:pPr>
        <w:pStyle w:val="Heading1"/>
      </w:pPr>
      <w:r>
        <w:t>How the Silica Source Changes the AAC Process</w:t>
      </w:r>
    </w:p>
    <w:p>
      <w:pPr>
        <w:pStyle w:val="Heading2"/>
      </w:pPr>
      <w:r>
        <w:t>Dry Fly Ash Based AAC Process</w:t>
      </w:r>
    </w:p>
    <w:p>
      <w:r>
        <w:rPr>
          <w:rFonts w:ascii="Aptos" w:hAnsi="Aptos"/>
          <w:b w:val="0"/>
          <w:i w:val="0"/>
          <w:color w:val="0B1727"/>
          <w:sz w:val="22"/>
        </w:rPr>
        <w:t>Dry fly ash is generally received through bulk tankers and pneumatically transferred into a closed storage silo. From the silo, it can be conveyed to the batching and weighing system.</w:t>
      </w:r>
    </w:p>
    <w:p>
      <w:r>
        <w:rPr>
          <w:rFonts w:ascii="Aptos" w:hAnsi="Aptos"/>
          <w:b w:val="0"/>
          <w:i w:val="0"/>
          <w:color w:val="0B1727"/>
          <w:sz w:val="22"/>
        </w:rPr>
        <w:t>When the tested fly ash already meets the required fineness, chemical and consistency parameters, a separate grinding section may not be necessary. This can simplify the raw-material preparation system.</w:t>
      </w:r>
    </w:p>
    <w:p>
      <w:r>
        <w:rPr>
          <w:rFonts w:ascii="Aptos" w:hAnsi="Aptos"/>
          <w:b w:val="0"/>
          <w:i w:val="0"/>
          <w:color w:val="0B1727"/>
          <w:sz w:val="22"/>
        </w:rPr>
        <w:t>Dry fly ash should not be assumed to be production-ready without testing. Variations in fineness, unburnt carbon, chemistry or moisture may influence batching consistency, rising behaviour, green-cake formation, cutting condition, strength development and autoclaving response.</w:t>
      </w:r>
    </w:p>
    <w:p>
      <w:pPr>
        <w:pStyle w:val="Heading2"/>
      </w:pPr>
      <w:r>
        <w:t>Pond Ash Based AAC Process</w:t>
      </w:r>
    </w:p>
    <w:p>
      <w:r>
        <w:rPr>
          <w:rFonts w:ascii="Aptos" w:hAnsi="Aptos"/>
          <w:b w:val="0"/>
          <w:i w:val="0"/>
          <w:color w:val="0B1727"/>
          <w:sz w:val="22"/>
        </w:rPr>
        <w:t>Pond ash is collected from ash-storage ponds where ash has been hydraulically transported and deposited. Its characteristics can vary considerably between sources and even within the same pond.</w:t>
      </w:r>
    </w:p>
    <w:p>
      <w:r>
        <w:rPr>
          <w:rFonts w:ascii="Aptos" w:hAnsi="Aptos"/>
          <w:b w:val="0"/>
          <w:i w:val="0"/>
          <w:color w:val="0B1727"/>
          <w:sz w:val="22"/>
        </w:rPr>
        <w:t>Depending on the tested material, preparation may include slurry formation, screening, removal of oversized or foreign material, agitated storage, and measurement of slurry concentration. The objective is a controlled and reasonably homogeneous slurry that can be measured consistently during batching.</w:t>
      </w:r>
    </w:p>
    <w:p>
      <w:pPr>
        <w:pStyle w:val="Heading2"/>
      </w:pPr>
      <w:r>
        <w:t>Silica Sand Based AAC Process</w:t>
      </w:r>
    </w:p>
    <w:p>
      <w:r>
        <w:rPr>
          <w:rFonts w:ascii="Aptos" w:hAnsi="Aptos"/>
          <w:b w:val="0"/>
          <w:i w:val="0"/>
          <w:color w:val="0B1727"/>
          <w:sz w:val="22"/>
        </w:rPr>
        <w:t>Silica sand normally requires size reduction before it can be used effectively in AAC production. A typical preparation route is: sand storage → crushing where required → grinding → slurry preparation → slurry storage → batching.</w:t>
      </w:r>
    </w:p>
    <w:p>
      <w:r>
        <w:rPr>
          <w:rFonts w:ascii="Aptos" w:hAnsi="Aptos"/>
          <w:b w:val="0"/>
          <w:i w:val="0"/>
          <w:color w:val="0B1727"/>
          <w:sz w:val="22"/>
        </w:rPr>
        <w:t>A ball mill or another selected grinding system reduces the sand to the required fineness. The correct fineness must be determined through material testing and process trials. Coarse or inconsistent material may affect the hydrothermal reaction, while excessive grinding can increase energy demand without necessarily providing a proportional benefit.</w:t>
      </w:r>
    </w:p>
    <w:tbl>
      <w:tblPr>
        <w:tblStyle w:val="TableGrid"/>
        <w:tblW w:type="dxa" w:w="9360"/>
        <w:jc w:val="center"/>
        <w:tblLayout w:type="fixed"/>
        <w:tblLook w:firstColumn="1" w:firstRow="1" w:lastColumn="0" w:lastRow="0" w:noHBand="0" w:noVBand="1" w:val="04A0"/>
      </w:tblPr>
      <w:tblGrid>
        <w:gridCol w:w="1700"/>
        <w:gridCol w:w="2500"/>
        <w:gridCol w:w="2600"/>
        <w:gridCol w:w="2560"/>
      </w:tblGrid>
      <w:tr>
        <w:trPr>
          <w:tblHeader w:val="true"/>
        </w:trPr>
        <w:tc>
          <w:tcPr>
            <w:tcW w:type="dxa" w:w="1700"/>
            <w:shd w:fill="0C4F80"/>
            <w:tcMar>
              <w:top w:w="100" w:type="dxa"/>
              <w:start w:w="120" w:type="dxa"/>
              <w:bottom w:w="100" w:type="dxa"/>
              <w:end w:w="120" w:type="dxa"/>
            </w:tcMar>
            <w:vAlign w:val="center"/>
          </w:tcPr>
          <w:p>
            <w:pPr>
              <w:keepLines/>
              <w:spacing w:after="0"/>
            </w:pPr>
            <w:r>
              <w:rPr>
                <w:rFonts w:ascii="Aptos" w:hAnsi="Aptos"/>
                <w:b/>
                <w:i w:val="0"/>
                <w:color w:val="FFFFFF"/>
                <w:sz w:val="18"/>
              </w:rPr>
              <w:t>Silica source</w:t>
            </w:r>
          </w:p>
        </w:tc>
        <w:tc>
          <w:tcPr>
            <w:tcW w:type="dxa" w:w="2500"/>
            <w:shd w:fill="0C4F80"/>
            <w:tcMar>
              <w:top w:w="100" w:type="dxa"/>
              <w:start w:w="120" w:type="dxa"/>
              <w:bottom w:w="100" w:type="dxa"/>
              <w:end w:w="120" w:type="dxa"/>
            </w:tcMar>
            <w:vAlign w:val="center"/>
          </w:tcPr>
          <w:p>
            <w:pPr>
              <w:keepLines/>
              <w:spacing w:after="0"/>
            </w:pPr>
            <w:r>
              <w:rPr>
                <w:rFonts w:ascii="Aptos" w:hAnsi="Aptos"/>
                <w:b/>
                <w:i w:val="0"/>
                <w:color w:val="FFFFFF"/>
                <w:sz w:val="18"/>
              </w:rPr>
              <w:t>Common preparation</w:t>
            </w:r>
          </w:p>
        </w:tc>
        <w:tc>
          <w:tcPr>
            <w:tcW w:type="dxa" w:w="2600"/>
            <w:shd w:fill="0C4F80"/>
            <w:tcMar>
              <w:top w:w="100" w:type="dxa"/>
              <w:start w:w="120" w:type="dxa"/>
              <w:bottom w:w="100" w:type="dxa"/>
              <w:end w:w="120" w:type="dxa"/>
            </w:tcMar>
            <w:vAlign w:val="center"/>
          </w:tcPr>
          <w:p>
            <w:pPr>
              <w:keepLines/>
              <w:spacing w:after="0"/>
            </w:pPr>
            <w:r>
              <w:rPr>
                <w:rFonts w:ascii="Aptos" w:hAnsi="Aptos"/>
                <w:b/>
                <w:i w:val="0"/>
                <w:color w:val="FFFFFF"/>
                <w:sz w:val="18"/>
              </w:rPr>
              <w:t>Equipment consideration</w:t>
            </w:r>
          </w:p>
        </w:tc>
        <w:tc>
          <w:tcPr>
            <w:tcW w:type="dxa" w:w="2560"/>
            <w:shd w:fill="0C4F80"/>
            <w:tcMar>
              <w:top w:w="100" w:type="dxa"/>
              <w:start w:w="120" w:type="dxa"/>
              <w:bottom w:w="100" w:type="dxa"/>
              <w:end w:w="120" w:type="dxa"/>
            </w:tcMar>
            <w:vAlign w:val="center"/>
          </w:tcPr>
          <w:p>
            <w:pPr>
              <w:keepLines/>
              <w:spacing w:after="0"/>
            </w:pPr>
            <w:r>
              <w:rPr>
                <w:rFonts w:ascii="Aptos" w:hAnsi="Aptos"/>
                <w:b/>
                <w:i w:val="0"/>
                <w:color w:val="FFFFFF"/>
                <w:sz w:val="18"/>
              </w:rPr>
              <w:t>Main risk to verify</w:t>
            </w:r>
          </w:p>
        </w:tc>
      </w:tr>
      <w:tr>
        <w:tc>
          <w:tcPr>
            <w:tcW w:type="dxa" w:w="17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Dry fly ash</w:t>
            </w:r>
          </w:p>
        </w:tc>
        <w:tc>
          <w:tcPr>
            <w:tcW w:type="dxa" w:w="25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Silo storage and controlled batching</w:t>
            </w:r>
          </w:p>
        </w:tc>
        <w:tc>
          <w:tcPr>
            <w:tcW w:type="dxa" w:w="26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Pneumatic conveying, silo and weighing</w:t>
            </w:r>
          </w:p>
        </w:tc>
        <w:tc>
          <w:tcPr>
            <w:tcW w:type="dxa" w:w="256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Variation in fineness and chemistry</w:t>
            </w:r>
          </w:p>
        </w:tc>
      </w:tr>
      <w:tr>
        <w:tc>
          <w:tcPr>
            <w:tcW w:type="dxa" w:w="17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Pond ash</w:t>
            </w:r>
          </w:p>
        </w:tc>
        <w:tc>
          <w:tcPr>
            <w:tcW w:type="dxa" w:w="25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Slurry formation, screening and storage</w:t>
            </w:r>
          </w:p>
        </w:tc>
        <w:tc>
          <w:tcPr>
            <w:tcW w:type="dxa" w:w="26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Slurry system, screening and agitation</w:t>
            </w:r>
          </w:p>
        </w:tc>
        <w:tc>
          <w:tcPr>
            <w:tcW w:type="dxa" w:w="256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Impurities and unstable solids concentration</w:t>
            </w:r>
          </w:p>
        </w:tc>
      </w:tr>
      <w:tr>
        <w:tc>
          <w:tcPr>
            <w:tcW w:type="dxa" w:w="17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Silica sand</w:t>
            </w:r>
          </w:p>
        </w:tc>
        <w:tc>
          <w:tcPr>
            <w:tcW w:type="dxa" w:w="25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Crushing where needed, grinding and slurry storage</w:t>
            </w:r>
          </w:p>
        </w:tc>
        <w:tc>
          <w:tcPr>
            <w:tcW w:type="dxa" w:w="26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Crusher, ball mill and slurry circuit</w:t>
            </w:r>
          </w:p>
        </w:tc>
        <w:tc>
          <w:tcPr>
            <w:tcW w:type="dxa" w:w="256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Inadequate or inconsistent fineness</w:t>
            </w:r>
          </w:p>
        </w:tc>
      </w:tr>
    </w:tbl>
    <w:p>
      <w:pPr>
        <w:spacing w:after="20"/>
      </w:pPr>
    </w:p>
    <w:tbl>
      <w:tblPr>
        <w:tblStyle w:val="TableGrid"/>
        <w:tblW w:type="dxa" w:w="9360"/>
        <w:jc w:val="center"/>
        <w:tblLayout w:type="fixed"/>
        <w:tblLook w:firstColumn="1" w:firstRow="1" w:lastColumn="0" w:lastRow="0" w:noHBand="0" w:noVBand="1" w:val="04A0"/>
      </w:tblPr>
      <w:tblGrid>
        <w:gridCol w:w="9360"/>
      </w:tblGrid>
      <w:tr>
        <w:tc>
          <w:tcPr>
            <w:tcW w:type="dxa" w:w="9360"/>
            <w:tcMar>
              <w:top w:w="180" w:type="dxa"/>
              <w:start w:w="220" w:type="dxa"/>
              <w:bottom w:w="180" w:type="dxa"/>
              <w:end w:w="220" w:type="dxa"/>
            </w:tcMar>
            <w:vAlign w:val="center"/>
            <w:shd w:fill="EEF2F5"/>
          </w:tcPr>
          <w:p>
            <w:pPr>
              <w:keepLines/>
              <w:spacing w:after="0"/>
            </w:pPr>
            <w:r>
              <w:rPr>
                <w:rFonts w:ascii="Aptos" w:hAnsi="Aptos"/>
                <w:b/>
                <w:i w:val="0"/>
                <w:color w:val="0C4F80"/>
                <w:sz w:val="20"/>
              </w:rPr>
              <w:t xml:space="preserve">INVESTOR NOTE  </w:t>
            </w:r>
            <w:r>
              <w:rPr>
                <w:rFonts w:ascii="Aptos" w:hAnsi="Aptos"/>
                <w:b w:val="0"/>
                <w:i w:val="0"/>
                <w:color w:val="0B1727"/>
                <w:sz w:val="20"/>
              </w:rPr>
              <w:t>No silica source should be selected solely because it appears cheaper or is locally available. Its effect on preparation equipment, utilities, recipe control and finished-product quality must also be considered.</w:t>
            </w:r>
          </w:p>
        </w:tc>
      </w:tr>
    </w:tbl>
    <w:p>
      <w:pPr>
        <w:spacing w:after="20"/>
      </w:pPr>
    </w:p>
    <w:p>
      <w:pPr>
        <w:pStyle w:val="Heading1"/>
      </w:pPr>
      <w:r>
        <w:t>Step-by-Step AAC Manufacturing Process</w:t>
      </w:r>
    </w:p>
    <w:p>
      <w:pPr>
        <w:pStyle w:val="Heading2"/>
      </w:pPr>
      <w:r>
        <w:t>1. Raw-Material Storage</w:t>
      </w:r>
    </w:p>
    <w:p>
      <w:r>
        <w:rPr>
          <w:rFonts w:ascii="Aptos" w:hAnsi="Aptos"/>
          <w:b w:val="0"/>
          <w:i w:val="0"/>
          <w:color w:val="0B1727"/>
          <w:sz w:val="22"/>
        </w:rPr>
        <w:t>Storage should provide controlled feeding while protecting materials from contamination and avoidable moisture variation. Typical arrangements include closed silos for dry fly ash, cement and lime; suitable storage for gypsum and silica sand; agitated slurry tanks; water tanks; and controlled storage for aluminium powder or paste. Aluminium handling must follow the material supplier’s safety information and applicable industrial requirements.</w:t>
      </w:r>
    </w:p>
    <w:p>
      <w:pPr>
        <w:pStyle w:val="Heading2"/>
      </w:pPr>
      <w:r>
        <w:t>2. Slurry Preparation and Control</w:t>
      </w:r>
    </w:p>
    <w:p>
      <w:r>
        <w:rPr>
          <w:rFonts w:ascii="Aptos" w:hAnsi="Aptos"/>
          <w:b w:val="0"/>
          <w:i w:val="0"/>
          <w:color w:val="0B1727"/>
          <w:sz w:val="22"/>
        </w:rPr>
        <w:t>Prepared pond ash, ground sand and reusable process slurry are commonly handled in liquid form. The slurry system should maintain controlled solids concentration, uniform particle distribution, suitable viscosity, stable temperature, adequate agitation and pumpability. Density is a useful operating control but should not be treated as the only quality indicator. Instruments must be calibrated before operators change a recipe in response to a reading.</w:t>
      </w:r>
    </w:p>
    <w:p>
      <w:pPr>
        <w:pStyle w:val="Heading2"/>
      </w:pPr>
      <w:r>
        <w:t>3. Batching and Weighing</w:t>
      </w:r>
    </w:p>
    <w:p>
      <w:r>
        <w:rPr>
          <w:rFonts w:ascii="Aptos" w:hAnsi="Aptos"/>
          <w:b w:val="0"/>
          <w:i w:val="0"/>
          <w:color w:val="0B1727"/>
          <w:sz w:val="22"/>
        </w:rPr>
        <w:t>Raw materials are measured according to an approved production recipe. A PLC-controlled system can automate weighing and recipe execution, but it does not remove the need for load-cell calibration, feeder inspection, zero-error checks, moisture or density correction, recipe control, batch-data review and operator supervision.</w:t>
      </w:r>
    </w:p>
    <w:p>
      <w:pPr>
        <w:pStyle w:val="Heading2"/>
      </w:pPr>
      <w:r>
        <w:t>4. Mixing and Casting</w:t>
      </w:r>
    </w:p>
    <w:p>
      <w:r>
        <w:rPr>
          <w:rFonts w:ascii="Aptos" w:hAnsi="Aptos"/>
          <w:b w:val="0"/>
          <w:i w:val="0"/>
          <w:color w:val="0B1727"/>
          <w:sz w:val="22"/>
        </w:rPr>
        <w:t>The measured materials are combined into a homogeneous slurry. The designed sequence should provide uniform solids distribution, controlled temperature, consistent viscosity and proper aluminium dispersion. Aluminium is commonly introduced at a controlled point because gas generation begins after it enters the alkaline mixture. The exact sequence and mixing time must follow the validated plant recipe. Filling quantity should be established during commissioning trials rather than adopted as a universal percentage.</w:t>
      </w:r>
    </w:p>
    <w:p>
      <w:pPr>
        <w:pStyle w:val="Heading2"/>
      </w:pPr>
      <w:r>
        <w:t>5. Rising and Pre-Curing</w:t>
      </w:r>
    </w:p>
    <w:p>
      <w:r>
        <w:rPr>
          <w:rFonts w:ascii="Aptos" w:hAnsi="Aptos"/>
          <w:b w:val="0"/>
          <w:i w:val="0"/>
          <w:color w:val="0B1727"/>
          <w:sz w:val="22"/>
        </w:rPr>
        <w:t>During rising, aluminium reacts in the alkaline mixture and releases hydrogen gas, producing the cellular pore structure. Hydration gives the mass enough early strength to form a semi-rigid green cake. Slurry temperature, aluminium dosage, lime reactivity, fineness, water-to-solids relationship, mould temperature and pre-curing conditions must be controlled. Cutting too early can contribute to deformation; cutting too late can increase wire drag and dimensional variation.</w:t>
      </w:r>
    </w:p>
    <w:p>
      <w:pPr>
        <w:pStyle w:val="Heading2"/>
      </w:pPr>
      <w:r>
        <w:t>6. Demoulding and Cake Handling</w:t>
      </w:r>
    </w:p>
    <w:p>
      <w:r>
        <w:rPr>
          <w:rFonts w:ascii="Aptos" w:hAnsi="Aptos"/>
          <w:b w:val="0"/>
          <w:i w:val="0"/>
          <w:color w:val="0B1727"/>
          <w:sz w:val="22"/>
        </w:rPr>
        <w:t>Once the cake reaches the required green strength, the mould is opened or transferred according to the selected technology. The cake remains vulnerable to vibration, impact, incorrect lifting alignment and uneven support. Mould cleaning, oiling, alignment and side-plate condition can influence demoulding and surface quality.</w:t>
      </w:r>
    </w:p>
    <w:p>
      <w:pPr>
        <w:pStyle w:val="Heading2"/>
      </w:pPr>
      <w:r>
        <w:t>7. Cutting and Profiling</w:t>
      </w:r>
    </w:p>
    <w:p>
      <w:r>
        <w:rPr>
          <w:rFonts w:ascii="Aptos" w:hAnsi="Aptos"/>
          <w:b w:val="0"/>
          <w:i w:val="0"/>
          <w:color w:val="0B1727"/>
          <w:sz w:val="22"/>
        </w:rPr>
        <w:t>Tensioned wires cut the green cake into required dimensions. Cutting may include horizontal, vertical, cross and end cutting, plus product-specific profiling. Performance depends on green strength, wire condition and tension, cutting speed, alignment, machine geometry and cutting pattern. Dimensional accuracy should be measured against the applicable specification, not assumed because an automatic machine is installed.</w:t>
      </w:r>
    </w:p>
    <w:p>
      <w:pPr>
        <w:pStyle w:val="Heading2"/>
      </w:pPr>
      <w:r>
        <w:t>8. Loading for Autoclaving</w:t>
      </w:r>
    </w:p>
    <w:p>
      <w:r>
        <w:rPr>
          <w:rFonts w:ascii="Aptos" w:hAnsi="Aptos"/>
          <w:b w:val="0"/>
          <w:i w:val="0"/>
          <w:color w:val="0B1727"/>
          <w:sz w:val="22"/>
        </w:rPr>
        <w:t>Cut products are arranged on trolleys or another designed transport system. The loading arrangement should consider support, steam circulation, trolley alignment, product protection, batch identification and safe door and track operation. Loading density and trolley arrangement should be validated during commissioning.</w:t>
      </w:r>
    </w:p>
    <w:p>
      <w:pPr>
        <w:pStyle w:val="Heading2"/>
      </w:pPr>
      <w:r>
        <w:t>9. Autoclave Curing</w:t>
      </w:r>
    </w:p>
    <w:p>
      <w:r>
        <w:rPr>
          <w:rFonts w:ascii="Aptos" w:hAnsi="Aptos"/>
          <w:b w:val="0"/>
          <w:i w:val="0"/>
          <w:color w:val="0B1727"/>
          <w:sz w:val="22"/>
        </w:rPr>
        <w:t>Autoclaving is a hydrothermal curing process—not a drying process and not the stage that creates the original pores. Cut products are exposed to controlled saturated steam, allowing reactive silica and calcium compounds to develop strength-contributing calcium-silicate-hydrate phases. There is no single universal pressure, temperature or holding time. The approved cycle depends on raw materials, product dimensions, loading, recipe and equipment design.</w:t>
      </w:r>
    </w:p>
    <w:p>
      <w:pPr>
        <w:pStyle w:val="Heading2"/>
      </w:pPr>
      <w:r>
        <w:t>10. Pressure Release, Unloading and Separation</w:t>
      </w:r>
    </w:p>
    <w:p>
      <w:r>
        <w:rPr>
          <w:rFonts w:ascii="Aptos" w:hAnsi="Aptos"/>
          <w:b w:val="0"/>
          <w:i w:val="0"/>
          <w:color w:val="0B1727"/>
          <w:sz w:val="22"/>
        </w:rPr>
        <w:t>Pressure is reduced under controlled conditions and the autoclave is opened only after safe conditions are confirmed. Blocks may require separation into individual units, while panels require suitable lifting and transfer. Batch identity should remain traceable, and nonconforming products should be segregated.</w:t>
      </w:r>
    </w:p>
    <w:p>
      <w:pPr>
        <w:pStyle w:val="Heading2"/>
      </w:pPr>
      <w:r>
        <w:t>11. Inspection and Quality Control</w:t>
      </w:r>
    </w:p>
    <w:p>
      <w:r>
        <w:rPr>
          <w:rFonts w:ascii="Aptos" w:hAnsi="Aptos"/>
          <w:b w:val="0"/>
          <w:i w:val="0"/>
          <w:color w:val="0B1727"/>
          <w:sz w:val="22"/>
        </w:rPr>
        <w:t>Finished-product testing should follow the applicable product standard, customer specification and approved quality plan. Checks can include dimensions, squareness, surface condition, density, strength, moisture where applicable, visible damage, batch identity, and reinforcement position or cover for panels. Test frequency should be defined by the relevant standard and quality plan.</w:t>
      </w:r>
    </w:p>
    <w:p>
      <w:pPr>
        <w:pStyle w:val="Heading2"/>
      </w:pPr>
      <w:r>
        <w:t>12. Packing and Dispatch</w:t>
      </w:r>
    </w:p>
    <w:p>
      <w:r>
        <w:rPr>
          <w:rFonts w:ascii="Aptos" w:hAnsi="Aptos"/>
          <w:b w:val="0"/>
          <w:i w:val="0"/>
          <w:color w:val="0B1727"/>
          <w:sz w:val="22"/>
        </w:rPr>
        <w:t>Accepted products may be stacked, palletised, strapped, wrapped, labelled and transferred to storage or vehicles. Packing design should consider product type, transport distance, unloading method and site handling. Reinforced panels require lifting and support arrangements appropriate to their engineered lifting points.</w:t>
      </w:r>
    </w:p>
    <w:p>
      <w:pPr>
        <w:pStyle w:val="Heading1"/>
      </w:pPr>
      <w:r>
        <w:t>How Reinforced AAC Panel Production Differs</w:t>
      </w:r>
    </w:p>
    <w:p>
      <w:r>
        <w:rPr>
          <w:rFonts w:ascii="Aptos" w:hAnsi="Aptos"/>
          <w:b w:val="0"/>
          <w:i w:val="0"/>
          <w:color w:val="0B1727"/>
          <w:sz w:val="22"/>
        </w:rPr>
        <w:t>Reinforced AAC panels require additional systems because reinforcement must be incorporated and accurately positioned within the product.</w:t>
      </w:r>
    </w:p>
    <w:p>
      <w:pPr>
        <w:pStyle w:val="Heading2"/>
      </w:pPr>
      <w:r>
        <w:t>Reinforcement Design and Cage Fabrication</w:t>
      </w:r>
    </w:p>
    <w:p>
      <w:r>
        <w:rPr>
          <w:rFonts w:ascii="Aptos" w:hAnsi="Aptos"/>
          <w:b w:val="0"/>
          <w:i w:val="0"/>
          <w:color w:val="0B1727"/>
          <w:sz w:val="22"/>
        </w:rPr>
        <w:t>Reinforcement configuration depends on panel type, dimensions, span, intended application, design loads, required cover, handling conditions and applicable design requirements. Wall, floor, roof, cladding and lintel products should not be treated as structurally interchangeable. Their reinforcement and performance requirements must be established by qualified engineering design.</w:t>
      </w:r>
    </w:p>
    <w:p>
      <w:pPr>
        <w:pStyle w:val="Heading2"/>
      </w:pPr>
      <w:r>
        <w:t>Protective Coating</w:t>
      </w:r>
    </w:p>
    <w:p>
      <w:r>
        <w:rPr>
          <w:rFonts w:ascii="Aptos" w:hAnsi="Aptos"/>
          <w:b w:val="0"/>
          <w:i w:val="0"/>
          <w:color w:val="0B1727"/>
          <w:sz w:val="22"/>
        </w:rPr>
        <w:t>A validated protective treatment is generally applied to reinforcement intended for reinforced AAC products. The coating system should be evaluated for adhesion, coverage, compatibility with AAC, behaviour during autoclaving, corrosion protection, drying time and traceability.</w:t>
      </w:r>
    </w:p>
    <w:p>
      <w:pPr>
        <w:pStyle w:val="Heading2"/>
      </w:pPr>
      <w:r>
        <w:t>Cage Positioning and Handling</w:t>
      </w:r>
    </w:p>
    <w:p>
      <w:r>
        <w:rPr>
          <w:rFonts w:ascii="Aptos" w:hAnsi="Aptos"/>
          <w:b w:val="0"/>
          <w:i w:val="0"/>
          <w:color w:val="0B1727"/>
          <w:sz w:val="22"/>
        </w:rPr>
        <w:t>In a typical reinforced-panel process, prepared and coated cages are positioned in freshly cast material using a cage-holding system. The exact timing depends on the selected technology. Alignment, cover, stability during rising and identification must be controlled. After pre-curing, the holding arrangement is released or removed according to the machine design before the cake proceeds through the relevant cutting and handling stages.</w:t>
      </w:r>
    </w:p>
    <w:p>
      <w:r>
        <w:rPr>
          <w:rFonts w:ascii="Aptos" w:hAnsi="Aptos"/>
          <w:b w:val="0"/>
          <w:i w:val="0"/>
          <w:color w:val="0B1727"/>
          <w:sz w:val="22"/>
        </w:rPr>
        <w:t>Panel quality control may need to verify dimensions, surface condition, reinforcement location, required cover, product identification, coating records, strength, density and application-specific performance.</w:t>
      </w:r>
    </w:p>
    <w:p>
      <w:pPr>
        <w:pStyle w:val="Heading1"/>
      </w:pPr>
      <w:r>
        <w:t>Critical Process Controls</w:t>
      </w:r>
    </w:p>
    <w:tbl>
      <w:tblPr>
        <w:tblStyle w:val="TableGrid"/>
        <w:tblW w:type="dxa" w:w="9360"/>
        <w:jc w:val="center"/>
        <w:tblLayout w:type="fixed"/>
        <w:tblLook w:firstColumn="1" w:firstRow="1" w:lastColumn="0" w:lastRow="0" w:noHBand="0" w:noVBand="1" w:val="04A0"/>
      </w:tblPr>
      <w:tblGrid>
        <w:gridCol w:w="1900"/>
        <w:gridCol w:w="3300"/>
        <w:gridCol w:w="4160"/>
      </w:tblGrid>
      <w:tr>
        <w:trPr>
          <w:tblHeader w:val="true"/>
        </w:trPr>
        <w:tc>
          <w:tcPr>
            <w:tcW w:type="dxa" w:w="1900"/>
            <w:shd w:fill="0C4F80"/>
            <w:tcMar>
              <w:top w:w="100" w:type="dxa"/>
              <w:start w:w="120" w:type="dxa"/>
              <w:bottom w:w="100" w:type="dxa"/>
              <w:end w:w="120" w:type="dxa"/>
            </w:tcMar>
            <w:vAlign w:val="center"/>
          </w:tcPr>
          <w:p>
            <w:pPr>
              <w:keepLines/>
              <w:spacing w:after="0"/>
            </w:pPr>
            <w:r>
              <w:rPr>
                <w:rFonts w:ascii="Aptos" w:hAnsi="Aptos"/>
                <w:b/>
                <w:i w:val="0"/>
                <w:color w:val="FFFFFF"/>
                <w:sz w:val="18"/>
              </w:rPr>
              <w:t>Stage</w:t>
            </w:r>
          </w:p>
        </w:tc>
        <w:tc>
          <w:tcPr>
            <w:tcW w:type="dxa" w:w="3300"/>
            <w:shd w:fill="0C4F80"/>
            <w:tcMar>
              <w:top w:w="100" w:type="dxa"/>
              <w:start w:w="120" w:type="dxa"/>
              <w:bottom w:w="100" w:type="dxa"/>
              <w:end w:w="120" w:type="dxa"/>
            </w:tcMar>
            <w:vAlign w:val="center"/>
          </w:tcPr>
          <w:p>
            <w:pPr>
              <w:keepLines/>
              <w:spacing w:after="0"/>
            </w:pPr>
            <w:r>
              <w:rPr>
                <w:rFonts w:ascii="Aptos" w:hAnsi="Aptos"/>
                <w:b/>
                <w:i w:val="0"/>
                <w:color w:val="FFFFFF"/>
                <w:sz w:val="18"/>
              </w:rPr>
              <w:t>Critical control</w:t>
            </w:r>
          </w:p>
        </w:tc>
        <w:tc>
          <w:tcPr>
            <w:tcW w:type="dxa" w:w="4160"/>
            <w:shd w:fill="0C4F80"/>
            <w:tcMar>
              <w:top w:w="100" w:type="dxa"/>
              <w:start w:w="120" w:type="dxa"/>
              <w:bottom w:w="100" w:type="dxa"/>
              <w:end w:w="120" w:type="dxa"/>
            </w:tcMar>
            <w:vAlign w:val="center"/>
          </w:tcPr>
          <w:p>
            <w:pPr>
              <w:keepLines/>
              <w:spacing w:after="0"/>
            </w:pPr>
            <w:r>
              <w:rPr>
                <w:rFonts w:ascii="Aptos" w:hAnsi="Aptos"/>
                <w:b/>
                <w:i w:val="0"/>
                <w:color w:val="FFFFFF"/>
                <w:sz w:val="18"/>
              </w:rPr>
              <w:t>Possible result if control is lost</w:t>
            </w:r>
          </w:p>
        </w:tc>
      </w:tr>
      <w:tr>
        <w:tc>
          <w:tcPr>
            <w:tcW w:type="dxa" w:w="19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Raw-material receipt</w:t>
            </w:r>
          </w:p>
        </w:tc>
        <w:tc>
          <w:tcPr>
            <w:tcW w:type="dxa" w:w="33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Chemistry, fineness and consistency</w:t>
            </w:r>
          </w:p>
        </w:tc>
        <w:tc>
          <w:tcPr>
            <w:tcW w:type="dxa" w:w="416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Unstable recipe and variable production behaviour</w:t>
            </w:r>
          </w:p>
        </w:tc>
      </w:tr>
      <w:tr>
        <w:tc>
          <w:tcPr>
            <w:tcW w:type="dxa" w:w="19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Slurry preparation</w:t>
            </w:r>
          </w:p>
        </w:tc>
        <w:tc>
          <w:tcPr>
            <w:tcW w:type="dxa" w:w="33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Density, solids concentration and agitation</w:t>
            </w:r>
          </w:p>
        </w:tc>
        <w:tc>
          <w:tcPr>
            <w:tcW w:type="dxa" w:w="416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Incorrect dosing or segregation</w:t>
            </w:r>
          </w:p>
        </w:tc>
      </w:tr>
      <w:tr>
        <w:tc>
          <w:tcPr>
            <w:tcW w:type="dxa" w:w="19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Batching</w:t>
            </w:r>
          </w:p>
        </w:tc>
        <w:tc>
          <w:tcPr>
            <w:tcW w:type="dxa" w:w="33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Calibration and recipe execution</w:t>
            </w:r>
          </w:p>
        </w:tc>
        <w:tc>
          <w:tcPr>
            <w:tcW w:type="dxa" w:w="416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Density, strength or rising variation</w:t>
            </w:r>
          </w:p>
        </w:tc>
      </w:tr>
      <w:tr>
        <w:tc>
          <w:tcPr>
            <w:tcW w:type="dxa" w:w="19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Mixing</w:t>
            </w:r>
          </w:p>
        </w:tc>
        <w:tc>
          <w:tcPr>
            <w:tcW w:type="dxa" w:w="33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Sequence, time, temperature and homogeneity</w:t>
            </w:r>
          </w:p>
        </w:tc>
        <w:tc>
          <w:tcPr>
            <w:tcW w:type="dxa" w:w="416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Uneven pore structure or inconsistent cake</w:t>
            </w:r>
          </w:p>
        </w:tc>
      </w:tr>
      <w:tr>
        <w:tc>
          <w:tcPr>
            <w:tcW w:type="dxa" w:w="19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Casting</w:t>
            </w:r>
          </w:p>
        </w:tc>
        <w:tc>
          <w:tcPr>
            <w:tcW w:type="dxa" w:w="33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Filling quantity and mould condition</w:t>
            </w:r>
          </w:p>
        </w:tc>
        <w:tc>
          <w:tcPr>
            <w:tcW w:type="dxa" w:w="416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Overflow, insufficient cake size or defects</w:t>
            </w:r>
          </w:p>
        </w:tc>
      </w:tr>
      <w:tr>
        <w:tc>
          <w:tcPr>
            <w:tcW w:type="dxa" w:w="19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Rising</w:t>
            </w:r>
          </w:p>
        </w:tc>
        <w:tc>
          <w:tcPr>
            <w:tcW w:type="dxa" w:w="33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Temperature, aluminium reaction and lime reactivity</w:t>
            </w:r>
          </w:p>
        </w:tc>
        <w:tc>
          <w:tcPr>
            <w:tcW w:type="dxa" w:w="416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Uneven rise, cracking or collapse</w:t>
            </w:r>
          </w:p>
        </w:tc>
      </w:tr>
      <w:tr>
        <w:tc>
          <w:tcPr>
            <w:tcW w:type="dxa" w:w="19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Pre-curing</w:t>
            </w:r>
          </w:p>
        </w:tc>
        <w:tc>
          <w:tcPr>
            <w:tcW w:type="dxa" w:w="33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Green strength and cutting readiness</w:t>
            </w:r>
          </w:p>
        </w:tc>
        <w:tc>
          <w:tcPr>
            <w:tcW w:type="dxa" w:w="416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Deformation or wire drag</w:t>
            </w:r>
          </w:p>
        </w:tc>
      </w:tr>
      <w:tr>
        <w:tc>
          <w:tcPr>
            <w:tcW w:type="dxa" w:w="19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Cutting</w:t>
            </w:r>
          </w:p>
        </w:tc>
        <w:tc>
          <w:tcPr>
            <w:tcW w:type="dxa" w:w="33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Wire tension, alignment and cake condition</w:t>
            </w:r>
          </w:p>
        </w:tc>
        <w:tc>
          <w:tcPr>
            <w:tcW w:type="dxa" w:w="416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Dimensional variation and edge damage</w:t>
            </w:r>
          </w:p>
        </w:tc>
      </w:tr>
      <w:tr>
        <w:tc>
          <w:tcPr>
            <w:tcW w:type="dxa" w:w="19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Autoclaving</w:t>
            </w:r>
          </w:p>
        </w:tc>
        <w:tc>
          <w:tcPr>
            <w:tcW w:type="dxa" w:w="33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Approved cycle and steam distribution</w:t>
            </w:r>
          </w:p>
        </w:tc>
        <w:tc>
          <w:tcPr>
            <w:tcW w:type="dxa" w:w="416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Inconsistent curing or product damage</w:t>
            </w:r>
          </w:p>
        </w:tc>
      </w:tr>
      <w:tr>
        <w:tc>
          <w:tcPr>
            <w:tcW w:type="dxa" w:w="19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Separation</w:t>
            </w:r>
          </w:p>
        </w:tc>
        <w:tc>
          <w:tcPr>
            <w:tcW w:type="dxa" w:w="33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Product condition and applied force</w:t>
            </w:r>
          </w:p>
        </w:tc>
        <w:tc>
          <w:tcPr>
            <w:tcW w:type="dxa" w:w="416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Chipping, cracks or breakage</w:t>
            </w:r>
          </w:p>
        </w:tc>
      </w:tr>
      <w:tr>
        <w:tc>
          <w:tcPr>
            <w:tcW w:type="dxa" w:w="19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Packing</w:t>
            </w:r>
          </w:p>
        </w:tc>
        <w:tc>
          <w:tcPr>
            <w:tcW w:type="dxa" w:w="33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Stack stability and handling method</w:t>
            </w:r>
          </w:p>
        </w:tc>
        <w:tc>
          <w:tcPr>
            <w:tcW w:type="dxa" w:w="416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Transport and handling damage</w:t>
            </w:r>
          </w:p>
        </w:tc>
      </w:tr>
    </w:tbl>
    <w:p>
      <w:pPr>
        <w:spacing w:after="20"/>
      </w:pPr>
    </w:p>
    <w:tbl>
      <w:tblPr>
        <w:tblStyle w:val="TableGrid"/>
        <w:tblW w:type="dxa" w:w="9360"/>
        <w:jc w:val="center"/>
        <w:tblLayout w:type="fixed"/>
        <w:tblLook w:firstColumn="1" w:firstRow="1" w:lastColumn="0" w:lastRow="0" w:noHBand="0" w:noVBand="1" w:val="04A0"/>
      </w:tblPr>
      <w:tblGrid>
        <w:gridCol w:w="9360"/>
      </w:tblGrid>
      <w:tr>
        <w:tc>
          <w:tcPr>
            <w:tcW w:type="dxa" w:w="9360"/>
            <w:tcMar>
              <w:top w:w="180" w:type="dxa"/>
              <w:start w:w="220" w:type="dxa"/>
              <w:bottom w:w="180" w:type="dxa"/>
              <w:end w:w="220" w:type="dxa"/>
            </w:tcMar>
            <w:vAlign w:val="center"/>
            <w:shd w:fill="EEF2F5"/>
          </w:tcPr>
          <w:p>
            <w:pPr>
              <w:keepLines/>
              <w:spacing w:after="0"/>
            </w:pPr>
            <w:r>
              <w:rPr>
                <w:rFonts w:ascii="Aptos" w:hAnsi="Aptos"/>
                <w:b/>
                <w:i w:val="0"/>
                <w:color w:val="0C4F80"/>
                <w:sz w:val="20"/>
              </w:rPr>
              <w:t xml:space="preserve">DIAGNOSTIC PRINCIPLE  </w:t>
            </w:r>
            <w:r>
              <w:rPr>
                <w:rFonts w:ascii="Aptos" w:hAnsi="Aptos"/>
                <w:b w:val="0"/>
                <w:i w:val="0"/>
                <w:color w:val="0B1727"/>
                <w:sz w:val="20"/>
              </w:rPr>
              <w:t>A defect should not be attributed to one material or machine without investigation. Trace the affected batch, verify the measurement system, review related process data and change one controlled variable at a time.</w:t>
            </w:r>
          </w:p>
        </w:tc>
      </w:tr>
    </w:tbl>
    <w:p>
      <w:pPr>
        <w:spacing w:after="20"/>
      </w:pPr>
    </w:p>
    <w:p>
      <w:pPr>
        <w:pStyle w:val="Heading1"/>
      </w:pPr>
      <w:r>
        <w:t>Capacity, Utilities and Automation</w:t>
      </w:r>
    </w:p>
    <w:p>
      <w:r>
        <w:rPr>
          <w:rFonts w:ascii="Aptos" w:hAnsi="Aptos"/>
          <w:b w:val="0"/>
          <w:i w:val="0"/>
          <w:color w:val="0B1727"/>
          <w:sz w:val="22"/>
        </w:rPr>
        <w:t>Plant capacity is not determined by mould volume alone. Sustainable output depends on batching and mixing cycle, mould movement, pre-curing time, cutting cycle, panel reinforcement cycle, autoclave loading and curing, boiler capability, separation, packing, maintenance and rejection.</w:t>
      </w:r>
    </w:p>
    <w:p>
      <w:r>
        <w:rPr>
          <w:rFonts w:ascii="Aptos" w:hAnsi="Aptos"/>
          <w:b w:val="0"/>
          <w:i w:val="0"/>
          <w:color w:val="0B1727"/>
          <w:sz w:val="22"/>
        </w:rPr>
        <w:t>Utilities can include electrical power, process water, boiler steam, compressed air, fuel, water treatment, condensate handling, dust control, ventilation and safety systems.</w:t>
      </w:r>
    </w:p>
    <w:p>
      <w:r>
        <w:rPr>
          <w:rFonts w:ascii="Aptos" w:hAnsi="Aptos"/>
          <w:b w:val="0"/>
          <w:i w:val="0"/>
          <w:color w:val="0B1727"/>
          <w:sz w:val="22"/>
        </w:rPr>
        <w:t>Automation should be selected according to the bottleneck and operating objective. A PLC does not make the complete line fully automatic unless the relevant machines, movements, controls, interlocks and data systems are integrated. Suppliers should define which operations are manual, mechanised, automatically controlled, automatically interlinked, instrumented and recorded for traceability.</w:t>
      </w:r>
    </w:p>
    <w:p>
      <w:pPr>
        <w:pStyle w:val="Heading1"/>
      </w:pPr>
      <w:r>
        <w:t>What Investors Should Verify</w:t>
      </w:r>
    </w:p>
    <w:tbl>
      <w:tblPr>
        <w:tblStyle w:val="TableGrid"/>
        <w:tblW w:type="dxa" w:w="9360"/>
        <w:jc w:val="center"/>
        <w:tblLayout w:type="fixed"/>
        <w:tblLook w:firstColumn="1" w:firstRow="1" w:lastColumn="0" w:lastRow="0" w:noHBand="0" w:noVBand="1" w:val="04A0"/>
      </w:tblPr>
      <w:tblGrid>
        <w:gridCol w:w="2500"/>
        <w:gridCol w:w="6860"/>
      </w:tblGrid>
      <w:tr>
        <w:trPr>
          <w:tblHeader w:val="true"/>
        </w:trPr>
        <w:tc>
          <w:tcPr>
            <w:tcW w:type="dxa" w:w="2500"/>
            <w:shd w:fill="0C4F80"/>
            <w:tcMar>
              <w:top w:w="100" w:type="dxa"/>
              <w:start w:w="120" w:type="dxa"/>
              <w:bottom w:w="100" w:type="dxa"/>
              <w:end w:w="120" w:type="dxa"/>
            </w:tcMar>
            <w:vAlign w:val="center"/>
          </w:tcPr>
          <w:p>
            <w:pPr>
              <w:keepLines/>
              <w:spacing w:after="0"/>
            </w:pPr>
            <w:r>
              <w:rPr>
                <w:rFonts w:ascii="Aptos" w:hAnsi="Aptos"/>
                <w:b/>
                <w:i w:val="0"/>
                <w:color w:val="FFFFFF"/>
                <w:sz w:val="18"/>
              </w:rPr>
              <w:t>Verification area</w:t>
            </w:r>
          </w:p>
        </w:tc>
        <w:tc>
          <w:tcPr>
            <w:tcW w:type="dxa" w:w="6860"/>
            <w:shd w:fill="0C4F80"/>
            <w:tcMar>
              <w:top w:w="100" w:type="dxa"/>
              <w:start w:w="120" w:type="dxa"/>
              <w:bottom w:w="100" w:type="dxa"/>
              <w:end w:w="120" w:type="dxa"/>
            </w:tcMar>
            <w:vAlign w:val="center"/>
          </w:tcPr>
          <w:p>
            <w:pPr>
              <w:keepLines/>
              <w:spacing w:after="0"/>
            </w:pPr>
            <w:r>
              <w:rPr>
                <w:rFonts w:ascii="Aptos" w:hAnsi="Aptos"/>
                <w:b/>
                <w:i w:val="0"/>
                <w:color w:val="FFFFFF"/>
                <w:sz w:val="18"/>
              </w:rPr>
              <w:t>Investor action</w:t>
            </w:r>
          </w:p>
        </w:tc>
      </w:tr>
      <w:tr>
        <w:tc>
          <w:tcPr>
            <w:tcW w:type="dxa" w:w="25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Raw-material suitability</w:t>
            </w:r>
          </w:p>
        </w:tc>
        <w:tc>
          <w:tcPr>
            <w:tcW w:type="dxa" w:w="686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Test the actual fly ash, pond ash, sand, lime and other major inputs.</w:t>
            </w:r>
          </w:p>
        </w:tc>
      </w:tr>
      <w:tr>
        <w:tc>
          <w:tcPr>
            <w:tcW w:type="dxa" w:w="25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Product mix</w:t>
            </w:r>
          </w:p>
        </w:tc>
        <w:tc>
          <w:tcPr>
            <w:tcW w:type="dxa" w:w="686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Decide whether the plant will manufacture blocks, reinforced panels or both.</w:t>
            </w:r>
          </w:p>
        </w:tc>
      </w:tr>
      <w:tr>
        <w:tc>
          <w:tcPr>
            <w:tcW w:type="dxa" w:w="25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Saleable capacity</w:t>
            </w:r>
          </w:p>
        </w:tc>
        <w:tc>
          <w:tcPr>
            <w:tcW w:type="dxa" w:w="686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Evaluate the complete cycle rather than mould size or theoretical output alone.</w:t>
            </w:r>
          </w:p>
        </w:tc>
      </w:tr>
      <w:tr>
        <w:tc>
          <w:tcPr>
            <w:tcW w:type="dxa" w:w="25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Plant layout</w:t>
            </w:r>
          </w:p>
        </w:tc>
        <w:tc>
          <w:tcPr>
            <w:tcW w:type="dxa" w:w="686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Confirm material flow, mould movement, autoclave loading, storage and expansion.</w:t>
            </w:r>
          </w:p>
        </w:tc>
      </w:tr>
      <w:tr>
        <w:tc>
          <w:tcPr>
            <w:tcW w:type="dxa" w:w="25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Machinery scope</w:t>
            </w:r>
          </w:p>
        </w:tc>
        <w:tc>
          <w:tcPr>
            <w:tcW w:type="dxa" w:w="686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Map every production stage to included equipment and auxiliaries.</w:t>
            </w:r>
          </w:p>
        </w:tc>
      </w:tr>
      <w:tr>
        <w:tc>
          <w:tcPr>
            <w:tcW w:type="dxa" w:w="25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Automation boundary</w:t>
            </w:r>
          </w:p>
        </w:tc>
        <w:tc>
          <w:tcPr>
            <w:tcW w:type="dxa" w:w="686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Identify what is controlled, interlinked, recorded and manually dependent.</w:t>
            </w:r>
          </w:p>
        </w:tc>
      </w:tr>
      <w:tr>
        <w:tc>
          <w:tcPr>
            <w:tcW w:type="dxa" w:w="25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Utility design</w:t>
            </w:r>
          </w:p>
        </w:tc>
        <w:tc>
          <w:tcPr>
            <w:tcW w:type="dxa" w:w="686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Check power, water, steam, compressed air, fuel and recovery systems.</w:t>
            </w:r>
          </w:p>
        </w:tc>
      </w:tr>
      <w:tr>
        <w:tc>
          <w:tcPr>
            <w:tcW w:type="dxa" w:w="25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Quality capability</w:t>
            </w:r>
          </w:p>
        </w:tc>
        <w:tc>
          <w:tcPr>
            <w:tcW w:type="dxa" w:w="686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Define laboratory instruments, test frequency and applicable standards.</w:t>
            </w:r>
          </w:p>
        </w:tc>
      </w:tr>
      <w:tr>
        <w:tc>
          <w:tcPr>
            <w:tcW w:type="dxa" w:w="25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Panel engineering</w:t>
            </w:r>
          </w:p>
        </w:tc>
        <w:tc>
          <w:tcPr>
            <w:tcW w:type="dxa" w:w="686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Confirm reinforcement, coating, cage handling, product design and tests.</w:t>
            </w:r>
          </w:p>
        </w:tc>
      </w:tr>
      <w:tr>
        <w:tc>
          <w:tcPr>
            <w:tcW w:type="dxa" w:w="25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Commissioning support</w:t>
            </w:r>
          </w:p>
        </w:tc>
        <w:tc>
          <w:tcPr>
            <w:tcW w:type="dxa" w:w="686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Establish responsibility for trials, training, stabilisation and documentation.</w:t>
            </w:r>
          </w:p>
        </w:tc>
      </w:tr>
      <w:tr>
        <w:tc>
          <w:tcPr>
            <w:tcW w:type="dxa" w:w="25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Running-plant verification</w:t>
            </w:r>
          </w:p>
        </w:tc>
        <w:tc>
          <w:tcPr>
            <w:tcW w:type="dxa" w:w="686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Observe a comparable process where practicable.</w:t>
            </w:r>
          </w:p>
        </w:tc>
      </w:tr>
      <w:tr>
        <w:tc>
          <w:tcPr>
            <w:tcW w:type="dxa" w:w="25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Expansion planning</w:t>
            </w:r>
          </w:p>
        </w:tc>
        <w:tc>
          <w:tcPr>
            <w:tcW w:type="dxa" w:w="686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Reserve space and utilities for justified future additions.</w:t>
            </w:r>
          </w:p>
        </w:tc>
      </w:tr>
    </w:tbl>
    <w:p>
      <w:pPr>
        <w:spacing w:after="20"/>
      </w:pPr>
    </w:p>
    <w:p>
      <w:pPr>
        <w:pStyle w:val="Heading1"/>
      </w:pPr>
      <w:r>
        <w:t>Process Engineering Support from Laxmi En-Fab</w:t>
      </w:r>
    </w:p>
    <w:p>
      <w:r>
        <w:rPr>
          <w:rFonts w:ascii="Aptos" w:hAnsi="Aptos"/>
          <w:b w:val="0"/>
          <w:i w:val="0"/>
          <w:color w:val="0B1727"/>
          <w:sz w:val="22"/>
        </w:rPr>
        <w:t>Laxmi En-Fab Pvt. Ltd. designs and supplies machinery and plant systems for AAC block and panel manufacturing.</w:t>
      </w:r>
    </w:p>
    <w:p>
      <w:r>
        <w:rPr>
          <w:rFonts w:ascii="Aptos" w:hAnsi="Aptos"/>
          <w:b w:val="0"/>
          <w:i w:val="0"/>
          <w:color w:val="0B1727"/>
          <w:sz w:val="22"/>
        </w:rPr>
        <w:t>A meaningful process discussion should begin with the proposed project—not with a standard equipment list. Relevant inputs include plant location, available raw materials, laboratory reports, product mix, planned capacity, automation level, land, utilities and expansion plans. Based on these inputs, the production sections and machinery configuration can be evaluated for the proposed application.</w:t>
      </w:r>
    </w:p>
    <w:tbl>
      <w:tblPr>
        <w:tblStyle w:val="TableGrid"/>
        <w:tblW w:type="dxa" w:w="9360"/>
        <w:jc w:val="center"/>
        <w:tblLayout w:type="fixed"/>
        <w:tblLook w:firstColumn="1" w:firstRow="1" w:lastColumn="0" w:lastRow="0" w:noHBand="0" w:noVBand="1" w:val="04A0"/>
      </w:tblPr>
      <w:tblGrid>
        <w:gridCol w:w="9360"/>
      </w:tblGrid>
      <w:tr>
        <w:tc>
          <w:tcPr>
            <w:tcW w:type="dxa" w:w="9360"/>
            <w:tcMar>
              <w:top w:w="180" w:type="dxa"/>
              <w:start w:w="220" w:type="dxa"/>
              <w:bottom w:w="180" w:type="dxa"/>
              <w:end w:w="220" w:type="dxa"/>
            </w:tcMar>
            <w:vAlign w:val="center"/>
            <w:shd w:fill="EEF2F5"/>
          </w:tcPr>
          <w:p>
            <w:pPr>
              <w:keepLines/>
              <w:spacing w:after="0"/>
            </w:pPr>
            <w:r>
              <w:rPr>
                <w:rFonts w:ascii="Aptos" w:hAnsi="Aptos"/>
                <w:b/>
                <w:i w:val="0"/>
                <w:color w:val="0C4F80"/>
                <w:sz w:val="20"/>
              </w:rPr>
              <w:t xml:space="preserve">IMPORTANT  </w:t>
            </w:r>
            <w:r>
              <w:rPr>
                <w:rFonts w:ascii="Aptos" w:hAnsi="Aptos"/>
                <w:b w:val="0"/>
                <w:i w:val="0"/>
                <w:color w:val="0B1727"/>
                <w:sz w:val="20"/>
              </w:rPr>
              <w:t>Final production recipes, reinforced-product designs, operating cycles and performance acceptance criteria must be established through approved engineering, material testing and commissioning trials.</w:t>
            </w:r>
          </w:p>
        </w:tc>
      </w:tr>
    </w:tbl>
    <w:p>
      <w:pPr>
        <w:spacing w:after="20"/>
      </w:pPr>
    </w:p>
    <w:p>
      <w:pPr>
        <w:pStyle w:val="Heading1"/>
      </w:pPr>
      <w:r>
        <w:t>Frequently Asked Questions</w:t>
      </w:r>
    </w:p>
    <w:p>
      <w:pPr>
        <w:pStyle w:val="Heading2"/>
      </w:pPr>
      <w:r>
        <w:t>What is the AAC block manufacturing process?</w:t>
      </w:r>
    </w:p>
    <w:p>
      <w:r>
        <w:rPr>
          <w:rFonts w:ascii="Aptos" w:hAnsi="Aptos"/>
          <w:b w:val="0"/>
          <w:i w:val="0"/>
          <w:color w:val="0B1727"/>
          <w:sz w:val="22"/>
        </w:rPr>
        <w:t>It generally includes preparation, batching, mixing, casting, rising, pre-curing, demoulding, wire cutting, autoclaving, separation, inspection and packing. Equipment and recipes depend on raw materials and plant technology.</w:t>
      </w:r>
    </w:p>
    <w:p>
      <w:pPr>
        <w:pStyle w:val="Heading2"/>
      </w:pPr>
      <w:r>
        <w:t>What is the main difference between block and panel production?</w:t>
      </w:r>
    </w:p>
    <w:p>
      <w:r>
        <w:rPr>
          <w:rFonts w:ascii="Aptos" w:hAnsi="Aptos"/>
          <w:b w:val="0"/>
          <w:i w:val="0"/>
          <w:color w:val="0B1727"/>
          <w:sz w:val="22"/>
        </w:rPr>
        <w:t>Reinforced panels require reinforcement preparation, protective coating, positioning and verification, plus product-appropriate cutting, lifting and testing.</w:t>
      </w:r>
    </w:p>
    <w:p>
      <w:pPr>
        <w:pStyle w:val="Heading2"/>
      </w:pPr>
      <w:r>
        <w:t>Can one plant manufacture both blocks and panels?</w:t>
      </w:r>
    </w:p>
    <w:p>
      <w:r>
        <w:rPr>
          <w:rFonts w:ascii="Aptos" w:hAnsi="Aptos"/>
          <w:b w:val="0"/>
          <w:i w:val="0"/>
          <w:color w:val="0B1727"/>
          <w:sz w:val="22"/>
        </w:rPr>
        <w:t>It may be engineered to do so, but a block-only plant is not automatically panel-ready. Reinforcement systems, layout, handling, design and testing must be evaluated.</w:t>
      </w:r>
    </w:p>
    <w:p>
      <w:pPr>
        <w:pStyle w:val="Heading2"/>
      </w:pPr>
      <w:r>
        <w:t>Does dry fly ash need grinding?</w:t>
      </w:r>
    </w:p>
    <w:p>
      <w:r>
        <w:rPr>
          <w:rFonts w:ascii="Aptos" w:hAnsi="Aptos"/>
          <w:b w:val="0"/>
          <w:i w:val="0"/>
          <w:color w:val="0B1727"/>
          <w:sz w:val="22"/>
        </w:rPr>
        <w:t>Not necessarily. It may bypass grinding when representative tests confirm suitable fineness, chemistry and consistency.</w:t>
      </w:r>
    </w:p>
    <w:p>
      <w:pPr>
        <w:pStyle w:val="Heading2"/>
      </w:pPr>
      <w:r>
        <w:t>Why does pond ash require preparation?</w:t>
      </w:r>
    </w:p>
    <w:p>
      <w:r>
        <w:rPr>
          <w:rFonts w:ascii="Aptos" w:hAnsi="Aptos"/>
          <w:b w:val="0"/>
          <w:i w:val="0"/>
          <w:color w:val="0B1727"/>
          <w:sz w:val="22"/>
        </w:rPr>
        <w:t>It may contain coarse particles, variable moisture and unwanted material. Screening and controlled slurry preparation can be required.</w:t>
      </w:r>
    </w:p>
    <w:p>
      <w:pPr>
        <w:pStyle w:val="Heading2"/>
      </w:pPr>
      <w:r>
        <w:t>Why is aluminium used?</w:t>
      </w:r>
    </w:p>
    <w:p>
      <w:r>
        <w:rPr>
          <w:rFonts w:ascii="Aptos" w:hAnsi="Aptos"/>
          <w:b w:val="0"/>
          <w:i w:val="0"/>
          <w:color w:val="0B1727"/>
          <w:sz w:val="22"/>
        </w:rPr>
        <w:t>It releases hydrogen gas in the alkaline mixture during rising, creating AAC’s cellular pore structure.</w:t>
      </w:r>
    </w:p>
    <w:p>
      <w:pPr>
        <w:pStyle w:val="Heading2"/>
      </w:pPr>
      <w:r>
        <w:t>How is the correct cutting time determined?</w:t>
      </w:r>
    </w:p>
    <w:p>
      <w:r>
        <w:rPr>
          <w:rFonts w:ascii="Aptos" w:hAnsi="Aptos"/>
          <w:b w:val="0"/>
          <w:i w:val="0"/>
          <w:color w:val="0B1727"/>
          <w:sz w:val="22"/>
        </w:rPr>
        <w:t>The cake needs enough green strength to retain shape while remaining suitable for wire cutting. Evaluate cake condition and validated process indicators, not time alone.</w:t>
      </w:r>
    </w:p>
    <w:p>
      <w:pPr>
        <w:pStyle w:val="Heading2"/>
      </w:pPr>
      <w:r>
        <w:t>Does autoclaving create the pores?</w:t>
      </w:r>
    </w:p>
    <w:p>
      <w:r>
        <w:rPr>
          <w:rFonts w:ascii="Aptos" w:hAnsi="Aptos"/>
          <w:b w:val="0"/>
          <w:i w:val="0"/>
          <w:color w:val="0B1727"/>
          <w:sz w:val="22"/>
        </w:rPr>
        <w:t>No. Pores develop during rising. Autoclaving provides hydrothermal curing that develops the final material structure.</w:t>
      </w:r>
    </w:p>
    <w:p>
      <w:pPr>
        <w:pStyle w:val="Heading2"/>
      </w:pPr>
      <w:r>
        <w:t>What pressure and temperature are required?</w:t>
      </w:r>
    </w:p>
    <w:p>
      <w:r>
        <w:rPr>
          <w:rFonts w:ascii="Aptos" w:hAnsi="Aptos"/>
          <w:b w:val="0"/>
          <w:i w:val="0"/>
          <w:color w:val="0B1727"/>
          <w:sz w:val="22"/>
        </w:rPr>
        <w:t>There is no universal setting. The cycle depends on raw materials, products, loading, recipe and equipment design.</w:t>
      </w:r>
    </w:p>
    <w:p>
      <w:pPr>
        <w:pStyle w:val="Heading2"/>
      </w:pPr>
      <w:r>
        <w:t>Can cutting waste be reused?</w:t>
      </w:r>
    </w:p>
    <w:p>
      <w:r>
        <w:rPr>
          <w:rFonts w:ascii="Aptos" w:hAnsi="Aptos"/>
          <w:b w:val="0"/>
          <w:i w:val="0"/>
          <w:color w:val="0B1727"/>
          <w:sz w:val="22"/>
        </w:rPr>
        <w:t>It may be returned where plant design and the approved recipe permit. Its quantity and condition must be controlled.</w:t>
      </w:r>
    </w:p>
    <w:p>
      <w:pPr>
        <w:pStyle w:val="Heading2"/>
      </w:pPr>
      <w:r>
        <w:t>Which stage most affects quality?</w:t>
      </w:r>
    </w:p>
    <w:p>
      <w:r>
        <w:rPr>
          <w:rFonts w:ascii="Aptos" w:hAnsi="Aptos"/>
          <w:b w:val="0"/>
          <w:i w:val="0"/>
          <w:color w:val="0B1727"/>
          <w:sz w:val="22"/>
        </w:rPr>
        <w:t>The stages are connected. Raw-material preparation, slurry control, batching, rising, cutting and autoclaving should be investigated together.</w:t>
      </w:r>
    </w:p>
    <w:p>
      <w:pPr>
        <w:pStyle w:val="Heading2"/>
      </w:pPr>
      <w:r>
        <w:t>What should an investor provide?</w:t>
      </w:r>
    </w:p>
    <w:p>
      <w:r>
        <w:rPr>
          <w:rFonts w:ascii="Aptos" w:hAnsi="Aptos"/>
          <w:b w:val="0"/>
          <w:i w:val="0"/>
          <w:color w:val="0B1727"/>
          <w:sz w:val="22"/>
        </w:rPr>
        <w:t>Project location, raw-material sources and tests, product mix, target capacity, land, utilities, automation preference and expansion plans.</w:t>
      </w:r>
    </w:p>
    <w:p>
      <w:pPr>
        <w:pStyle w:val="Heading1"/>
      </w:pPr>
      <w:r>
        <w:t>Plan the Process Before Selecting Machinery</w:t>
      </w:r>
    </w:p>
    <w:p>
      <w:r>
        <w:rPr>
          <w:rFonts w:ascii="Aptos" w:hAnsi="Aptos"/>
          <w:b w:val="0"/>
          <w:i w:val="0"/>
          <w:color w:val="0B1727"/>
          <w:sz w:val="22"/>
        </w:rPr>
        <w:t>The right AAC production line is not determined by capacity alone. It must connect raw-material preparation, product requirements, process control, utilities, automation, layout and future expansion as one manufacturing system.</w:t>
      </w:r>
    </w:p>
    <w:tbl>
      <w:tblPr>
        <w:tblStyle w:val="TableGrid"/>
        <w:tblW w:type="dxa" w:w="9360"/>
        <w:jc w:val="center"/>
        <w:tblLayout w:type="fixed"/>
        <w:tblLook w:firstColumn="1" w:firstRow="1" w:lastColumn="0" w:lastRow="0" w:noHBand="0" w:noVBand="1" w:val="04A0"/>
      </w:tblPr>
      <w:tblGrid>
        <w:gridCol w:w="9360"/>
      </w:tblGrid>
      <w:tr>
        <w:tc>
          <w:tcPr>
            <w:tcW w:type="dxa" w:w="9360"/>
            <w:tcMar>
              <w:top w:w="180" w:type="dxa"/>
              <w:start w:w="220" w:type="dxa"/>
              <w:bottom w:w="180" w:type="dxa"/>
              <w:end w:w="220" w:type="dxa"/>
            </w:tcMar>
            <w:vAlign w:val="center"/>
            <w:shd w:fill="DCEAF3"/>
          </w:tcPr>
          <w:p>
            <w:pPr>
              <w:keepLines/>
              <w:spacing w:after="0"/>
            </w:pPr>
            <w:r>
              <w:rPr>
                <w:rFonts w:ascii="Aptos" w:hAnsi="Aptos"/>
                <w:b/>
                <w:i w:val="0"/>
                <w:color w:val="0C4F80"/>
                <w:sz w:val="20"/>
              </w:rPr>
              <w:t xml:space="preserve">PRIMARY CTA  </w:t>
            </w:r>
            <w:r>
              <w:rPr>
                <w:rFonts w:ascii="Aptos" w:hAnsi="Aptos"/>
                <w:b w:val="0"/>
                <w:i w:val="0"/>
                <w:color w:val="0B1727"/>
                <w:sz w:val="20"/>
              </w:rPr>
              <w:t>Request an AAC Process &amp; Plant Configuration Discussion. Share the proposed raw material, product mix, capacity and project location with Laxmi En-Fab’s team.</w:t>
            </w:r>
          </w:p>
        </w:tc>
      </w:tr>
    </w:tbl>
    <w:p>
      <w:pPr>
        <w:spacing w:after="20"/>
      </w:pPr>
    </w:p>
    <w:tbl>
      <w:tblPr>
        <w:tblStyle w:val="TableGrid"/>
        <w:tblW w:type="dxa" w:w="9360"/>
        <w:jc w:val="center"/>
        <w:tblLayout w:type="fixed"/>
        <w:tblLook w:firstColumn="1" w:firstRow="1" w:lastColumn="0" w:lastRow="0" w:noHBand="0" w:noVBand="1" w:val="04A0"/>
      </w:tblPr>
      <w:tblGrid>
        <w:gridCol w:w="9360"/>
      </w:tblGrid>
      <w:tr>
        <w:tc>
          <w:tcPr>
            <w:tcW w:type="dxa" w:w="9360"/>
            <w:tcMar>
              <w:top w:w="180" w:type="dxa"/>
              <w:start w:w="220" w:type="dxa"/>
              <w:bottom w:w="180" w:type="dxa"/>
              <w:end w:w="220" w:type="dxa"/>
            </w:tcMar>
            <w:vAlign w:val="center"/>
            <w:shd w:fill="EEF2F5"/>
          </w:tcPr>
          <w:p>
            <w:pPr>
              <w:keepLines/>
              <w:spacing w:after="0"/>
            </w:pPr>
            <w:r>
              <w:rPr>
                <w:rFonts w:ascii="Aptos" w:hAnsi="Aptos"/>
                <w:b/>
                <w:i w:val="0"/>
                <w:color w:val="0C4F80"/>
                <w:sz w:val="20"/>
              </w:rPr>
              <w:t xml:space="preserve">SECONDARY CTA  </w:t>
            </w:r>
            <w:r>
              <w:rPr>
                <w:rFonts w:ascii="Aptos" w:hAnsi="Aptos"/>
                <w:b w:val="0"/>
                <w:i w:val="0"/>
                <w:color w:val="0B1727"/>
                <w:sz w:val="20"/>
              </w:rPr>
              <w:t>Download the AAC Process Selection Checklist to organise raw-material, product, utility and capacity requirements before a technical discussion.</w:t>
            </w:r>
          </w:p>
        </w:tc>
      </w:tr>
    </w:tbl>
    <w:p>
      <w:pPr>
        <w:spacing w:after="20"/>
      </w:pPr>
    </w:p>
    <w:p>
      <w:pPr>
        <w:pStyle w:val="Heading1"/>
      </w:pPr>
      <w:r>
        <w:t>Developer Notes</w:t>
      </w:r>
    </w:p>
    <w:p>
      <w:pPr>
        <w:pStyle w:val="Heading2"/>
      </w:pPr>
      <w:r>
        <w:t>Suggested Internal Links</w:t>
      </w:r>
    </w:p>
    <w:p>
      <w:pPr>
        <w:pStyle w:val="ListBullet"/>
      </w:pPr>
      <w:r>
        <w:rPr>
          <w:rFonts w:ascii="Aptos" w:hAnsi="Aptos"/>
          <w:b w:val="0"/>
          <w:i w:val="0"/>
          <w:color w:val="0B1727"/>
          <w:sz w:val="22"/>
        </w:rPr>
        <w:t>AAC Raw Materials and Testing</w:t>
      </w:r>
    </w:p>
    <w:p>
      <w:pPr>
        <w:pStyle w:val="ListBullet"/>
      </w:pPr>
      <w:r>
        <w:rPr>
          <w:rFonts w:ascii="Aptos" w:hAnsi="Aptos"/>
          <w:b w:val="0"/>
          <w:i w:val="0"/>
          <w:color w:val="0B1727"/>
          <w:sz w:val="22"/>
        </w:rPr>
        <w:t>AAC Plant Capacity Selection</w:t>
      </w:r>
    </w:p>
    <w:p>
      <w:pPr>
        <w:pStyle w:val="ListBullet"/>
      </w:pPr>
      <w:r>
        <w:rPr>
          <w:rFonts w:ascii="Aptos" w:hAnsi="Aptos"/>
          <w:b w:val="0"/>
          <w:i w:val="0"/>
          <w:color w:val="0B1727"/>
          <w:sz w:val="22"/>
        </w:rPr>
        <w:t>AAC Plant Layout</w:t>
      </w:r>
    </w:p>
    <w:p>
      <w:pPr>
        <w:pStyle w:val="ListBullet"/>
      </w:pPr>
      <w:r>
        <w:rPr>
          <w:rFonts w:ascii="Aptos" w:hAnsi="Aptos"/>
          <w:b w:val="0"/>
          <w:i w:val="0"/>
          <w:color w:val="0B1727"/>
          <w:sz w:val="22"/>
        </w:rPr>
        <w:t>AAC Plant Machinery</w:t>
      </w:r>
    </w:p>
    <w:p>
      <w:pPr>
        <w:pStyle w:val="ListBullet"/>
      </w:pPr>
      <w:r>
        <w:rPr>
          <w:rFonts w:ascii="Aptos" w:hAnsi="Aptos"/>
          <w:b w:val="0"/>
          <w:i w:val="0"/>
          <w:color w:val="0B1727"/>
          <w:sz w:val="22"/>
        </w:rPr>
        <w:t>AAC Panel Manufacturing Plant</w:t>
      </w:r>
    </w:p>
    <w:p>
      <w:pPr>
        <w:pStyle w:val="ListBullet"/>
      </w:pPr>
      <w:r>
        <w:rPr>
          <w:rFonts w:ascii="Aptos" w:hAnsi="Aptos"/>
          <w:b w:val="0"/>
          <w:i w:val="0"/>
          <w:color w:val="0B1727"/>
          <w:sz w:val="22"/>
        </w:rPr>
        <w:t>AAC Cutting Technology</w:t>
      </w:r>
    </w:p>
    <w:p>
      <w:pPr>
        <w:pStyle w:val="ListBullet"/>
      </w:pPr>
      <w:r>
        <w:rPr>
          <w:rFonts w:ascii="Aptos" w:hAnsi="Aptos"/>
          <w:b w:val="0"/>
          <w:i w:val="0"/>
          <w:color w:val="0B1727"/>
          <w:sz w:val="22"/>
        </w:rPr>
        <w:t>AAC Autoclave Process</w:t>
      </w:r>
    </w:p>
    <w:p>
      <w:pPr>
        <w:pStyle w:val="ListBullet"/>
      </w:pPr>
      <w:r>
        <w:rPr>
          <w:rFonts w:ascii="Aptos" w:hAnsi="Aptos"/>
          <w:b w:val="0"/>
          <w:i w:val="0"/>
          <w:color w:val="0B1727"/>
          <w:sz w:val="22"/>
        </w:rPr>
        <w:t>AAC Plant Automation</w:t>
      </w:r>
    </w:p>
    <w:p>
      <w:pPr>
        <w:pStyle w:val="ListBullet"/>
      </w:pPr>
      <w:r>
        <w:rPr>
          <w:rFonts w:ascii="Aptos" w:hAnsi="Aptos"/>
          <w:b w:val="0"/>
          <w:i w:val="0"/>
          <w:color w:val="0B1727"/>
          <w:sz w:val="22"/>
        </w:rPr>
        <w:t>AAC Quality Control and Testing</w:t>
      </w:r>
    </w:p>
    <w:p>
      <w:pPr>
        <w:pStyle w:val="ListBullet"/>
      </w:pPr>
      <w:r>
        <w:rPr>
          <w:rFonts w:ascii="Aptos" w:hAnsi="Aptos"/>
          <w:b w:val="0"/>
          <w:i w:val="0"/>
          <w:color w:val="0B1727"/>
          <w:sz w:val="22"/>
        </w:rPr>
        <w:t>AAC Steam Utilisation</w:t>
      </w:r>
    </w:p>
    <w:p>
      <w:pPr>
        <w:pStyle w:val="ListBullet"/>
      </w:pPr>
      <w:r>
        <w:rPr>
          <w:rFonts w:ascii="Aptos" w:hAnsi="Aptos"/>
          <w:b w:val="0"/>
          <w:i w:val="0"/>
          <w:color w:val="0B1727"/>
          <w:sz w:val="22"/>
        </w:rPr>
        <w:t>How to Compare AAC Plant Suppliers</w:t>
      </w:r>
    </w:p>
    <w:p>
      <w:pPr>
        <w:pStyle w:val="ListBullet"/>
      </w:pPr>
      <w:r>
        <w:rPr>
          <w:rFonts w:ascii="Aptos" w:hAnsi="Aptos"/>
          <w:b w:val="0"/>
          <w:i w:val="0"/>
          <w:color w:val="0B1727"/>
          <w:sz w:val="22"/>
        </w:rPr>
        <w:t>Contact Laxmi En-Fab</w:t>
      </w:r>
    </w:p>
    <w:p>
      <w:pPr>
        <w:pStyle w:val="Heading2"/>
      </w:pPr>
      <w:r>
        <w:t>Recommended Images</w:t>
      </w:r>
    </w:p>
    <w:tbl>
      <w:tblPr>
        <w:tblStyle w:val="TableGrid"/>
        <w:tblW w:type="dxa" w:w="9360"/>
        <w:jc w:val="center"/>
        <w:tblLayout w:type="fixed"/>
        <w:tblLook w:firstColumn="1" w:firstRow="1" w:lastColumn="0" w:lastRow="0" w:noHBand="0" w:noVBand="1" w:val="04A0"/>
      </w:tblPr>
      <w:tblGrid>
        <w:gridCol w:w="3600"/>
        <w:gridCol w:w="5760"/>
      </w:tblGrid>
      <w:tr>
        <w:trPr>
          <w:tblHeader w:val="true"/>
        </w:trPr>
        <w:tc>
          <w:tcPr>
            <w:tcW w:type="dxa" w:w="3600"/>
            <w:shd w:fill="0C4F80"/>
            <w:tcMar>
              <w:top w:w="100" w:type="dxa"/>
              <w:start w:w="120" w:type="dxa"/>
              <w:bottom w:w="100" w:type="dxa"/>
              <w:end w:w="120" w:type="dxa"/>
            </w:tcMar>
            <w:vAlign w:val="center"/>
          </w:tcPr>
          <w:p>
            <w:pPr>
              <w:keepLines/>
              <w:spacing w:after="0"/>
            </w:pPr>
            <w:r>
              <w:rPr>
                <w:rFonts w:ascii="Aptos" w:hAnsi="Aptos"/>
                <w:b/>
                <w:i w:val="0"/>
                <w:color w:val="FFFFFF"/>
                <w:sz w:val="18"/>
              </w:rPr>
              <w:t>Filename</w:t>
            </w:r>
          </w:p>
        </w:tc>
        <w:tc>
          <w:tcPr>
            <w:tcW w:type="dxa" w:w="5760"/>
            <w:shd w:fill="0C4F80"/>
            <w:tcMar>
              <w:top w:w="100" w:type="dxa"/>
              <w:start w:w="120" w:type="dxa"/>
              <w:bottom w:w="100" w:type="dxa"/>
              <w:end w:w="120" w:type="dxa"/>
            </w:tcMar>
            <w:vAlign w:val="center"/>
          </w:tcPr>
          <w:p>
            <w:pPr>
              <w:keepLines/>
              <w:spacing w:after="0"/>
            </w:pPr>
            <w:r>
              <w:rPr>
                <w:rFonts w:ascii="Aptos" w:hAnsi="Aptos"/>
                <w:b/>
                <w:i w:val="0"/>
                <w:color w:val="FFFFFF"/>
                <w:sz w:val="18"/>
              </w:rPr>
              <w:t>Alt text</w:t>
            </w:r>
          </w:p>
        </w:tc>
      </w:tr>
      <w:tr>
        <w:tc>
          <w:tcPr>
            <w:tcW w:type="dxa" w:w="36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aac-block-panel-production-process.webp</w:t>
            </w:r>
          </w:p>
        </w:tc>
        <w:tc>
          <w:tcPr>
            <w:tcW w:type="dxa" w:w="576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AAC block and reinforced AAC panel production process</w:t>
            </w:r>
          </w:p>
        </w:tc>
      </w:tr>
      <w:tr>
        <w:tc>
          <w:tcPr>
            <w:tcW w:type="dxa" w:w="36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aac-raw-material-process-routes.webp</w:t>
            </w:r>
          </w:p>
        </w:tc>
        <w:tc>
          <w:tcPr>
            <w:tcW w:type="dxa" w:w="576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Dry fly ash, pond ash and silica sand preparation routes</w:t>
            </w:r>
          </w:p>
        </w:tc>
      </w:tr>
      <w:tr>
        <w:tc>
          <w:tcPr>
            <w:tcW w:type="dxa" w:w="36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aac-production-line-process-flow.webp</w:t>
            </w:r>
          </w:p>
        </w:tc>
        <w:tc>
          <w:tcPr>
            <w:tcW w:type="dxa" w:w="576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Step-by-step AAC manufacturing process flow</w:t>
            </w:r>
          </w:p>
        </w:tc>
      </w:tr>
      <w:tr>
        <w:tc>
          <w:tcPr>
            <w:tcW w:type="dxa" w:w="36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aac-panel-reinforcement-process.webp</w:t>
            </w:r>
          </w:p>
        </w:tc>
        <w:tc>
          <w:tcPr>
            <w:tcW w:type="dxa" w:w="576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Reinforcement cage preparation and positioning for AAC panels</w:t>
            </w:r>
          </w:p>
        </w:tc>
      </w:tr>
      <w:tr>
        <w:tc>
          <w:tcPr>
            <w:tcW w:type="dxa" w:w="360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aac-green-cake-cutting-process.webp</w:t>
            </w:r>
          </w:p>
        </w:tc>
        <w:tc>
          <w:tcPr>
            <w:tcW w:type="dxa" w:w="5760"/>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Green AAC cake passing through wire cutting equipment</w:t>
            </w:r>
          </w:p>
        </w:tc>
      </w:tr>
      <w:tr>
        <w:tc>
          <w:tcPr>
            <w:tcW w:type="dxa" w:w="360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aac-autoclave-curing-process.webp</w:t>
            </w:r>
          </w:p>
        </w:tc>
        <w:tc>
          <w:tcPr>
            <w:tcW w:type="dxa" w:w="5760"/>
            <w:shd w:fill="F5F7F8"/>
            <w:tcMar>
              <w:top w:w="100" w:type="dxa"/>
              <w:start w:w="120" w:type="dxa"/>
              <w:bottom w:w="100" w:type="dxa"/>
              <w:end w:w="120" w:type="dxa"/>
            </w:tcMar>
            <w:vAlign w:val="center"/>
          </w:tcPr>
          <w:p>
            <w:pPr>
              <w:keepLines/>
              <w:spacing w:after="0" w:line="252" w:lineRule="auto"/>
            </w:pPr>
            <w:r>
              <w:rPr>
                <w:rFonts w:ascii="Aptos" w:hAnsi="Aptos"/>
                <w:b w:val="0"/>
                <w:i w:val="0"/>
                <w:color w:val="0B1727"/>
                <w:sz w:val="17"/>
              </w:rPr>
              <w:t>Cut AAC products prepared for autoclave steam curing</w:t>
            </w:r>
          </w:p>
        </w:tc>
      </w:tr>
    </w:tbl>
    <w:p>
      <w:pPr>
        <w:spacing w:after="20"/>
      </w:pPr>
    </w:p>
    <w:p>
      <w:pPr>
        <w:pStyle w:val="Heading2"/>
      </w:pPr>
      <w:r>
        <w:t>Structured Data</w:t>
      </w:r>
    </w:p>
    <w:p>
      <w:r>
        <w:rPr>
          <w:rFonts w:ascii="Aptos" w:hAnsi="Aptos"/>
          <w:b w:val="0"/>
          <w:i w:val="0"/>
          <w:color w:val="0B1727"/>
          <w:sz w:val="22"/>
        </w:rPr>
        <w:t>Use Article, BreadcrumbList and Organization. Add ImageObject for original diagrams and photographs, VideoObject for an embedded original process video, and FAQPage only for visible FAQs. Do not add unsupported ratings, performance data, project counts or invisible content.</w:t>
      </w:r>
    </w:p>
    <w:p>
      <w:pPr>
        <w:pStyle w:val="Heading1"/>
      </w:pPr>
      <w:r>
        <w:t>Verification Required Before Publication</w:t>
      </w:r>
    </w:p>
    <w:tbl>
      <w:tblPr>
        <w:tblStyle w:val="TableGrid"/>
        <w:tblW w:type="dxa" w:w="9360"/>
        <w:jc w:val="center"/>
        <w:tblLayout w:type="fixed"/>
        <w:tblLook w:firstColumn="1" w:firstRow="1" w:lastColumn="0" w:lastRow="0" w:noHBand="0" w:noVBand="1" w:val="04A0"/>
      </w:tblPr>
      <w:tblGrid>
        <w:gridCol w:w="9360"/>
      </w:tblGrid>
      <w:tr>
        <w:tc>
          <w:tcPr>
            <w:tcW w:type="dxa" w:w="9360"/>
            <w:tcMar>
              <w:top w:w="180" w:type="dxa"/>
              <w:start w:w="220" w:type="dxa"/>
              <w:bottom w:w="180" w:type="dxa"/>
              <w:end w:w="220" w:type="dxa"/>
            </w:tcMar>
            <w:vAlign w:val="center"/>
            <w:shd w:fill="FFF4DA"/>
          </w:tcPr>
          <w:p>
            <w:pPr>
              <w:keepLines/>
              <w:spacing w:after="0"/>
            </w:pPr>
            <w:r>
              <w:rPr>
                <w:rFonts w:ascii="Aptos" w:hAnsi="Aptos"/>
                <w:b/>
                <w:i w:val="0"/>
                <w:color w:val="0C4F80"/>
                <w:sz w:val="20"/>
              </w:rPr>
              <w:t xml:space="preserve">EDITORIAL HOLD POINT  </w:t>
            </w:r>
            <w:r>
              <w:rPr>
                <w:rFonts w:ascii="Aptos" w:hAnsi="Aptos"/>
                <w:b w:val="0"/>
                <w:i w:val="0"/>
                <w:color w:val="0B1727"/>
                <w:sz w:val="20"/>
              </w:rPr>
              <w:t>The webpage copy is publication-ready after the following company inputs are confirmed. Do not publish unverified additions as facts.</w:t>
            </w:r>
          </w:p>
        </w:tc>
      </w:tr>
    </w:tbl>
    <w:p>
      <w:pPr>
        <w:spacing w:after="20"/>
      </w:pPr>
    </w:p>
    <w:p>
      <w:pPr>
        <w:pStyle w:val="ListNumber"/>
        <w:numPr>
          <w:ilvl w:val="0"/>
          <w:numId w:val="11"/>
        </w:numPr>
      </w:pPr>
      <w:r>
        <w:rPr>
          <w:rFonts w:ascii="Aptos" w:hAnsi="Aptos"/>
          <w:b w:val="0"/>
          <w:i w:val="0"/>
          <w:color w:val="0B1727"/>
          <w:sz w:val="22"/>
        </w:rPr>
        <w:t>Reinforcement cage insertion and holding-frame sequence used by Laxmi En-Fab.</w:t>
      </w:r>
    </w:p>
    <w:p>
      <w:pPr>
        <w:pStyle w:val="ListNumber"/>
        <w:numPr>
          <w:ilvl w:val="0"/>
          <w:numId w:val="11"/>
        </w:numPr>
      </w:pPr>
      <w:r>
        <w:rPr>
          <w:rFonts w:ascii="Aptos" w:hAnsi="Aptos"/>
          <w:b w:val="0"/>
          <w:i w:val="0"/>
          <w:color w:val="0B1727"/>
          <w:sz w:val="22"/>
        </w:rPr>
        <w:t>Applicable Indian standards for each reinforced AAC panel category.</w:t>
      </w:r>
    </w:p>
    <w:p>
      <w:pPr>
        <w:pStyle w:val="ListNumber"/>
        <w:numPr>
          <w:ilvl w:val="0"/>
          <w:numId w:val="11"/>
        </w:numPr>
      </w:pPr>
      <w:r>
        <w:rPr>
          <w:rFonts w:ascii="Aptos" w:hAnsi="Aptos"/>
          <w:b w:val="0"/>
          <w:i w:val="0"/>
          <w:color w:val="0B1727"/>
          <w:sz w:val="22"/>
        </w:rPr>
        <w:t>Whether Laxmi En-Fab formally offers raw-material or process review before proposal preparation.</w:t>
      </w:r>
    </w:p>
    <w:p>
      <w:pPr>
        <w:pStyle w:val="ListNumber"/>
        <w:numPr>
          <w:ilvl w:val="0"/>
          <w:numId w:val="11"/>
        </w:numPr>
      </w:pPr>
      <w:r>
        <w:rPr>
          <w:rFonts w:ascii="Aptos" w:hAnsi="Aptos"/>
          <w:b w:val="0"/>
          <w:i w:val="0"/>
          <w:color w:val="0B1727"/>
          <w:sz w:val="22"/>
        </w:rPr>
        <w:t>Named author and technical reviewer.</w:t>
      </w:r>
    </w:p>
    <w:p>
      <w:pPr>
        <w:pStyle w:val="ListNumber"/>
        <w:numPr>
          <w:ilvl w:val="0"/>
          <w:numId w:val="11"/>
        </w:numPr>
      </w:pPr>
      <w:r>
        <w:rPr>
          <w:rFonts w:ascii="Aptos" w:hAnsi="Aptos"/>
          <w:b w:val="0"/>
          <w:i w:val="0"/>
          <w:color w:val="0B1727"/>
          <w:sz w:val="22"/>
        </w:rPr>
        <w:t>Official CTA contact link and enquiry-form destination.</w:t>
      </w:r>
    </w:p>
    <w:p>
      <w:pPr>
        <w:pStyle w:val="ListNumber"/>
        <w:numPr>
          <w:ilvl w:val="0"/>
          <w:numId w:val="11"/>
        </w:numPr>
      </w:pPr>
      <w:r>
        <w:rPr>
          <w:rFonts w:ascii="Aptos" w:hAnsi="Aptos"/>
          <w:b w:val="0"/>
          <w:i w:val="0"/>
          <w:color w:val="0B1727"/>
          <w:sz w:val="22"/>
        </w:rPr>
        <w:t>Availability of the proposed downloadable process-selection checklist.</w:t>
      </w:r>
    </w:p>
    <w:p>
      <w:pPr>
        <w:pStyle w:val="ListNumber"/>
        <w:numPr>
          <w:ilvl w:val="0"/>
          <w:numId w:val="11"/>
        </w:numPr>
      </w:pPr>
      <w:r>
        <w:rPr>
          <w:rFonts w:ascii="Aptos" w:hAnsi="Aptos"/>
          <w:b w:val="0"/>
          <w:i w:val="0"/>
          <w:color w:val="0B1727"/>
          <w:sz w:val="22"/>
        </w:rPr>
        <w:t>Any customer, project, plant-count or performance evidence added later.</w:t>
      </w:r>
    </w:p>
    <w:p>
      <w:r>
        <w:rPr>
          <w:rFonts w:ascii="Aptos" w:hAnsi="Aptos"/>
          <w:b w:val="0"/>
          <w:i w:val="0"/>
          <w:color w:val="0B1727"/>
          <w:sz w:val="22"/>
        </w:rPr>
        <w:t>For AAC blocks sold in India, confirm the current applicable edition and amendments of IS 2185 (Part 3) before publication. Panel design and testing requirements must be confirmed separately for each intended product and application.</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07080"/>
        <w:sz w:val="16"/>
      </w:rPr>
      <w:t xml:space="preserve">AAC Block &amp; Panel Production Process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607080"/>
        <w:sz w:val="17"/>
      </w:rPr>
      <w:t>LAXMI EN-FAB PVT. LTD.  |  AAC INVESTOR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0B17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B1727"/>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C4F8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04F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Aptos" w:hAnsi="Aptos"/>
      <w:color w:val="0B172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Aptos" w:hAnsi="Aptos"/>
      <w:color w:val="0B172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Block &amp; Panel Production Process</dc:title>
  <dc:subject>Publication-ready technical webpage copy</dc:subject>
  <dc:creator>Laxmi En-Fab Pvt. Ltd.</dc:creator>
  <cp:keywords>AAC block manufacturing process, AAC panel production process, AAC plant</cp:keywords>
  <dc:description>generated by python-docx</dc:description>
  <cp:lastModifiedBy/>
  <cp:revision>1</cp:revision>
  <dcterms:created xsi:type="dcterms:W3CDTF">2013-12-23T23:15:00Z</dcterms:created>
  <dcterms:modified xsi:type="dcterms:W3CDTF">2013-12-23T23:15:00Z</dcterms:modified>
  <cp:category/>
</cp:coreProperties>
</file>