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680"/>
      </w:pPr>
    </w:p>
    <w:p>
      <w:pPr>
        <w:widowControl/>
        <w:spacing w:after="240"/>
      </w:pPr>
      <w:r>
        <w:rPr>
          <w:rFonts w:ascii="Arial" w:hAnsi="Arial"/>
          <w:b/>
          <w:i w:val="0"/>
          <w:color w:val="0C4F80"/>
          <w:sz w:val="18"/>
        </w:rPr>
        <w:t>TECHNICAL GUIDE  /  DESIGN YOUR PLANT</w:t>
      </w:r>
    </w:p>
    <w:p>
      <w:pPr>
        <w:widowControl/>
        <w:spacing w:after="200"/>
      </w:pPr>
      <w:r>
        <w:rPr>
          <w:rFonts w:ascii="Arial" w:hAnsi="Arial"/>
          <w:b/>
          <w:i w:val="0"/>
          <w:color w:val="0B1727"/>
          <w:sz w:val="58"/>
        </w:rPr>
        <w:t>AAC Plant Layout Design</w:t>
      </w:r>
    </w:p>
    <w:p>
      <w:pPr>
        <w:widowControl/>
        <w:spacing w:after="360"/>
      </w:pPr>
      <w:r>
        <w:rPr>
          <w:rFonts w:ascii="Arial" w:hAnsi="Arial"/>
          <w:b w:val="0"/>
          <w:i w:val="0"/>
          <w:color w:val="0C4F80"/>
          <w:sz w:val="30"/>
        </w:rPr>
        <w:t>Choosing the Right Factory Configuration for Your Land, Production Flow and Future Expansion</w:t>
      </w:r>
    </w:p>
    <w:tbl>
      <w:tblPr>
        <w:tblW w:type="dxa" w:w="9360"/>
        <w:tblLayout w:type="fixed"/>
        <w:tblLook w:firstColumn="1" w:firstRow="1" w:lastColumn="0" w:lastRow="0" w:noHBand="0" w:noVBand="1" w:val="04A0"/>
        <w:tblInd w:w="120" w:type="dxa"/>
      </w:tblPr>
      <w:tblGrid>
        <w:gridCol w:w="9360"/>
      </w:tblGrid>
      <w:tr>
        <w:tc>
          <w:tcPr>
            <w:tcW w:type="dxa" w:w="9360"/>
            <w:shd w:fill="EEF2F5"/>
            <w:tcMar>
              <w:top w:w="90" w:type="dxa"/>
              <w:start w:w="120" w:type="dxa"/>
              <w:bottom w:w="90" w:type="dxa"/>
              <w:end w:w="120" w:type="dxa"/>
            </w:tcMar>
            <w:vAlign w:val="center"/>
          </w:tcPr>
          <w:p>
            <w:pPr>
              <w:spacing w:after="60"/>
            </w:pPr>
            <w:r>
              <w:rPr>
                <w:rFonts w:ascii="Arial" w:hAnsi="Arial"/>
                <w:b/>
                <w:i w:val="0"/>
                <w:color w:val="0C4F80"/>
                <w:sz w:val="17"/>
              </w:rPr>
              <w:t>PUBLICATION STATUS</w:t>
            </w:r>
          </w:p>
          <w:p>
            <w:pPr>
              <w:spacing w:after="0"/>
            </w:pPr>
            <w:r>
              <w:rPr>
                <w:rFonts w:ascii="Arial" w:hAnsi="Arial"/>
                <w:b/>
                <w:i w:val="0"/>
                <w:color w:val="0B1727"/>
                <w:sz w:val="20"/>
              </w:rPr>
              <w:t>Complete revised page copy. Project-specific dimensions, output commitments and cost comparisons must be confirmed during engineering.</w:t>
            </w:r>
          </w:p>
        </w:tc>
        <w:trPr>
          <w:tblHeader/>
        </w:trPr>
      </w:tr>
    </w:tbl>
    <w:p>
      <w:pPr>
        <w:widowControl/>
        <w:spacing w:after="20"/>
      </w:pPr>
    </w:p>
    <w:p>
      <w:pPr>
        <w:widowControl/>
      </w:pPr>
      <w:r>
        <w:rPr>
          <w:rFonts w:ascii="Arial" w:hAnsi="Arial"/>
          <w:b/>
          <w:i w:val="0"/>
          <w:color w:val="0B1727"/>
          <w:sz w:val="21"/>
        </w:rPr>
        <w:t>Prepared for:</w:t>
      </w:r>
      <w:r>
        <w:rPr>
          <w:rFonts w:ascii="Arial" w:hAnsi="Arial"/>
          <w:b w:val="0"/>
          <w:i w:val="0"/>
          <w:color w:val="0B1727"/>
          <w:sz w:val="21"/>
        </w:rPr>
        <w:t xml:space="preserve"> Laxmi En-Fab Pvt. Ltd.</w:t>
      </w:r>
    </w:p>
    <w:p>
      <w:pPr>
        <w:widowControl/>
      </w:pPr>
      <w:r>
        <w:rPr>
          <w:rFonts w:ascii="Arial" w:hAnsi="Arial"/>
          <w:b/>
          <w:i w:val="0"/>
          <w:color w:val="0B1727"/>
          <w:sz w:val="21"/>
        </w:rPr>
        <w:t>Primary audience:</w:t>
      </w:r>
      <w:r>
        <w:rPr>
          <w:rFonts w:ascii="Arial" w:hAnsi="Arial"/>
          <w:b w:val="0"/>
          <w:i w:val="0"/>
          <w:color w:val="0B1727"/>
          <w:sz w:val="21"/>
        </w:rPr>
        <w:t xml:space="preserve"> New AAC investors, existing manufacturers, consultants, project teams and purchase teams</w:t>
      </w:r>
    </w:p>
    <w:p>
      <w:pPr>
        <w:widowControl/>
      </w:pPr>
      <w:r>
        <w:rPr>
          <w:rFonts w:ascii="Arial" w:hAnsi="Arial"/>
          <w:b/>
          <w:i w:val="0"/>
          <w:color w:val="0B1727"/>
          <w:sz w:val="21"/>
        </w:rPr>
        <w:t>Primary market:</w:t>
      </w:r>
      <w:r>
        <w:rPr>
          <w:rFonts w:ascii="Arial" w:hAnsi="Arial"/>
          <w:b w:val="0"/>
          <w:i w:val="0"/>
          <w:color w:val="0B1727"/>
          <w:sz w:val="21"/>
        </w:rPr>
        <w:t xml:space="preserve"> India</w:t>
      </w:r>
    </w:p>
    <w:p>
      <w:pPr>
        <w:widowControl/>
      </w:pPr>
      <w:r>
        <w:rPr>
          <w:rFonts w:ascii="Arial" w:hAnsi="Arial"/>
          <w:b/>
          <w:i w:val="0"/>
          <w:color w:val="0B1727"/>
          <w:sz w:val="21"/>
        </w:rPr>
        <w:t>Primary objective:</w:t>
      </w:r>
      <w:r>
        <w:rPr>
          <w:rFonts w:ascii="Arial" w:hAnsi="Arial"/>
          <w:b w:val="0"/>
          <w:i w:val="0"/>
          <w:color w:val="0B1727"/>
          <w:sz w:val="21"/>
        </w:rPr>
        <w:t xml:space="preserve"> Educate serious buyers and generate qualified land-and-layout review enquiries</w:t>
      </w:r>
    </w:p>
    <w:p>
      <w:pPr>
        <w:widowControl/>
      </w:pPr>
      <w:r>
        <w:br w:type="page"/>
      </w:r>
    </w:p>
    <w:p>
      <w:pPr>
        <w:pStyle w:val="Heading1"/>
        <w:keepNext/>
        <w:widowControl/>
      </w:pPr>
      <w:r>
        <w:t>Website Metadata</w:t>
      </w:r>
    </w:p>
    <w:tbl>
      <w:tblPr>
        <w:tblW w:type="dxa" w:w="9360"/>
        <w:jc w:val="left"/>
        <w:tblLayout w:type="fixed"/>
        <w:tblLook w:firstColumn="1" w:firstRow="1" w:lastColumn="0" w:lastRow="0" w:noHBand="0" w:noVBand="1" w:val="04A0"/>
        <w:tblInd w:w="120" w:type="dxa"/>
      </w:tblPr>
      <w:tblGrid>
        <w:gridCol w:w="1900"/>
        <w:gridCol w:w="7460"/>
      </w:tblGrid>
      <w:tr>
        <w:tc>
          <w:tcPr>
            <w:tcW w:type="dxa" w:w="1900"/>
            <w:shd w:fill="0B1727"/>
            <w:tcMar>
              <w:top w:w="90" w:type="dxa"/>
              <w:start w:w="120" w:type="dxa"/>
              <w:bottom w:w="90" w:type="dxa"/>
              <w:end w:w="120" w:type="dxa"/>
            </w:tcMar>
            <w:vAlign w:val="center"/>
          </w:tcPr>
          <w:p>
            <w:pPr>
              <w:spacing w:after="0"/>
            </w:pPr>
            <w:r>
              <w:rPr>
                <w:rFonts w:ascii="Arial" w:hAnsi="Arial"/>
                <w:b/>
                <w:i w:val="0"/>
                <w:color w:val="FFFFFF"/>
                <w:sz w:val="18"/>
              </w:rPr>
              <w:t>Field</w:t>
            </w:r>
          </w:p>
        </w:tc>
        <w:tc>
          <w:tcPr>
            <w:tcW w:type="dxa" w:w="7460"/>
            <w:shd w:fill="0B1727"/>
            <w:tcMar>
              <w:top w:w="90" w:type="dxa"/>
              <w:start w:w="120" w:type="dxa"/>
              <w:bottom w:w="90" w:type="dxa"/>
              <w:end w:w="120" w:type="dxa"/>
            </w:tcMar>
            <w:vAlign w:val="center"/>
          </w:tcPr>
          <w:p>
            <w:pPr>
              <w:spacing w:after="0"/>
            </w:pPr>
            <w:r>
              <w:rPr>
                <w:rFonts w:ascii="Arial" w:hAnsi="Arial"/>
                <w:b/>
                <w:i w:val="0"/>
                <w:color w:val="FFFFFF"/>
                <w:sz w:val="18"/>
              </w:rPr>
              <w:t>Publication value</w:t>
            </w:r>
          </w:p>
        </w:tc>
        <w:trPr>
          <w:tblHeader/>
        </w:trPr>
      </w:tr>
      <w:tr>
        <w:tc>
          <w:tcPr>
            <w:tcW w:type="dxa" w:w="1900"/>
            <w:tcMar>
              <w:top w:w="90" w:type="dxa"/>
              <w:start w:w="120" w:type="dxa"/>
              <w:bottom w:w="90" w:type="dxa"/>
              <w:end w:w="120" w:type="dxa"/>
            </w:tcMar>
            <w:vAlign w:val="center"/>
          </w:tcPr>
          <w:p>
            <w:pPr>
              <w:spacing w:after="0" w:line="252" w:lineRule="auto"/>
            </w:pPr>
            <w:r>
              <w:rPr>
                <w:rFonts w:ascii="Arial" w:hAnsi="Arial"/>
                <w:b w:val="0"/>
                <w:i w:val="0"/>
                <w:color w:val="0B1727"/>
                <w:sz w:val="17"/>
              </w:rPr>
              <w:t>SEO title</w:t>
            </w:r>
          </w:p>
        </w:tc>
        <w:tc>
          <w:tcPr>
            <w:tcW w:type="dxa" w:w="7460"/>
            <w:tcMar>
              <w:top w:w="90" w:type="dxa"/>
              <w:start w:w="120" w:type="dxa"/>
              <w:bottom w:w="90" w:type="dxa"/>
              <w:end w:w="120" w:type="dxa"/>
            </w:tcMar>
            <w:vAlign w:val="center"/>
          </w:tcPr>
          <w:p>
            <w:pPr>
              <w:spacing w:after="0" w:line="252" w:lineRule="auto"/>
            </w:pPr>
            <w:r>
              <w:rPr>
                <w:rFonts w:ascii="Arial" w:hAnsi="Arial"/>
                <w:b w:val="0"/>
                <w:i w:val="0"/>
                <w:color w:val="0B1727"/>
                <w:sz w:val="17"/>
              </w:rPr>
              <w:t>AAC Plant Layout: Straight, L-Shape &amp; Autoclaves</w:t>
            </w:r>
          </w:p>
        </w:tc>
      </w:tr>
      <w:tr>
        <w:tc>
          <w:tcPr>
            <w:tcW w:type="dxa" w:w="1900"/>
            <w:shd w:fill="F5F7F8"/>
            <w:tcMar>
              <w:top w:w="90" w:type="dxa"/>
              <w:start w:w="120" w:type="dxa"/>
              <w:bottom w:w="90" w:type="dxa"/>
              <w:end w:w="120" w:type="dxa"/>
            </w:tcMar>
            <w:vAlign w:val="center"/>
          </w:tcPr>
          <w:p>
            <w:pPr>
              <w:spacing w:after="0" w:line="252" w:lineRule="auto"/>
            </w:pPr>
            <w:r>
              <w:rPr>
                <w:rFonts w:ascii="Arial" w:hAnsi="Arial"/>
                <w:b w:val="0"/>
                <w:i w:val="0"/>
                <w:color w:val="0B1727"/>
                <w:sz w:val="17"/>
              </w:rPr>
              <w:t>Meta description</w:t>
            </w:r>
          </w:p>
        </w:tc>
        <w:tc>
          <w:tcPr>
            <w:tcW w:type="dxa" w:w="7460"/>
            <w:shd w:fill="F5F7F8"/>
            <w:tcMar>
              <w:top w:w="90" w:type="dxa"/>
              <w:start w:w="120" w:type="dxa"/>
              <w:bottom w:w="90" w:type="dxa"/>
              <w:end w:w="120" w:type="dxa"/>
            </w:tcMar>
            <w:vAlign w:val="center"/>
          </w:tcPr>
          <w:p>
            <w:pPr>
              <w:spacing w:after="0" w:line="252" w:lineRule="auto"/>
            </w:pPr>
            <w:r>
              <w:rPr>
                <w:rFonts w:ascii="Arial" w:hAnsi="Arial"/>
                <w:b w:val="0"/>
                <w:i w:val="0"/>
                <w:color w:val="0B1727"/>
                <w:sz w:val="17"/>
              </w:rPr>
              <w:t>Compare straight and L-shape AAC plant layouts, single- and double-door autoclave arrangements, land factors, process flow and expansion planning.</w:t>
            </w:r>
          </w:p>
        </w:tc>
      </w:tr>
      <w:tr>
        <w:tc>
          <w:tcPr>
            <w:tcW w:type="dxa" w:w="1900"/>
            <w:tcMar>
              <w:top w:w="90" w:type="dxa"/>
              <w:start w:w="120" w:type="dxa"/>
              <w:bottom w:w="90" w:type="dxa"/>
              <w:end w:w="120" w:type="dxa"/>
            </w:tcMar>
            <w:vAlign w:val="center"/>
          </w:tcPr>
          <w:p>
            <w:pPr>
              <w:spacing w:after="0" w:line="252" w:lineRule="auto"/>
            </w:pPr>
            <w:r>
              <w:rPr>
                <w:rFonts w:ascii="Arial" w:hAnsi="Arial"/>
                <w:b w:val="0"/>
                <w:i w:val="0"/>
                <w:color w:val="0B1727"/>
                <w:sz w:val="17"/>
              </w:rPr>
              <w:t>Suggested URL</w:t>
            </w:r>
          </w:p>
        </w:tc>
        <w:tc>
          <w:tcPr>
            <w:tcW w:type="dxa" w:w="7460"/>
            <w:tcMar>
              <w:top w:w="90" w:type="dxa"/>
              <w:start w:w="120" w:type="dxa"/>
              <w:bottom w:w="90" w:type="dxa"/>
              <w:end w:w="120" w:type="dxa"/>
            </w:tcMar>
            <w:vAlign w:val="center"/>
          </w:tcPr>
          <w:p>
            <w:pPr>
              <w:spacing w:after="0" w:line="252" w:lineRule="auto"/>
            </w:pPr>
            <w:r>
              <w:rPr>
                <w:rFonts w:ascii="Arial" w:hAnsi="Arial"/>
                <w:b w:val="0"/>
                <w:i w:val="0"/>
                <w:color w:val="0B1727"/>
                <w:sz w:val="17"/>
              </w:rPr>
              <w:t>/aac-plant-layout/</w:t>
            </w:r>
          </w:p>
        </w:tc>
      </w:tr>
      <w:tr>
        <w:tc>
          <w:tcPr>
            <w:tcW w:type="dxa" w:w="1900"/>
            <w:shd w:fill="F5F7F8"/>
            <w:tcMar>
              <w:top w:w="90" w:type="dxa"/>
              <w:start w:w="120" w:type="dxa"/>
              <w:bottom w:w="90" w:type="dxa"/>
              <w:end w:w="120" w:type="dxa"/>
            </w:tcMar>
            <w:vAlign w:val="center"/>
          </w:tcPr>
          <w:p>
            <w:pPr>
              <w:spacing w:after="0" w:line="252" w:lineRule="auto"/>
            </w:pPr>
            <w:r>
              <w:rPr>
                <w:rFonts w:ascii="Arial" w:hAnsi="Arial"/>
                <w:b w:val="0"/>
                <w:i w:val="0"/>
                <w:color w:val="0B1727"/>
                <w:sz w:val="17"/>
              </w:rPr>
              <w:t>H1</w:t>
            </w:r>
          </w:p>
        </w:tc>
        <w:tc>
          <w:tcPr>
            <w:tcW w:type="dxa" w:w="7460"/>
            <w:shd w:fill="F5F7F8"/>
            <w:tcMar>
              <w:top w:w="90" w:type="dxa"/>
              <w:start w:w="120" w:type="dxa"/>
              <w:bottom w:w="90" w:type="dxa"/>
              <w:end w:w="120" w:type="dxa"/>
            </w:tcMar>
            <w:vAlign w:val="center"/>
          </w:tcPr>
          <w:p>
            <w:pPr>
              <w:spacing w:after="0" w:line="252" w:lineRule="auto"/>
            </w:pPr>
            <w:r>
              <w:rPr>
                <w:rFonts w:ascii="Arial" w:hAnsi="Arial"/>
                <w:b w:val="0"/>
                <w:i w:val="0"/>
                <w:color w:val="0B1727"/>
                <w:sz w:val="17"/>
              </w:rPr>
              <w:t>AAC Plant Layout Design: Choosing the Right Factory Configuration</w:t>
            </w:r>
          </w:p>
        </w:tc>
      </w:tr>
      <w:tr>
        <w:tc>
          <w:tcPr>
            <w:tcW w:type="dxa" w:w="1900"/>
            <w:tcMar>
              <w:top w:w="90" w:type="dxa"/>
              <w:start w:w="120" w:type="dxa"/>
              <w:bottom w:w="90" w:type="dxa"/>
              <w:end w:w="120" w:type="dxa"/>
            </w:tcMar>
            <w:vAlign w:val="center"/>
          </w:tcPr>
          <w:p>
            <w:pPr>
              <w:spacing w:after="0" w:line="252" w:lineRule="auto"/>
            </w:pPr>
            <w:r>
              <w:rPr>
                <w:rFonts w:ascii="Arial" w:hAnsi="Arial"/>
                <w:b w:val="0"/>
                <w:i w:val="0"/>
                <w:color w:val="0B1727"/>
                <w:sz w:val="17"/>
              </w:rPr>
              <w:t>Primary keyword</w:t>
            </w:r>
          </w:p>
        </w:tc>
        <w:tc>
          <w:tcPr>
            <w:tcW w:type="dxa" w:w="7460"/>
            <w:tcMar>
              <w:top w:w="90" w:type="dxa"/>
              <w:start w:w="120" w:type="dxa"/>
              <w:bottom w:w="90" w:type="dxa"/>
              <w:end w:w="120" w:type="dxa"/>
            </w:tcMar>
            <w:vAlign w:val="center"/>
          </w:tcPr>
          <w:p>
            <w:pPr>
              <w:spacing w:after="0" w:line="252" w:lineRule="auto"/>
            </w:pPr>
            <w:r>
              <w:rPr>
                <w:rFonts w:ascii="Arial" w:hAnsi="Arial"/>
                <w:b w:val="0"/>
                <w:i w:val="0"/>
                <w:color w:val="0B1727"/>
                <w:sz w:val="17"/>
              </w:rPr>
              <w:t>AAC plant layout</w:t>
            </w:r>
          </w:p>
        </w:tc>
      </w:tr>
      <w:tr>
        <w:tc>
          <w:tcPr>
            <w:tcW w:type="dxa" w:w="1900"/>
            <w:shd w:fill="F5F7F8"/>
            <w:tcMar>
              <w:top w:w="90" w:type="dxa"/>
              <w:start w:w="120" w:type="dxa"/>
              <w:bottom w:w="90" w:type="dxa"/>
              <w:end w:w="120" w:type="dxa"/>
            </w:tcMar>
            <w:vAlign w:val="center"/>
          </w:tcPr>
          <w:p>
            <w:pPr>
              <w:spacing w:after="0" w:line="252" w:lineRule="auto"/>
            </w:pPr>
            <w:r>
              <w:rPr>
                <w:rFonts w:ascii="Arial" w:hAnsi="Arial"/>
                <w:b w:val="0"/>
                <w:i w:val="0"/>
                <w:color w:val="0B1727"/>
                <w:sz w:val="17"/>
              </w:rPr>
              <w:t>Breadcrumb</w:t>
            </w:r>
          </w:p>
        </w:tc>
        <w:tc>
          <w:tcPr>
            <w:tcW w:type="dxa" w:w="7460"/>
            <w:shd w:fill="F5F7F8"/>
            <w:tcMar>
              <w:top w:w="90" w:type="dxa"/>
              <w:start w:w="120" w:type="dxa"/>
              <w:bottom w:w="90" w:type="dxa"/>
              <w:end w:w="120" w:type="dxa"/>
            </w:tcMar>
            <w:vAlign w:val="center"/>
          </w:tcPr>
          <w:p>
            <w:pPr>
              <w:spacing w:after="0" w:line="252" w:lineRule="auto"/>
            </w:pPr>
            <w:r>
              <w:rPr>
                <w:rFonts w:ascii="Arial" w:hAnsi="Arial"/>
                <w:b w:val="0"/>
                <w:i w:val="0"/>
                <w:color w:val="0B1727"/>
                <w:sz w:val="17"/>
              </w:rPr>
              <w:t>Home &gt; AAC Investor Academy &gt; Design Your Plant &gt; AAC Plant Layout</w:t>
            </w:r>
          </w:p>
        </w:tc>
      </w:tr>
    </w:tbl>
    <w:p>
      <w:pPr>
        <w:widowControl/>
        <w:spacing w:after="20"/>
      </w:pPr>
    </w:p>
    <w:p>
      <w:pPr>
        <w:pStyle w:val="Heading1"/>
        <w:keepNext/>
        <w:widowControl/>
      </w:pPr>
      <w:r>
        <w:t>AAC Plant Layout Design: Choosing the Right Factory Configuration</w:t>
      </w:r>
    </w:p>
    <w:p>
      <w:pPr>
        <w:widowControl/>
      </w:pPr>
      <w:r>
        <w:rPr>
          <w:rFonts w:ascii="Arial" w:hAnsi="Arial"/>
          <w:b w:val="0"/>
          <w:i w:val="0"/>
          <w:color w:val="0B1727"/>
          <w:sz w:val="21"/>
        </w:rPr>
        <w:t>An AAC plant layout arranges raw-material preparation, batching, casting, pre-curing, cutting, autoclaving, packing, utilities and internal movement within the available site. The right configuration depends on plot dimensions, target capacity, product mix, automation, trolley circulation, maintenance access, vehicle movement and future expansion.</w:t>
      </w:r>
    </w:p>
    <w:p>
      <w:pPr>
        <w:widowControl/>
      </w:pPr>
      <w:r>
        <w:rPr>
          <w:rFonts w:ascii="Arial" w:hAnsi="Arial"/>
          <w:b w:val="0"/>
          <w:i w:val="0"/>
          <w:color w:val="0B1727"/>
          <w:sz w:val="21"/>
        </w:rPr>
        <w:t>Two decisions are often mixed together. Straight and L-shape describe the direction of the production flow. Single-door and double-door describe how autoclave trolleys are loaded and unloaded. These are separate design choices, but their combination must be evaluated as one complete manufacturing system.</w:t>
      </w:r>
    </w:p>
    <w:tbl>
      <w:tblPr>
        <w:tblW w:type="dxa" w:w="9360"/>
        <w:tblLayout w:type="fixed"/>
        <w:tblLook w:firstColumn="1" w:firstRow="1" w:lastColumn="0" w:lastRow="0" w:noHBand="0" w:noVBand="1" w:val="04A0"/>
        <w:tblInd w:w="120" w:type="dxa"/>
      </w:tblPr>
      <w:tblGrid>
        <w:gridCol w:w="9360"/>
      </w:tblGrid>
      <w:tr>
        <w:tc>
          <w:tcPr>
            <w:tcW w:type="dxa" w:w="9360"/>
            <w:shd w:fill="EEF2F5"/>
            <w:tcMar>
              <w:top w:w="90" w:type="dxa"/>
              <w:start w:w="120" w:type="dxa"/>
              <w:bottom w:w="90" w:type="dxa"/>
              <w:end w:w="120" w:type="dxa"/>
            </w:tcMar>
            <w:vAlign w:val="center"/>
          </w:tcPr>
          <w:p>
            <w:pPr>
              <w:spacing w:after="60"/>
            </w:pPr>
            <w:r>
              <w:rPr>
                <w:rFonts w:ascii="Arial" w:hAnsi="Arial"/>
                <w:b/>
                <w:i w:val="0"/>
                <w:color w:val="0C4F80"/>
                <w:sz w:val="17"/>
              </w:rPr>
              <w:t>DIRECT ANSWER</w:t>
            </w:r>
          </w:p>
          <w:p>
            <w:pPr>
              <w:spacing w:after="0"/>
            </w:pPr>
            <w:r>
              <w:rPr>
                <w:rFonts w:ascii="Arial" w:hAnsi="Arial"/>
                <w:b/>
                <w:i w:val="0"/>
                <w:color w:val="0B1727"/>
                <w:sz w:val="20"/>
              </w:rPr>
              <w:t>There is no universally best AAC plant layout. The best layout is the configuration that meets the required output safely and maintainably within the project’s verified land, logistics, utility and expansion constraints.</w:t>
            </w:r>
          </w:p>
        </w:tc>
        <w:trPr>
          <w:tblHeader/>
        </w:trPr>
      </w:tr>
    </w:tbl>
    <w:p>
      <w:pPr>
        <w:widowControl/>
        <w:spacing w:after="20"/>
      </w:pPr>
    </w:p>
    <w:p>
      <w:pPr>
        <w:pStyle w:val="Heading2"/>
        <w:keepNext/>
        <w:widowControl/>
      </w:pPr>
      <w:r>
        <w:t>Why AAC Plant Layout Planning Matters</w:t>
      </w:r>
    </w:p>
    <w:p>
      <w:pPr>
        <w:widowControl/>
      </w:pPr>
      <w:r>
        <w:rPr>
          <w:rFonts w:ascii="Arial" w:hAnsi="Arial"/>
          <w:b w:val="0"/>
          <w:i w:val="0"/>
          <w:color w:val="0B1727"/>
          <w:sz w:val="21"/>
        </w:rPr>
        <w:t>Plant layout is not simply the exercise of fitting machinery inside a shed. It determines how raw materials, moulds, green cakes, autoclave trolleys, finished products, people and vehicles move through the factory. A drawing may appear compact while still creating transfer bottlenecks, unsafe crossings, difficult maintenance access or expensive expansion work.</w:t>
      </w:r>
    </w:p>
    <w:p>
      <w:pPr>
        <w:widowControl/>
      </w:pPr>
      <w:r>
        <w:rPr>
          <w:rFonts w:ascii="Arial" w:hAnsi="Arial"/>
          <w:b w:val="0"/>
          <w:i w:val="0"/>
          <w:color w:val="0B1727"/>
          <w:sz w:val="21"/>
        </w:rPr>
        <w:t>A properly engineered layout should help the project team:</w:t>
      </w:r>
    </w:p>
    <w:p>
      <w:pPr>
        <w:pStyle w:val="ListBullet"/>
        <w:widowControl/>
      </w:pPr>
      <w:r>
        <w:rPr>
          <w:rFonts w:ascii="Arial" w:hAnsi="Arial"/>
          <w:b w:val="0"/>
          <w:i w:val="0"/>
          <w:color w:val="0B1727"/>
          <w:sz w:val="21"/>
        </w:rPr>
        <w:t>Use the available plot without compromising essential operating and maintenance clearances.</w:t>
      </w:r>
    </w:p>
    <w:p>
      <w:pPr>
        <w:pStyle w:val="ListBullet"/>
        <w:widowControl/>
      </w:pPr>
      <w:r>
        <w:rPr>
          <w:rFonts w:ascii="Arial" w:hAnsi="Arial"/>
          <w:b w:val="0"/>
          <w:i w:val="0"/>
          <w:color w:val="0B1727"/>
          <w:sz w:val="21"/>
        </w:rPr>
        <w:t>Create a logical material flow from raw-material receipt to finished-goods dispatch.</w:t>
      </w:r>
    </w:p>
    <w:p>
      <w:pPr>
        <w:pStyle w:val="ListBullet"/>
        <w:widowControl/>
      </w:pPr>
      <w:r>
        <w:rPr>
          <w:rFonts w:ascii="Arial" w:hAnsi="Arial"/>
          <w:b w:val="0"/>
          <w:i w:val="0"/>
          <w:color w:val="0B1727"/>
          <w:sz w:val="21"/>
        </w:rPr>
        <w:t>Reduce avoidable reversing, cross-traffic and repeated handling.</w:t>
      </w:r>
    </w:p>
    <w:p>
      <w:pPr>
        <w:pStyle w:val="ListBullet"/>
        <w:widowControl/>
      </w:pPr>
      <w:r>
        <w:rPr>
          <w:rFonts w:ascii="Arial" w:hAnsi="Arial"/>
          <w:b w:val="0"/>
          <w:i w:val="0"/>
          <w:color w:val="0B1727"/>
          <w:sz w:val="21"/>
        </w:rPr>
        <w:t>Coordinate machinery foundations, the PEB or factory shed, utilities, drainage and access roads.</w:t>
      </w:r>
    </w:p>
    <w:p>
      <w:pPr>
        <w:pStyle w:val="ListBullet"/>
        <w:widowControl/>
      </w:pPr>
      <w:r>
        <w:rPr>
          <w:rFonts w:ascii="Arial" w:hAnsi="Arial"/>
          <w:b w:val="0"/>
          <w:i w:val="0"/>
          <w:color w:val="0B1727"/>
          <w:sz w:val="21"/>
        </w:rPr>
        <w:t>Provide safe routes for operators, forklifts, cranes, trolleys and maintenance teams.</w:t>
      </w:r>
    </w:p>
    <w:p>
      <w:pPr>
        <w:pStyle w:val="ListBullet"/>
        <w:widowControl/>
      </w:pPr>
      <w:r>
        <w:rPr>
          <w:rFonts w:ascii="Arial" w:hAnsi="Arial"/>
          <w:b w:val="0"/>
          <w:i w:val="0"/>
          <w:color w:val="0B1727"/>
          <w:sz w:val="21"/>
        </w:rPr>
        <w:t>Reserve practical space for capacity expansion or additional product lines.</w:t>
      </w:r>
    </w:p>
    <w:p>
      <w:pPr>
        <w:widowControl/>
      </w:pPr>
      <w:r>
        <w:rPr>
          <w:rFonts w:ascii="Arial" w:hAnsi="Arial"/>
          <w:b w:val="0"/>
          <w:i w:val="0"/>
          <w:color w:val="0B1727"/>
          <w:sz w:val="21"/>
        </w:rPr>
        <w:t>The financial effect of each layout is project-specific. Civil quantities, structural steel, handling equipment, utility routes, production assumptions and expansion provisions must be compared before any cost or performance conclusion is made.</w:t>
      </w:r>
    </w:p>
    <w:p>
      <w:pPr>
        <w:pStyle w:val="Heading2"/>
        <w:keepNext/>
        <w:widowControl/>
      </w:pPr>
      <w:r>
        <w:t>Information Required Before Preparing an AAC Plant Layout</w:t>
      </w:r>
    </w:p>
    <w:p>
      <w:pPr>
        <w:widowControl/>
      </w:pPr>
      <w:r>
        <w:rPr>
          <w:rFonts w:ascii="Arial" w:hAnsi="Arial"/>
          <w:b w:val="0"/>
          <w:i w:val="0"/>
          <w:color w:val="0B1727"/>
          <w:sz w:val="21"/>
        </w:rPr>
        <w:t>A meaningful preliminary layout cannot be prepared from capacity alone. Investors should provide the following information before the land and machinery configuration are evaluated.</w:t>
      </w:r>
    </w:p>
    <w:tbl>
      <w:tblPr>
        <w:tblW w:type="dxa" w:w="9360"/>
        <w:jc w:val="left"/>
        <w:tblLayout w:type="fixed"/>
        <w:tblLook w:firstColumn="1" w:firstRow="1" w:lastColumn="0" w:lastRow="0" w:noHBand="0" w:noVBand="1" w:val="04A0"/>
        <w:tblInd w:w="120" w:type="dxa"/>
      </w:tblPr>
      <w:tblGrid>
        <w:gridCol w:w="2500"/>
        <w:gridCol w:w="6860"/>
      </w:tblGrid>
      <w:tr>
        <w:tc>
          <w:tcPr>
            <w:tcW w:type="dxa" w:w="2500"/>
            <w:shd w:fill="0B1727"/>
            <w:tcMar>
              <w:top w:w="90" w:type="dxa"/>
              <w:start w:w="120" w:type="dxa"/>
              <w:bottom w:w="90" w:type="dxa"/>
              <w:end w:w="120" w:type="dxa"/>
            </w:tcMar>
            <w:vAlign w:val="center"/>
          </w:tcPr>
          <w:p>
            <w:pPr>
              <w:spacing w:after="0"/>
            </w:pPr>
            <w:r>
              <w:rPr>
                <w:rFonts w:ascii="Arial" w:hAnsi="Arial"/>
                <w:b/>
                <w:i w:val="0"/>
                <w:color w:val="FFFFFF"/>
                <w:sz w:val="18"/>
              </w:rPr>
              <w:t>Input</w:t>
            </w:r>
          </w:p>
        </w:tc>
        <w:tc>
          <w:tcPr>
            <w:tcW w:type="dxa" w:w="6860"/>
            <w:shd w:fill="0B1727"/>
            <w:tcMar>
              <w:top w:w="90" w:type="dxa"/>
              <w:start w:w="120" w:type="dxa"/>
              <w:bottom w:w="90" w:type="dxa"/>
              <w:end w:w="120" w:type="dxa"/>
            </w:tcMar>
            <w:vAlign w:val="center"/>
          </w:tcPr>
          <w:p>
            <w:pPr>
              <w:spacing w:after="0"/>
            </w:pPr>
            <w:r>
              <w:rPr>
                <w:rFonts w:ascii="Arial" w:hAnsi="Arial"/>
                <w:b/>
                <w:i w:val="0"/>
                <w:color w:val="FFFFFF"/>
                <w:sz w:val="18"/>
              </w:rPr>
              <w:t>Why it matters</w:t>
            </w:r>
          </w:p>
        </w:tc>
        <w:trPr>
          <w:tblHeader/>
        </w:trPr>
      </w:tr>
      <w:tr>
        <w:tc>
          <w:tcPr>
            <w:tcW w:type="dxa" w:w="2500"/>
            <w:tcMar>
              <w:top w:w="90" w:type="dxa"/>
              <w:start w:w="120" w:type="dxa"/>
              <w:bottom w:w="90" w:type="dxa"/>
              <w:end w:w="120" w:type="dxa"/>
            </w:tcMar>
            <w:vAlign w:val="center"/>
          </w:tcPr>
          <w:p>
            <w:pPr>
              <w:spacing w:after="0" w:line="252" w:lineRule="auto"/>
            </w:pPr>
            <w:r>
              <w:rPr>
                <w:rFonts w:ascii="Arial" w:hAnsi="Arial"/>
                <w:b w:val="0"/>
                <w:i w:val="0"/>
                <w:color w:val="0B1727"/>
                <w:sz w:val="17"/>
              </w:rPr>
              <w:t>Surveyed plot drawing</w:t>
            </w:r>
          </w:p>
        </w:tc>
        <w:tc>
          <w:tcPr>
            <w:tcW w:type="dxa" w:w="6860"/>
            <w:tcMar>
              <w:top w:w="90" w:type="dxa"/>
              <w:start w:w="120" w:type="dxa"/>
              <w:bottom w:w="90" w:type="dxa"/>
              <w:end w:w="120" w:type="dxa"/>
            </w:tcMar>
            <w:vAlign w:val="center"/>
          </w:tcPr>
          <w:p>
            <w:pPr>
              <w:spacing w:after="0" w:line="252" w:lineRule="auto"/>
            </w:pPr>
            <w:r>
              <w:rPr>
                <w:rFonts w:ascii="Arial" w:hAnsi="Arial"/>
                <w:b w:val="0"/>
                <w:i w:val="0"/>
                <w:color w:val="0B1727"/>
                <w:sz w:val="17"/>
              </w:rPr>
              <w:t>Confirms boundaries, dimensions, orientation and levels.</w:t>
            </w:r>
          </w:p>
        </w:tc>
      </w:tr>
      <w:tr>
        <w:tc>
          <w:tcPr>
            <w:tcW w:type="dxa" w:w="2500"/>
            <w:shd w:fill="F5F7F8"/>
            <w:tcMar>
              <w:top w:w="90" w:type="dxa"/>
              <w:start w:w="120" w:type="dxa"/>
              <w:bottom w:w="90" w:type="dxa"/>
              <w:end w:w="120" w:type="dxa"/>
            </w:tcMar>
            <w:vAlign w:val="center"/>
          </w:tcPr>
          <w:p>
            <w:pPr>
              <w:spacing w:after="0" w:line="252" w:lineRule="auto"/>
            </w:pPr>
            <w:r>
              <w:rPr>
                <w:rFonts w:ascii="Arial" w:hAnsi="Arial"/>
                <w:b w:val="0"/>
                <w:i w:val="0"/>
                <w:color w:val="0B1727"/>
                <w:sz w:val="17"/>
              </w:rPr>
              <w:t>Roads, gates and approach direction</w:t>
            </w:r>
          </w:p>
        </w:tc>
        <w:tc>
          <w:tcPr>
            <w:tcW w:type="dxa" w:w="6860"/>
            <w:shd w:fill="F5F7F8"/>
            <w:tcMar>
              <w:top w:w="90" w:type="dxa"/>
              <w:start w:w="120" w:type="dxa"/>
              <w:bottom w:w="90" w:type="dxa"/>
              <w:end w:w="120" w:type="dxa"/>
            </w:tcMar>
            <w:vAlign w:val="center"/>
          </w:tcPr>
          <w:p>
            <w:pPr>
              <w:spacing w:after="0" w:line="252" w:lineRule="auto"/>
            </w:pPr>
            <w:r>
              <w:rPr>
                <w:rFonts w:ascii="Arial" w:hAnsi="Arial"/>
                <w:b w:val="0"/>
                <w:i w:val="0"/>
                <w:color w:val="0B1727"/>
                <w:sz w:val="17"/>
              </w:rPr>
              <w:t>Influences raw-material receipt, dispatch and vehicle turning.</w:t>
            </w:r>
          </w:p>
        </w:tc>
      </w:tr>
      <w:tr>
        <w:tc>
          <w:tcPr>
            <w:tcW w:type="dxa" w:w="2500"/>
            <w:tcMar>
              <w:top w:w="90" w:type="dxa"/>
              <w:start w:w="120" w:type="dxa"/>
              <w:bottom w:w="90" w:type="dxa"/>
              <w:end w:w="120" w:type="dxa"/>
            </w:tcMar>
            <w:vAlign w:val="center"/>
          </w:tcPr>
          <w:p>
            <w:pPr>
              <w:spacing w:after="0" w:line="252" w:lineRule="auto"/>
            </w:pPr>
            <w:r>
              <w:rPr>
                <w:rFonts w:ascii="Arial" w:hAnsi="Arial"/>
                <w:b w:val="0"/>
                <w:i w:val="0"/>
                <w:color w:val="0B1727"/>
                <w:sz w:val="17"/>
              </w:rPr>
              <w:t>Local setbacks and restrictions</w:t>
            </w:r>
          </w:p>
        </w:tc>
        <w:tc>
          <w:tcPr>
            <w:tcW w:type="dxa" w:w="6860"/>
            <w:tcMar>
              <w:top w:w="90" w:type="dxa"/>
              <w:start w:w="120" w:type="dxa"/>
              <w:bottom w:w="90" w:type="dxa"/>
              <w:end w:w="120" w:type="dxa"/>
            </w:tcMar>
            <w:vAlign w:val="center"/>
          </w:tcPr>
          <w:p>
            <w:pPr>
              <w:spacing w:after="0" w:line="252" w:lineRule="auto"/>
            </w:pPr>
            <w:r>
              <w:rPr>
                <w:rFonts w:ascii="Arial" w:hAnsi="Arial"/>
                <w:b w:val="0"/>
                <w:i w:val="0"/>
                <w:color w:val="0B1727"/>
                <w:sz w:val="17"/>
              </w:rPr>
              <w:t>Defines the usable construction area; statutory confirmation remains the owner’s responsibility.</w:t>
            </w:r>
          </w:p>
        </w:tc>
      </w:tr>
      <w:tr>
        <w:tc>
          <w:tcPr>
            <w:tcW w:type="dxa" w:w="2500"/>
            <w:shd w:fill="F5F7F8"/>
            <w:tcMar>
              <w:top w:w="90" w:type="dxa"/>
              <w:start w:w="120" w:type="dxa"/>
              <w:bottom w:w="90" w:type="dxa"/>
              <w:end w:w="120" w:type="dxa"/>
            </w:tcMar>
            <w:vAlign w:val="center"/>
          </w:tcPr>
          <w:p>
            <w:pPr>
              <w:spacing w:after="0" w:line="252" w:lineRule="auto"/>
            </w:pPr>
            <w:r>
              <w:rPr>
                <w:rFonts w:ascii="Arial" w:hAnsi="Arial"/>
                <w:b w:val="0"/>
                <w:i w:val="0"/>
                <w:color w:val="0B1727"/>
                <w:sz w:val="17"/>
              </w:rPr>
              <w:t>Target capacity</w:t>
            </w:r>
          </w:p>
        </w:tc>
        <w:tc>
          <w:tcPr>
            <w:tcW w:type="dxa" w:w="6860"/>
            <w:shd w:fill="F5F7F8"/>
            <w:tcMar>
              <w:top w:w="90" w:type="dxa"/>
              <w:start w:w="120" w:type="dxa"/>
              <w:bottom w:w="90" w:type="dxa"/>
              <w:end w:w="120" w:type="dxa"/>
            </w:tcMar>
            <w:vAlign w:val="center"/>
          </w:tcPr>
          <w:p>
            <w:pPr>
              <w:spacing w:after="0" w:line="252" w:lineRule="auto"/>
            </w:pPr>
            <w:r>
              <w:rPr>
                <w:rFonts w:ascii="Arial" w:hAnsi="Arial"/>
                <w:b w:val="0"/>
                <w:i w:val="0"/>
                <w:color w:val="0B1727"/>
                <w:sz w:val="17"/>
              </w:rPr>
              <w:t>Guides mould circulation, cutting, autoclave and packing requirements.</w:t>
            </w:r>
          </w:p>
        </w:tc>
      </w:tr>
      <w:tr>
        <w:tc>
          <w:tcPr>
            <w:tcW w:type="dxa" w:w="2500"/>
            <w:tcMar>
              <w:top w:w="90" w:type="dxa"/>
              <w:start w:w="120" w:type="dxa"/>
              <w:bottom w:w="90" w:type="dxa"/>
              <w:end w:w="120" w:type="dxa"/>
            </w:tcMar>
            <w:vAlign w:val="center"/>
          </w:tcPr>
          <w:p>
            <w:pPr>
              <w:spacing w:after="0" w:line="252" w:lineRule="auto"/>
            </w:pPr>
            <w:r>
              <w:rPr>
                <w:rFonts w:ascii="Arial" w:hAnsi="Arial"/>
                <w:b w:val="0"/>
                <w:i w:val="0"/>
                <w:color w:val="0B1727"/>
                <w:sz w:val="17"/>
              </w:rPr>
              <w:t>Product plan</w:t>
            </w:r>
          </w:p>
        </w:tc>
        <w:tc>
          <w:tcPr>
            <w:tcW w:type="dxa" w:w="6860"/>
            <w:tcMar>
              <w:top w:w="90" w:type="dxa"/>
              <w:start w:w="120" w:type="dxa"/>
              <w:bottom w:w="90" w:type="dxa"/>
              <w:end w:w="120" w:type="dxa"/>
            </w:tcMar>
            <w:vAlign w:val="center"/>
          </w:tcPr>
          <w:p>
            <w:pPr>
              <w:spacing w:after="0" w:line="252" w:lineRule="auto"/>
            </w:pPr>
            <w:r>
              <w:rPr>
                <w:rFonts w:ascii="Arial" w:hAnsi="Arial"/>
                <w:b w:val="0"/>
                <w:i w:val="0"/>
                <w:color w:val="0B1727"/>
                <w:sz w:val="17"/>
              </w:rPr>
              <w:t>Block-only and block-plus-panel plants can require different handling and finishing arrangements.</w:t>
            </w:r>
          </w:p>
        </w:tc>
      </w:tr>
      <w:tr>
        <w:tc>
          <w:tcPr>
            <w:tcW w:type="dxa" w:w="2500"/>
            <w:shd w:fill="F5F7F8"/>
            <w:tcMar>
              <w:top w:w="90" w:type="dxa"/>
              <w:start w:w="120" w:type="dxa"/>
              <w:bottom w:w="90" w:type="dxa"/>
              <w:end w:w="120" w:type="dxa"/>
            </w:tcMar>
            <w:vAlign w:val="center"/>
          </w:tcPr>
          <w:p>
            <w:pPr>
              <w:spacing w:after="0" w:line="252" w:lineRule="auto"/>
            </w:pPr>
            <w:r>
              <w:rPr>
                <w:rFonts w:ascii="Arial" w:hAnsi="Arial"/>
                <w:b w:val="0"/>
                <w:i w:val="0"/>
                <w:color w:val="0B1727"/>
                <w:sz w:val="17"/>
              </w:rPr>
              <w:t>Raw-material basis</w:t>
            </w:r>
          </w:p>
        </w:tc>
        <w:tc>
          <w:tcPr>
            <w:tcW w:type="dxa" w:w="6860"/>
            <w:shd w:fill="F5F7F8"/>
            <w:tcMar>
              <w:top w:w="90" w:type="dxa"/>
              <w:start w:w="120" w:type="dxa"/>
              <w:bottom w:w="90" w:type="dxa"/>
              <w:end w:w="120" w:type="dxa"/>
            </w:tcMar>
            <w:vAlign w:val="center"/>
          </w:tcPr>
          <w:p>
            <w:pPr>
              <w:spacing w:after="0" w:line="252" w:lineRule="auto"/>
            </w:pPr>
            <w:r>
              <w:rPr>
                <w:rFonts w:ascii="Arial" w:hAnsi="Arial"/>
                <w:b w:val="0"/>
                <w:i w:val="0"/>
                <w:color w:val="0B1727"/>
                <w:sz w:val="17"/>
              </w:rPr>
              <w:t>Influences unloading, grinding, silos, slurry storage and vehicle traffic.</w:t>
            </w:r>
          </w:p>
        </w:tc>
      </w:tr>
      <w:tr>
        <w:tc>
          <w:tcPr>
            <w:tcW w:type="dxa" w:w="2500"/>
            <w:tcMar>
              <w:top w:w="90" w:type="dxa"/>
              <w:start w:w="120" w:type="dxa"/>
              <w:bottom w:w="90" w:type="dxa"/>
              <w:end w:w="120" w:type="dxa"/>
            </w:tcMar>
            <w:vAlign w:val="center"/>
          </w:tcPr>
          <w:p>
            <w:pPr>
              <w:spacing w:after="0" w:line="252" w:lineRule="auto"/>
            </w:pPr>
            <w:r>
              <w:rPr>
                <w:rFonts w:ascii="Arial" w:hAnsi="Arial"/>
                <w:b w:val="0"/>
                <w:i w:val="0"/>
                <w:color w:val="0B1727"/>
                <w:sz w:val="17"/>
              </w:rPr>
              <w:t>Automation requirement</w:t>
            </w:r>
          </w:p>
        </w:tc>
        <w:tc>
          <w:tcPr>
            <w:tcW w:type="dxa" w:w="6860"/>
            <w:tcMar>
              <w:top w:w="90" w:type="dxa"/>
              <w:start w:w="120" w:type="dxa"/>
              <w:bottom w:w="90" w:type="dxa"/>
              <w:end w:w="120" w:type="dxa"/>
            </w:tcMar>
            <w:vAlign w:val="center"/>
          </w:tcPr>
          <w:p>
            <w:pPr>
              <w:spacing w:after="0" w:line="252" w:lineRule="auto"/>
            </w:pPr>
            <w:r>
              <w:rPr>
                <w:rFonts w:ascii="Arial" w:hAnsi="Arial"/>
                <w:b w:val="0"/>
                <w:i w:val="0"/>
                <w:color w:val="0B1727"/>
                <w:sz w:val="17"/>
              </w:rPr>
              <w:t>Changes transfer systems, operator access, control integration and circulation.</w:t>
            </w:r>
          </w:p>
        </w:tc>
      </w:tr>
      <w:tr>
        <w:tc>
          <w:tcPr>
            <w:tcW w:type="dxa" w:w="2500"/>
            <w:shd w:fill="F5F7F8"/>
            <w:tcMar>
              <w:top w:w="90" w:type="dxa"/>
              <w:start w:w="120" w:type="dxa"/>
              <w:bottom w:w="90" w:type="dxa"/>
              <w:end w:w="120" w:type="dxa"/>
            </w:tcMar>
            <w:vAlign w:val="center"/>
          </w:tcPr>
          <w:p>
            <w:pPr>
              <w:spacing w:after="0" w:line="252" w:lineRule="auto"/>
            </w:pPr>
            <w:r>
              <w:rPr>
                <w:rFonts w:ascii="Arial" w:hAnsi="Arial"/>
                <w:b w:val="0"/>
                <w:i w:val="0"/>
                <w:color w:val="0B1727"/>
                <w:sz w:val="17"/>
              </w:rPr>
              <w:t>Storage assumptions</w:t>
            </w:r>
          </w:p>
        </w:tc>
        <w:tc>
          <w:tcPr>
            <w:tcW w:type="dxa" w:w="6860"/>
            <w:shd w:fill="F5F7F8"/>
            <w:tcMar>
              <w:top w:w="90" w:type="dxa"/>
              <w:start w:w="120" w:type="dxa"/>
              <w:bottom w:w="90" w:type="dxa"/>
              <w:end w:w="120" w:type="dxa"/>
            </w:tcMar>
            <w:vAlign w:val="center"/>
          </w:tcPr>
          <w:p>
            <w:pPr>
              <w:spacing w:after="0" w:line="252" w:lineRule="auto"/>
            </w:pPr>
            <w:r>
              <w:rPr>
                <w:rFonts w:ascii="Arial" w:hAnsi="Arial"/>
                <w:b w:val="0"/>
                <w:i w:val="0"/>
                <w:color w:val="0B1727"/>
                <w:sz w:val="17"/>
              </w:rPr>
              <w:t>Determines raw-material and finished-goods yard requirements.</w:t>
            </w:r>
          </w:p>
        </w:tc>
      </w:tr>
      <w:tr>
        <w:tc>
          <w:tcPr>
            <w:tcW w:type="dxa" w:w="2500"/>
            <w:tcMar>
              <w:top w:w="90" w:type="dxa"/>
              <w:start w:w="120" w:type="dxa"/>
              <w:bottom w:w="90" w:type="dxa"/>
              <w:end w:w="120" w:type="dxa"/>
            </w:tcMar>
            <w:vAlign w:val="center"/>
          </w:tcPr>
          <w:p>
            <w:pPr>
              <w:spacing w:after="0" w:line="252" w:lineRule="auto"/>
            </w:pPr>
            <w:r>
              <w:rPr>
                <w:rFonts w:ascii="Arial" w:hAnsi="Arial"/>
                <w:b w:val="0"/>
                <w:i w:val="0"/>
                <w:color w:val="0B1727"/>
                <w:sz w:val="17"/>
              </w:rPr>
              <w:t>Utility locations</w:t>
            </w:r>
          </w:p>
        </w:tc>
        <w:tc>
          <w:tcPr>
            <w:tcW w:type="dxa" w:w="6860"/>
            <w:tcMar>
              <w:top w:w="90" w:type="dxa"/>
              <w:start w:w="120" w:type="dxa"/>
              <w:bottom w:w="90" w:type="dxa"/>
              <w:end w:w="120" w:type="dxa"/>
            </w:tcMar>
            <w:vAlign w:val="center"/>
          </w:tcPr>
          <w:p>
            <w:pPr>
              <w:spacing w:after="0" w:line="252" w:lineRule="auto"/>
            </w:pPr>
            <w:r>
              <w:rPr>
                <w:rFonts w:ascii="Arial" w:hAnsi="Arial"/>
                <w:b w:val="0"/>
                <w:i w:val="0"/>
                <w:color w:val="0B1727"/>
                <w:sz w:val="17"/>
              </w:rPr>
              <w:t>Guides boiler, electrical, compressor, water, steam and condensate routing.</w:t>
            </w:r>
          </w:p>
        </w:tc>
      </w:tr>
      <w:tr>
        <w:tc>
          <w:tcPr>
            <w:tcW w:type="dxa" w:w="2500"/>
            <w:shd w:fill="F5F7F8"/>
            <w:tcMar>
              <w:top w:w="90" w:type="dxa"/>
              <w:start w:w="120" w:type="dxa"/>
              <w:bottom w:w="90" w:type="dxa"/>
              <w:end w:w="120" w:type="dxa"/>
            </w:tcMar>
            <w:vAlign w:val="center"/>
          </w:tcPr>
          <w:p>
            <w:pPr>
              <w:spacing w:after="0" w:line="252" w:lineRule="auto"/>
            </w:pPr>
            <w:r>
              <w:rPr>
                <w:rFonts w:ascii="Arial" w:hAnsi="Arial"/>
                <w:b w:val="0"/>
                <w:i w:val="0"/>
                <w:color w:val="0B1727"/>
                <w:sz w:val="17"/>
              </w:rPr>
              <w:t>Expansion target</w:t>
            </w:r>
          </w:p>
        </w:tc>
        <w:tc>
          <w:tcPr>
            <w:tcW w:type="dxa" w:w="6860"/>
            <w:shd w:fill="F5F7F8"/>
            <w:tcMar>
              <w:top w:w="90" w:type="dxa"/>
              <w:start w:w="120" w:type="dxa"/>
              <w:bottom w:w="90" w:type="dxa"/>
              <w:end w:w="120" w:type="dxa"/>
            </w:tcMar>
            <w:vAlign w:val="center"/>
          </w:tcPr>
          <w:p>
            <w:pPr>
              <w:spacing w:after="0" w:line="252" w:lineRule="auto"/>
            </w:pPr>
            <w:r>
              <w:rPr>
                <w:rFonts w:ascii="Arial" w:hAnsi="Arial"/>
                <w:b w:val="0"/>
                <w:i w:val="0"/>
                <w:color w:val="0B1727"/>
                <w:sz w:val="17"/>
              </w:rPr>
              <w:t>Allows future autoclaves, moulds, utilities or production equipment to be reserved from the beginning.</w:t>
            </w:r>
          </w:p>
        </w:tc>
      </w:tr>
    </w:tbl>
    <w:p>
      <w:pPr>
        <w:widowControl/>
        <w:spacing w:after="20"/>
      </w:pPr>
    </w:p>
    <w:p>
      <w:pPr>
        <w:pStyle w:val="Heading2"/>
        <w:keepNext/>
        <w:widowControl/>
      </w:pPr>
      <w:r>
        <w:t>The Two Main AAC Plant Layout Decisions</w:t>
      </w:r>
    </w:p>
    <w:p>
      <w:pPr>
        <w:pStyle w:val="Heading3"/>
        <w:keepNext/>
        <w:widowControl/>
      </w:pPr>
      <w:r>
        <w:t>1. Process-flow geometry</w:t>
      </w:r>
    </w:p>
    <w:p>
      <w:pPr>
        <w:widowControl/>
      </w:pPr>
      <w:r>
        <w:rPr>
          <w:rFonts w:ascii="Arial" w:hAnsi="Arial"/>
          <w:b w:val="0"/>
          <w:i w:val="0"/>
          <w:color w:val="0B1727"/>
          <w:sz w:val="21"/>
        </w:rPr>
        <w:t>Process-flow geometry describes how the manufacturing stages are arranged across the plot. The two common forms discussed on this page are:</w:t>
      </w:r>
    </w:p>
    <w:p>
      <w:pPr>
        <w:pStyle w:val="ListBullet"/>
        <w:widowControl/>
      </w:pPr>
      <w:r>
        <w:rPr>
          <w:rFonts w:ascii="Arial" w:hAnsi="Arial"/>
          <w:b w:val="0"/>
          <w:i w:val="0"/>
          <w:color w:val="0B1727"/>
          <w:sz w:val="21"/>
        </w:rPr>
        <w:t>Straight AAC plant layout</w:t>
      </w:r>
    </w:p>
    <w:p>
      <w:pPr>
        <w:pStyle w:val="ListBullet"/>
        <w:widowControl/>
      </w:pPr>
      <w:r>
        <w:rPr>
          <w:rFonts w:ascii="Arial" w:hAnsi="Arial"/>
          <w:b w:val="0"/>
          <w:i w:val="0"/>
          <w:color w:val="0B1727"/>
          <w:sz w:val="21"/>
        </w:rPr>
        <w:t>L-shape AAC plant layout</w:t>
      </w:r>
    </w:p>
    <w:p>
      <w:pPr>
        <w:pStyle w:val="Heading3"/>
        <w:keepNext/>
        <w:widowControl/>
      </w:pPr>
      <w:r>
        <w:t>2. Autoclave loading and unloading arrangement</w:t>
      </w:r>
    </w:p>
    <w:p>
      <w:pPr>
        <w:widowControl/>
      </w:pPr>
      <w:r>
        <w:rPr>
          <w:rFonts w:ascii="Arial" w:hAnsi="Arial"/>
          <w:b w:val="0"/>
          <w:i w:val="0"/>
          <w:color w:val="0B1727"/>
          <w:sz w:val="21"/>
        </w:rPr>
        <w:t>This describes whether autoclave trolleys enter and leave from the same end or move through the autoclave from one end to the other. The two common arrangements are:</w:t>
      </w:r>
    </w:p>
    <w:p>
      <w:pPr>
        <w:pStyle w:val="ListBullet"/>
        <w:widowControl/>
      </w:pPr>
      <w:r>
        <w:rPr>
          <w:rFonts w:ascii="Arial" w:hAnsi="Arial"/>
          <w:b w:val="0"/>
          <w:i w:val="0"/>
          <w:color w:val="0B1727"/>
          <w:sz w:val="21"/>
        </w:rPr>
        <w:t>Single-door, same-side loading and unloading</w:t>
      </w:r>
    </w:p>
    <w:p>
      <w:pPr>
        <w:pStyle w:val="ListBullet"/>
        <w:widowControl/>
      </w:pPr>
      <w:r>
        <w:rPr>
          <w:rFonts w:ascii="Arial" w:hAnsi="Arial"/>
          <w:b w:val="0"/>
          <w:i w:val="0"/>
          <w:color w:val="0B1727"/>
          <w:sz w:val="21"/>
        </w:rPr>
        <w:t>Double-door, through-flow loading and unloading</w:t>
      </w:r>
    </w:p>
    <w:p>
      <w:pPr>
        <w:widowControl/>
      </w:pPr>
      <w:r>
        <w:rPr>
          <w:rFonts w:ascii="Arial" w:hAnsi="Arial"/>
          <w:b w:val="0"/>
          <w:i w:val="0"/>
          <w:color w:val="0B1727"/>
          <w:sz w:val="21"/>
        </w:rPr>
        <w:t>The terminology should not be confused with the mechanical door-opening method, such as side-opening or top-opening. Door-opening mechanism, pressure-vessel design and safety interlocks are separate engineering matters.</w:t>
      </w:r>
    </w:p>
    <w:p>
      <w:pPr>
        <w:pStyle w:val="Heading2"/>
        <w:keepNext/>
        <w:widowControl/>
      </w:pPr>
      <w:r>
        <w:t>Straight AAC Plant Layout</w:t>
      </w:r>
    </w:p>
    <w:p>
      <w:pPr>
        <w:widowControl/>
      </w:pPr>
      <w:r>
        <w:rPr>
          <w:rFonts w:ascii="Arial" w:hAnsi="Arial"/>
          <w:b w:val="0"/>
          <w:i w:val="0"/>
          <w:color w:val="0B1727"/>
          <w:sz w:val="21"/>
        </w:rPr>
        <w:t>In a straight layout, the main production flow is arranged predominantly in one direction. It is often considered for long rectangular sites where sufficient length is available for raw-material preparation, casting, cutting, autoclaving and packing to follow a linear sequence.</w:t>
      </w:r>
    </w:p>
    <w:p>
      <w:pPr>
        <w:pStyle w:val="Heading3"/>
        <w:keepNext/>
        <w:widowControl/>
      </w:pPr>
      <w:r>
        <w:t>Typically suitable when</w:t>
      </w:r>
    </w:p>
    <w:p>
      <w:pPr>
        <w:pStyle w:val="ListBullet"/>
        <w:widowControl/>
      </w:pPr>
      <w:r>
        <w:rPr>
          <w:rFonts w:ascii="Arial" w:hAnsi="Arial"/>
          <w:b w:val="0"/>
          <w:i w:val="0"/>
          <w:color w:val="0B1727"/>
          <w:sz w:val="21"/>
        </w:rPr>
        <w:t>The plot is long and comparatively narrow.</w:t>
      </w:r>
    </w:p>
    <w:p>
      <w:pPr>
        <w:pStyle w:val="ListBullet"/>
        <w:widowControl/>
      </w:pPr>
      <w:r>
        <w:rPr>
          <w:rFonts w:ascii="Arial" w:hAnsi="Arial"/>
          <w:b w:val="0"/>
          <w:i w:val="0"/>
          <w:color w:val="0B1727"/>
          <w:sz w:val="21"/>
        </w:rPr>
        <w:t>The main factory access supports a linear material and dispatch flow.</w:t>
      </w:r>
    </w:p>
    <w:p>
      <w:pPr>
        <w:pStyle w:val="ListBullet"/>
        <w:widowControl/>
      </w:pPr>
      <w:r>
        <w:rPr>
          <w:rFonts w:ascii="Arial" w:hAnsi="Arial"/>
          <w:b w:val="0"/>
          <w:i w:val="0"/>
          <w:color w:val="0B1727"/>
          <w:sz w:val="21"/>
        </w:rPr>
        <w:t>Future expansion can be reserved along or beside the production line.</w:t>
      </w:r>
    </w:p>
    <w:p>
      <w:pPr>
        <w:pStyle w:val="ListBullet"/>
        <w:widowControl/>
      </w:pPr>
      <w:r>
        <w:rPr>
          <w:rFonts w:ascii="Arial" w:hAnsi="Arial"/>
          <w:b w:val="0"/>
          <w:i w:val="0"/>
          <w:color w:val="0B1727"/>
          <w:sz w:val="21"/>
        </w:rPr>
        <w:t>Utility and storage areas can be positioned without creating cross-traffic.</w:t>
      </w:r>
    </w:p>
    <w:p>
      <w:pPr>
        <w:pStyle w:val="Heading3"/>
        <w:keepNext/>
        <w:widowControl/>
      </w:pPr>
      <w:r>
        <w:t>Potential advantages</w:t>
      </w:r>
    </w:p>
    <w:p>
      <w:pPr>
        <w:pStyle w:val="ListBullet"/>
        <w:widowControl/>
      </w:pPr>
      <w:r>
        <w:rPr>
          <w:rFonts w:ascii="Arial" w:hAnsi="Arial"/>
          <w:b w:val="0"/>
          <w:i w:val="0"/>
          <w:color w:val="0B1727"/>
          <w:sz w:val="21"/>
        </w:rPr>
        <w:t>The production sequence can be easy to understand and supervise.</w:t>
      </w:r>
    </w:p>
    <w:p>
      <w:pPr>
        <w:pStyle w:val="ListBullet"/>
        <w:widowControl/>
      </w:pPr>
      <w:r>
        <w:rPr>
          <w:rFonts w:ascii="Arial" w:hAnsi="Arial"/>
          <w:b w:val="0"/>
          <w:i w:val="0"/>
          <w:color w:val="0B1727"/>
          <w:sz w:val="21"/>
        </w:rPr>
        <w:t>Direction changes may be minimized.</w:t>
      </w:r>
    </w:p>
    <w:p>
      <w:pPr>
        <w:pStyle w:val="ListBullet"/>
        <w:widowControl/>
      </w:pPr>
      <w:r>
        <w:rPr>
          <w:rFonts w:ascii="Arial" w:hAnsi="Arial"/>
          <w:b w:val="0"/>
          <w:i w:val="0"/>
          <w:color w:val="0B1727"/>
          <w:sz w:val="21"/>
        </w:rPr>
        <w:t>A suitable plot may allow clear separation between incoming material and finished-product dispatch.</w:t>
      </w:r>
    </w:p>
    <w:p>
      <w:pPr>
        <w:pStyle w:val="Heading3"/>
        <w:keepNext/>
        <w:widowControl/>
      </w:pPr>
      <w:r>
        <w:t>Points that still require engineering review</w:t>
      </w:r>
    </w:p>
    <w:p>
      <w:pPr>
        <w:pStyle w:val="ListBullet"/>
        <w:widowControl/>
      </w:pPr>
      <w:r>
        <w:rPr>
          <w:rFonts w:ascii="Arial" w:hAnsi="Arial"/>
          <w:b w:val="0"/>
          <w:i w:val="0"/>
          <w:color w:val="0B1727"/>
          <w:sz w:val="21"/>
        </w:rPr>
        <w:t>Total line length and usable plot length after setbacks.</w:t>
      </w:r>
    </w:p>
    <w:p>
      <w:pPr>
        <w:pStyle w:val="ListBullet"/>
        <w:widowControl/>
      </w:pPr>
      <w:r>
        <w:rPr>
          <w:rFonts w:ascii="Arial" w:hAnsi="Arial"/>
          <w:b w:val="0"/>
          <w:i w:val="0"/>
          <w:color w:val="0B1727"/>
          <w:sz w:val="21"/>
        </w:rPr>
        <w:t>Return movement of moulds, side plates, trolleys or pallets.</w:t>
      </w:r>
    </w:p>
    <w:p>
      <w:pPr>
        <w:pStyle w:val="ListBullet"/>
        <w:widowControl/>
      </w:pPr>
      <w:r>
        <w:rPr>
          <w:rFonts w:ascii="Arial" w:hAnsi="Arial"/>
          <w:b w:val="0"/>
          <w:i w:val="0"/>
          <w:color w:val="0B1727"/>
          <w:sz w:val="21"/>
        </w:rPr>
        <w:t>Forklift and truck turning areas.</w:t>
      </w:r>
    </w:p>
    <w:p>
      <w:pPr>
        <w:pStyle w:val="ListBullet"/>
        <w:widowControl/>
      </w:pPr>
      <w:r>
        <w:rPr>
          <w:rFonts w:ascii="Arial" w:hAnsi="Arial"/>
          <w:b w:val="0"/>
          <w:i w:val="0"/>
          <w:color w:val="0B1727"/>
          <w:sz w:val="21"/>
        </w:rPr>
        <w:t>Location of utilities and maintenance access.</w:t>
      </w:r>
    </w:p>
    <w:p>
      <w:pPr>
        <w:pStyle w:val="ListBullet"/>
        <w:widowControl/>
      </w:pPr>
      <w:r>
        <w:rPr>
          <w:rFonts w:ascii="Arial" w:hAnsi="Arial"/>
          <w:b w:val="0"/>
          <w:i w:val="0"/>
          <w:color w:val="0B1727"/>
          <w:sz w:val="21"/>
        </w:rPr>
        <w:t>Practical direction for future extension.</w:t>
      </w:r>
    </w:p>
    <w:p>
      <w:pPr>
        <w:pStyle w:val="Heading2"/>
        <w:keepNext/>
        <w:widowControl/>
      </w:pPr>
      <w:r>
        <w:t>L-Shape AAC Plant Layout</w:t>
      </w:r>
    </w:p>
    <w:p>
      <w:pPr>
        <w:widowControl/>
      </w:pPr>
      <w:r>
        <w:rPr>
          <w:rFonts w:ascii="Arial" w:hAnsi="Arial"/>
          <w:b w:val="0"/>
          <w:i w:val="0"/>
          <w:color w:val="0B1727"/>
          <w:sz w:val="21"/>
        </w:rPr>
        <w:t>In an L-shape layout, the main production flow changes direction once. It is often evaluated for plots with more balanced length and width, or where access, existing structures, utilities or expansion constraints make a completely straight line impractical.</w:t>
      </w:r>
    </w:p>
    <w:p>
      <w:pPr>
        <w:pStyle w:val="Heading3"/>
        <w:keepNext/>
        <w:widowControl/>
      </w:pPr>
      <w:r>
        <w:t>Typically suitable when</w:t>
      </w:r>
    </w:p>
    <w:p>
      <w:pPr>
        <w:pStyle w:val="ListBullet"/>
        <w:widowControl/>
      </w:pPr>
      <w:r>
        <w:rPr>
          <w:rFonts w:ascii="Arial" w:hAnsi="Arial"/>
          <w:b w:val="0"/>
          <w:i w:val="0"/>
          <w:color w:val="0B1727"/>
          <w:sz w:val="21"/>
        </w:rPr>
        <w:t>The plot has usable width as well as length.</w:t>
      </w:r>
    </w:p>
    <w:p>
      <w:pPr>
        <w:pStyle w:val="ListBullet"/>
        <w:widowControl/>
      </w:pPr>
      <w:r>
        <w:rPr>
          <w:rFonts w:ascii="Arial" w:hAnsi="Arial"/>
          <w:b w:val="0"/>
          <w:i w:val="0"/>
          <w:color w:val="0B1727"/>
          <w:sz w:val="21"/>
        </w:rPr>
        <w:t>A direction change allows better use of the available construction envelope.</w:t>
      </w:r>
    </w:p>
    <w:p>
      <w:pPr>
        <w:pStyle w:val="ListBullet"/>
        <w:widowControl/>
      </w:pPr>
      <w:r>
        <w:rPr>
          <w:rFonts w:ascii="Arial" w:hAnsi="Arial"/>
          <w:b w:val="0"/>
          <w:i w:val="0"/>
          <w:color w:val="0B1727"/>
          <w:sz w:val="21"/>
        </w:rPr>
        <w:t>Raw-material, production and dispatch zones can be organized without creating conflicting movement.</w:t>
      </w:r>
    </w:p>
    <w:p>
      <w:pPr>
        <w:pStyle w:val="ListBullet"/>
        <w:widowControl/>
      </w:pPr>
      <w:r>
        <w:rPr>
          <w:rFonts w:ascii="Arial" w:hAnsi="Arial"/>
          <w:b w:val="0"/>
          <w:i w:val="0"/>
          <w:color w:val="0B1727"/>
          <w:sz w:val="21"/>
        </w:rPr>
        <w:t>The selected transfer and handling system can support the change in direction.</w:t>
      </w:r>
    </w:p>
    <w:p>
      <w:pPr>
        <w:pStyle w:val="Heading3"/>
        <w:keepNext/>
        <w:widowControl/>
      </w:pPr>
      <w:r>
        <w:t>Potential advantages</w:t>
      </w:r>
    </w:p>
    <w:p>
      <w:pPr>
        <w:pStyle w:val="ListBullet"/>
        <w:widowControl/>
      </w:pPr>
      <w:r>
        <w:rPr>
          <w:rFonts w:ascii="Arial" w:hAnsi="Arial"/>
          <w:b w:val="0"/>
          <w:i w:val="0"/>
          <w:color w:val="0B1727"/>
          <w:sz w:val="21"/>
        </w:rPr>
        <w:t>Can use balanced plot dimensions effectively.</w:t>
      </w:r>
    </w:p>
    <w:p>
      <w:pPr>
        <w:pStyle w:val="ListBullet"/>
        <w:widowControl/>
      </w:pPr>
      <w:r>
        <w:rPr>
          <w:rFonts w:ascii="Arial" w:hAnsi="Arial"/>
          <w:b w:val="0"/>
          <w:i w:val="0"/>
          <w:color w:val="0B1727"/>
          <w:sz w:val="21"/>
        </w:rPr>
        <w:t>May allow utilities, storage or dispatch to be grouped more conveniently.</w:t>
      </w:r>
    </w:p>
    <w:p>
      <w:pPr>
        <w:pStyle w:val="ListBullet"/>
        <w:widowControl/>
      </w:pPr>
      <w:r>
        <w:rPr>
          <w:rFonts w:ascii="Arial" w:hAnsi="Arial"/>
          <w:b w:val="0"/>
          <w:i w:val="0"/>
          <w:color w:val="0B1727"/>
          <w:sz w:val="21"/>
        </w:rPr>
        <w:t>Can create a compact overall site arrangement when correctly engineered.</w:t>
      </w:r>
    </w:p>
    <w:p>
      <w:pPr>
        <w:pStyle w:val="Heading3"/>
        <w:keepNext/>
        <w:widowControl/>
      </w:pPr>
      <w:r>
        <w:t>Points that still require engineering review</w:t>
      </w:r>
    </w:p>
    <w:p>
      <w:pPr>
        <w:pStyle w:val="ListBullet"/>
        <w:widowControl/>
      </w:pPr>
      <w:r>
        <w:rPr>
          <w:rFonts w:ascii="Arial" w:hAnsi="Arial"/>
          <w:b w:val="0"/>
          <w:i w:val="0"/>
          <w:color w:val="0B1727"/>
          <w:sz w:val="21"/>
        </w:rPr>
        <w:t>The transfer method at the direction change.</w:t>
      </w:r>
    </w:p>
    <w:p>
      <w:pPr>
        <w:pStyle w:val="ListBullet"/>
        <w:widowControl/>
      </w:pPr>
      <w:r>
        <w:rPr>
          <w:rFonts w:ascii="Arial" w:hAnsi="Arial"/>
          <w:b w:val="0"/>
          <w:i w:val="0"/>
          <w:color w:val="0B1727"/>
          <w:sz w:val="21"/>
        </w:rPr>
        <w:t>Additional handling equipment, controls or foundations, if required.</w:t>
      </w:r>
    </w:p>
    <w:p>
      <w:pPr>
        <w:pStyle w:val="ListBullet"/>
        <w:widowControl/>
      </w:pPr>
      <w:r>
        <w:rPr>
          <w:rFonts w:ascii="Arial" w:hAnsi="Arial"/>
          <w:b w:val="0"/>
          <w:i w:val="0"/>
          <w:color w:val="0B1727"/>
          <w:sz w:val="21"/>
        </w:rPr>
        <w:t>Visibility, access and maintenance at transfer points.</w:t>
      </w:r>
    </w:p>
    <w:p>
      <w:pPr>
        <w:pStyle w:val="ListBullet"/>
        <w:widowControl/>
      </w:pPr>
      <w:r>
        <w:rPr>
          <w:rFonts w:ascii="Arial" w:hAnsi="Arial"/>
          <w:b w:val="0"/>
          <w:i w:val="0"/>
          <w:color w:val="0B1727"/>
          <w:sz w:val="21"/>
        </w:rPr>
        <w:t>Expansion direction and the risk of blocking future movement.</w:t>
      </w:r>
    </w:p>
    <w:p>
      <w:pPr>
        <w:pStyle w:val="Heading2"/>
        <w:keepNext/>
        <w:widowControl/>
      </w:pPr>
      <w:r>
        <w:t>Straight vs L-Shape AAC Plant Layout</w:t>
      </w:r>
    </w:p>
    <w:p>
      <w:pPr>
        <w:widowControl/>
      </w:pPr>
      <w:r>
        <w:rPr>
          <w:rFonts w:ascii="Arial" w:hAnsi="Arial"/>
          <w:b w:val="0"/>
          <w:i w:val="0"/>
          <w:color w:val="0B1727"/>
          <w:sz w:val="21"/>
        </w:rPr>
        <w:t>Neither configuration is universally superior. Plot shape alone does not determine product quality or capacity, but the complete handling and equipment arrangement can affect movement, accessibility, investment and expansion.</w:t>
      </w:r>
    </w:p>
    <w:tbl>
      <w:tblPr>
        <w:tblW w:type="dxa" w:w="9360"/>
        <w:jc w:val="left"/>
        <w:tblLayout w:type="fixed"/>
        <w:tblLook w:firstColumn="1" w:firstRow="1" w:lastColumn="0" w:lastRow="0" w:noHBand="0" w:noVBand="1" w:val="04A0"/>
        <w:tblInd w:w="120" w:type="dxa"/>
      </w:tblPr>
      <w:tblGrid>
        <w:gridCol w:w="2000"/>
        <w:gridCol w:w="3650"/>
        <w:gridCol w:w="3710"/>
      </w:tblGrid>
      <w:tr>
        <w:tc>
          <w:tcPr>
            <w:tcW w:type="dxa" w:w="2000"/>
            <w:shd w:fill="0B1727"/>
            <w:tcMar>
              <w:top w:w="90" w:type="dxa"/>
              <w:start w:w="120" w:type="dxa"/>
              <w:bottom w:w="90" w:type="dxa"/>
              <w:end w:w="120" w:type="dxa"/>
            </w:tcMar>
            <w:vAlign w:val="center"/>
          </w:tcPr>
          <w:p>
            <w:pPr>
              <w:spacing w:after="0"/>
            </w:pPr>
            <w:r>
              <w:rPr>
                <w:rFonts w:ascii="Arial" w:hAnsi="Arial"/>
                <w:b/>
                <w:i w:val="0"/>
                <w:color w:val="FFFFFF"/>
                <w:sz w:val="18"/>
              </w:rPr>
              <w:t>Decision factor</w:t>
            </w:r>
          </w:p>
        </w:tc>
        <w:tc>
          <w:tcPr>
            <w:tcW w:type="dxa" w:w="3650"/>
            <w:shd w:fill="0B1727"/>
            <w:tcMar>
              <w:top w:w="90" w:type="dxa"/>
              <w:start w:w="120" w:type="dxa"/>
              <w:bottom w:w="90" w:type="dxa"/>
              <w:end w:w="120" w:type="dxa"/>
            </w:tcMar>
            <w:vAlign w:val="center"/>
          </w:tcPr>
          <w:p>
            <w:pPr>
              <w:spacing w:after="0"/>
            </w:pPr>
            <w:r>
              <w:rPr>
                <w:rFonts w:ascii="Arial" w:hAnsi="Arial"/>
                <w:b/>
                <w:i w:val="0"/>
                <w:color w:val="FFFFFF"/>
                <w:sz w:val="18"/>
              </w:rPr>
              <w:t>Straight layout</w:t>
            </w:r>
          </w:p>
        </w:tc>
        <w:tc>
          <w:tcPr>
            <w:tcW w:type="dxa" w:w="3710"/>
            <w:shd w:fill="0B1727"/>
            <w:tcMar>
              <w:top w:w="90" w:type="dxa"/>
              <w:start w:w="120" w:type="dxa"/>
              <w:bottom w:w="90" w:type="dxa"/>
              <w:end w:w="120" w:type="dxa"/>
            </w:tcMar>
            <w:vAlign w:val="center"/>
          </w:tcPr>
          <w:p>
            <w:pPr>
              <w:spacing w:after="0"/>
            </w:pPr>
            <w:r>
              <w:rPr>
                <w:rFonts w:ascii="Arial" w:hAnsi="Arial"/>
                <w:b/>
                <w:i w:val="0"/>
                <w:color w:val="FFFFFF"/>
                <w:sz w:val="18"/>
              </w:rPr>
              <w:t>L-shape layout</w:t>
            </w:r>
          </w:p>
        </w:tc>
        <w:trPr>
          <w:tblHeader/>
        </w:trPr>
      </w:tr>
      <w:tr>
        <w:tc>
          <w:tcPr>
            <w:tcW w:type="dxa" w:w="2000"/>
            <w:tcMar>
              <w:top w:w="90" w:type="dxa"/>
              <w:start w:w="120" w:type="dxa"/>
              <w:bottom w:w="90" w:type="dxa"/>
              <w:end w:w="120" w:type="dxa"/>
            </w:tcMar>
            <w:vAlign w:val="center"/>
          </w:tcPr>
          <w:p>
            <w:pPr>
              <w:spacing w:after="0" w:line="252" w:lineRule="auto"/>
            </w:pPr>
            <w:r>
              <w:rPr>
                <w:rFonts w:ascii="Arial" w:hAnsi="Arial"/>
                <w:b w:val="0"/>
                <w:i w:val="0"/>
                <w:color w:val="0B1727"/>
                <w:sz w:val="17"/>
              </w:rPr>
              <w:t>Typical plot condition</w:t>
            </w:r>
          </w:p>
        </w:tc>
        <w:tc>
          <w:tcPr>
            <w:tcW w:type="dxa" w:w="3650"/>
            <w:tcMar>
              <w:top w:w="90" w:type="dxa"/>
              <w:start w:w="120" w:type="dxa"/>
              <w:bottom w:w="90" w:type="dxa"/>
              <w:end w:w="120" w:type="dxa"/>
            </w:tcMar>
            <w:vAlign w:val="center"/>
          </w:tcPr>
          <w:p>
            <w:pPr>
              <w:spacing w:after="0" w:line="252" w:lineRule="auto"/>
            </w:pPr>
            <w:r>
              <w:rPr>
                <w:rFonts w:ascii="Arial" w:hAnsi="Arial"/>
                <w:b w:val="0"/>
                <w:i w:val="0"/>
                <w:color w:val="0B1727"/>
                <w:sz w:val="17"/>
              </w:rPr>
              <w:t>Long rectangular plot</w:t>
            </w:r>
          </w:p>
        </w:tc>
        <w:tc>
          <w:tcPr>
            <w:tcW w:type="dxa" w:w="3710"/>
            <w:tcMar>
              <w:top w:w="90" w:type="dxa"/>
              <w:start w:w="120" w:type="dxa"/>
              <w:bottom w:w="90" w:type="dxa"/>
              <w:end w:w="120" w:type="dxa"/>
            </w:tcMar>
            <w:vAlign w:val="center"/>
          </w:tcPr>
          <w:p>
            <w:pPr>
              <w:spacing w:after="0" w:line="252" w:lineRule="auto"/>
            </w:pPr>
            <w:r>
              <w:rPr>
                <w:rFonts w:ascii="Arial" w:hAnsi="Arial"/>
                <w:b w:val="0"/>
                <w:i w:val="0"/>
                <w:color w:val="0B1727"/>
                <w:sz w:val="17"/>
              </w:rPr>
              <w:t>Plot with usable length and width</w:t>
            </w:r>
          </w:p>
        </w:tc>
      </w:tr>
      <w:tr>
        <w:tc>
          <w:tcPr>
            <w:tcW w:type="dxa" w:w="2000"/>
            <w:shd w:fill="F5F7F8"/>
            <w:tcMar>
              <w:top w:w="90" w:type="dxa"/>
              <w:start w:w="120" w:type="dxa"/>
              <w:bottom w:w="90" w:type="dxa"/>
              <w:end w:w="120" w:type="dxa"/>
            </w:tcMar>
            <w:vAlign w:val="center"/>
          </w:tcPr>
          <w:p>
            <w:pPr>
              <w:spacing w:after="0" w:line="252" w:lineRule="auto"/>
            </w:pPr>
            <w:r>
              <w:rPr>
                <w:rFonts w:ascii="Arial" w:hAnsi="Arial"/>
                <w:b w:val="0"/>
                <w:i w:val="0"/>
                <w:color w:val="0B1727"/>
                <w:sz w:val="17"/>
              </w:rPr>
              <w:t>Main flow direction</w:t>
            </w:r>
          </w:p>
        </w:tc>
        <w:tc>
          <w:tcPr>
            <w:tcW w:type="dxa" w:w="3650"/>
            <w:shd w:fill="F5F7F8"/>
            <w:tcMar>
              <w:top w:w="90" w:type="dxa"/>
              <w:start w:w="120" w:type="dxa"/>
              <w:bottom w:w="90" w:type="dxa"/>
              <w:end w:w="120" w:type="dxa"/>
            </w:tcMar>
            <w:vAlign w:val="center"/>
          </w:tcPr>
          <w:p>
            <w:pPr>
              <w:spacing w:after="0" w:line="252" w:lineRule="auto"/>
            </w:pPr>
            <w:r>
              <w:rPr>
                <w:rFonts w:ascii="Arial" w:hAnsi="Arial"/>
                <w:b w:val="0"/>
                <w:i w:val="0"/>
                <w:color w:val="0B1727"/>
                <w:sz w:val="17"/>
              </w:rPr>
              <w:t>Predominantly linear</w:t>
            </w:r>
          </w:p>
        </w:tc>
        <w:tc>
          <w:tcPr>
            <w:tcW w:type="dxa" w:w="3710"/>
            <w:shd w:fill="F5F7F8"/>
            <w:tcMar>
              <w:top w:w="90" w:type="dxa"/>
              <w:start w:w="120" w:type="dxa"/>
              <w:bottom w:w="90" w:type="dxa"/>
              <w:end w:w="120" w:type="dxa"/>
            </w:tcMar>
            <w:vAlign w:val="center"/>
          </w:tcPr>
          <w:p>
            <w:pPr>
              <w:spacing w:after="0" w:line="252" w:lineRule="auto"/>
            </w:pPr>
            <w:r>
              <w:rPr>
                <w:rFonts w:ascii="Arial" w:hAnsi="Arial"/>
                <w:b w:val="0"/>
                <w:i w:val="0"/>
                <w:color w:val="0B1727"/>
                <w:sz w:val="17"/>
              </w:rPr>
              <w:t>Changes direction once</w:t>
            </w:r>
          </w:p>
        </w:tc>
      </w:tr>
      <w:tr>
        <w:tc>
          <w:tcPr>
            <w:tcW w:type="dxa" w:w="2000"/>
            <w:tcMar>
              <w:top w:w="90" w:type="dxa"/>
              <w:start w:w="120" w:type="dxa"/>
              <w:bottom w:w="90" w:type="dxa"/>
              <w:end w:w="120" w:type="dxa"/>
            </w:tcMar>
            <w:vAlign w:val="center"/>
          </w:tcPr>
          <w:p>
            <w:pPr>
              <w:spacing w:after="0" w:line="252" w:lineRule="auto"/>
            </w:pPr>
            <w:r>
              <w:rPr>
                <w:rFonts w:ascii="Arial" w:hAnsi="Arial"/>
                <w:b w:val="0"/>
                <w:i w:val="0"/>
                <w:color w:val="0B1727"/>
                <w:sz w:val="17"/>
              </w:rPr>
              <w:t>Transfer-system review</w:t>
            </w:r>
          </w:p>
        </w:tc>
        <w:tc>
          <w:tcPr>
            <w:tcW w:type="dxa" w:w="3650"/>
            <w:tcMar>
              <w:top w:w="90" w:type="dxa"/>
              <w:start w:w="120" w:type="dxa"/>
              <w:bottom w:w="90" w:type="dxa"/>
              <w:end w:w="120" w:type="dxa"/>
            </w:tcMar>
            <w:vAlign w:val="center"/>
          </w:tcPr>
          <w:p>
            <w:pPr>
              <w:spacing w:after="0" w:line="252" w:lineRule="auto"/>
            </w:pPr>
            <w:r>
              <w:rPr>
                <w:rFonts w:ascii="Arial" w:hAnsi="Arial"/>
                <w:b w:val="0"/>
                <w:i w:val="0"/>
                <w:color w:val="0B1727"/>
                <w:sz w:val="17"/>
              </w:rPr>
              <w:t>Return and cross-flow still require review</w:t>
            </w:r>
          </w:p>
        </w:tc>
        <w:tc>
          <w:tcPr>
            <w:tcW w:type="dxa" w:w="3710"/>
            <w:tcMar>
              <w:top w:w="90" w:type="dxa"/>
              <w:start w:w="120" w:type="dxa"/>
              <w:bottom w:w="90" w:type="dxa"/>
              <w:end w:w="120" w:type="dxa"/>
            </w:tcMar>
            <w:vAlign w:val="center"/>
          </w:tcPr>
          <w:p>
            <w:pPr>
              <w:spacing w:after="0" w:line="252" w:lineRule="auto"/>
            </w:pPr>
            <w:r>
              <w:rPr>
                <w:rFonts w:ascii="Arial" w:hAnsi="Arial"/>
                <w:b w:val="0"/>
                <w:i w:val="0"/>
                <w:color w:val="0B1727"/>
                <w:sz w:val="17"/>
              </w:rPr>
              <w:t>Direction-change transfer requires particular review</w:t>
            </w:r>
          </w:p>
        </w:tc>
      </w:tr>
      <w:tr>
        <w:tc>
          <w:tcPr>
            <w:tcW w:type="dxa" w:w="2000"/>
            <w:shd w:fill="F5F7F8"/>
            <w:tcMar>
              <w:top w:w="90" w:type="dxa"/>
              <w:start w:w="120" w:type="dxa"/>
              <w:bottom w:w="90" w:type="dxa"/>
              <w:end w:w="120" w:type="dxa"/>
            </w:tcMar>
            <w:vAlign w:val="center"/>
          </w:tcPr>
          <w:p>
            <w:pPr>
              <w:spacing w:after="0" w:line="252" w:lineRule="auto"/>
            </w:pPr>
            <w:r>
              <w:rPr>
                <w:rFonts w:ascii="Arial" w:hAnsi="Arial"/>
                <w:b w:val="0"/>
                <w:i w:val="0"/>
                <w:color w:val="0B1727"/>
                <w:sz w:val="17"/>
              </w:rPr>
              <w:t>Core process equipment</w:t>
            </w:r>
          </w:p>
        </w:tc>
        <w:tc>
          <w:tcPr>
            <w:tcW w:type="dxa" w:w="3650"/>
            <w:shd w:fill="F5F7F8"/>
            <w:tcMar>
              <w:top w:w="90" w:type="dxa"/>
              <w:start w:w="120" w:type="dxa"/>
              <w:bottom w:w="90" w:type="dxa"/>
              <w:end w:w="120" w:type="dxa"/>
            </w:tcMar>
            <w:vAlign w:val="center"/>
          </w:tcPr>
          <w:p>
            <w:pPr>
              <w:spacing w:after="0" w:line="252" w:lineRule="auto"/>
            </w:pPr>
            <w:r>
              <w:rPr>
                <w:rFonts w:ascii="Arial" w:hAnsi="Arial"/>
                <w:b w:val="0"/>
                <w:i w:val="0"/>
                <w:color w:val="0B1727"/>
                <w:sz w:val="17"/>
              </w:rPr>
              <w:t>May be similar for an equivalent process</w:t>
            </w:r>
          </w:p>
        </w:tc>
        <w:tc>
          <w:tcPr>
            <w:tcW w:type="dxa" w:w="3710"/>
            <w:shd w:fill="F5F7F8"/>
            <w:tcMar>
              <w:top w:w="90" w:type="dxa"/>
              <w:start w:w="120" w:type="dxa"/>
              <w:bottom w:w="90" w:type="dxa"/>
              <w:end w:w="120" w:type="dxa"/>
            </w:tcMar>
            <w:vAlign w:val="center"/>
          </w:tcPr>
          <w:p>
            <w:pPr>
              <w:spacing w:after="0" w:line="252" w:lineRule="auto"/>
            </w:pPr>
            <w:r>
              <w:rPr>
                <w:rFonts w:ascii="Arial" w:hAnsi="Arial"/>
                <w:b w:val="0"/>
                <w:i w:val="0"/>
                <w:color w:val="0B1727"/>
                <w:sz w:val="17"/>
              </w:rPr>
              <w:t>May be similar, but transfer scope can differ</w:t>
            </w:r>
          </w:p>
        </w:tc>
      </w:tr>
      <w:tr>
        <w:tc>
          <w:tcPr>
            <w:tcW w:type="dxa" w:w="2000"/>
            <w:tcMar>
              <w:top w:w="90" w:type="dxa"/>
              <w:start w:w="120" w:type="dxa"/>
              <w:bottom w:w="90" w:type="dxa"/>
              <w:end w:w="120" w:type="dxa"/>
            </w:tcMar>
            <w:vAlign w:val="center"/>
          </w:tcPr>
          <w:p>
            <w:pPr>
              <w:spacing w:after="0" w:line="252" w:lineRule="auto"/>
            </w:pPr>
            <w:r>
              <w:rPr>
                <w:rFonts w:ascii="Arial" w:hAnsi="Arial"/>
                <w:b w:val="0"/>
                <w:i w:val="0"/>
                <w:color w:val="0B1727"/>
                <w:sz w:val="17"/>
              </w:rPr>
              <w:t>Product quality</w:t>
            </w:r>
          </w:p>
        </w:tc>
        <w:tc>
          <w:tcPr>
            <w:tcW w:type="dxa" w:w="3650"/>
            <w:tcMar>
              <w:top w:w="90" w:type="dxa"/>
              <w:start w:w="120" w:type="dxa"/>
              <w:bottom w:w="90" w:type="dxa"/>
              <w:end w:w="120" w:type="dxa"/>
            </w:tcMar>
            <w:vAlign w:val="center"/>
          </w:tcPr>
          <w:p>
            <w:pPr>
              <w:spacing w:after="0" w:line="252" w:lineRule="auto"/>
            </w:pPr>
            <w:r>
              <w:rPr>
                <w:rFonts w:ascii="Arial" w:hAnsi="Arial"/>
                <w:b w:val="0"/>
                <w:i w:val="0"/>
                <w:color w:val="0B1727"/>
                <w:sz w:val="17"/>
              </w:rPr>
              <w:t>Not determined by layout shape alone</w:t>
            </w:r>
          </w:p>
        </w:tc>
        <w:tc>
          <w:tcPr>
            <w:tcW w:type="dxa" w:w="3710"/>
            <w:tcMar>
              <w:top w:w="90" w:type="dxa"/>
              <w:start w:w="120" w:type="dxa"/>
              <w:bottom w:w="90" w:type="dxa"/>
              <w:end w:w="120" w:type="dxa"/>
            </w:tcMar>
            <w:vAlign w:val="center"/>
          </w:tcPr>
          <w:p>
            <w:pPr>
              <w:spacing w:after="0" w:line="252" w:lineRule="auto"/>
            </w:pPr>
            <w:r>
              <w:rPr>
                <w:rFonts w:ascii="Arial" w:hAnsi="Arial"/>
                <w:b w:val="0"/>
                <w:i w:val="0"/>
                <w:color w:val="0B1727"/>
                <w:sz w:val="17"/>
              </w:rPr>
              <w:t>Not determined by layout shape alone</w:t>
            </w:r>
          </w:p>
        </w:tc>
      </w:tr>
      <w:tr>
        <w:tc>
          <w:tcPr>
            <w:tcW w:type="dxa" w:w="2000"/>
            <w:shd w:fill="F5F7F8"/>
            <w:tcMar>
              <w:top w:w="90" w:type="dxa"/>
              <w:start w:w="120" w:type="dxa"/>
              <w:bottom w:w="90" w:type="dxa"/>
              <w:end w:w="120" w:type="dxa"/>
            </w:tcMar>
            <w:vAlign w:val="center"/>
          </w:tcPr>
          <w:p>
            <w:pPr>
              <w:spacing w:after="0" w:line="252" w:lineRule="auto"/>
            </w:pPr>
            <w:r>
              <w:rPr>
                <w:rFonts w:ascii="Arial" w:hAnsi="Arial"/>
                <w:b w:val="0"/>
                <w:i w:val="0"/>
                <w:color w:val="0B1727"/>
                <w:sz w:val="17"/>
              </w:rPr>
              <w:t>Production capacity</w:t>
            </w:r>
          </w:p>
        </w:tc>
        <w:tc>
          <w:tcPr>
            <w:tcW w:type="dxa" w:w="3650"/>
            <w:shd w:fill="F5F7F8"/>
            <w:tcMar>
              <w:top w:w="90" w:type="dxa"/>
              <w:start w:w="120" w:type="dxa"/>
              <w:bottom w:w="90" w:type="dxa"/>
              <w:end w:w="120" w:type="dxa"/>
            </w:tcMar>
            <w:vAlign w:val="center"/>
          </w:tcPr>
          <w:p>
            <w:pPr>
              <w:spacing w:after="0" w:line="252" w:lineRule="auto"/>
            </w:pPr>
            <w:r>
              <w:rPr>
                <w:rFonts w:ascii="Arial" w:hAnsi="Arial"/>
                <w:b w:val="0"/>
                <w:i w:val="0"/>
                <w:color w:val="0B1727"/>
                <w:sz w:val="17"/>
              </w:rPr>
              <w:t>Must be confirmed through system-cycle and bottleneck analysis</w:t>
            </w:r>
          </w:p>
        </w:tc>
        <w:tc>
          <w:tcPr>
            <w:tcW w:type="dxa" w:w="3710"/>
            <w:shd w:fill="F5F7F8"/>
            <w:tcMar>
              <w:top w:w="90" w:type="dxa"/>
              <w:start w:w="120" w:type="dxa"/>
              <w:bottom w:w="90" w:type="dxa"/>
              <w:end w:w="120" w:type="dxa"/>
            </w:tcMar>
            <w:vAlign w:val="center"/>
          </w:tcPr>
          <w:p>
            <w:pPr>
              <w:spacing w:after="0" w:line="252" w:lineRule="auto"/>
            </w:pPr>
            <w:r>
              <w:rPr>
                <w:rFonts w:ascii="Arial" w:hAnsi="Arial"/>
                <w:b w:val="0"/>
                <w:i w:val="0"/>
                <w:color w:val="0B1727"/>
                <w:sz w:val="17"/>
              </w:rPr>
              <w:t>Must be confirmed through system-cycle and bottleneck analysis</w:t>
            </w:r>
          </w:p>
        </w:tc>
      </w:tr>
      <w:tr>
        <w:tc>
          <w:tcPr>
            <w:tcW w:type="dxa" w:w="2000"/>
            <w:tcMar>
              <w:top w:w="90" w:type="dxa"/>
              <w:start w:w="120" w:type="dxa"/>
              <w:bottom w:w="90" w:type="dxa"/>
              <w:end w:w="120" w:type="dxa"/>
            </w:tcMar>
            <w:vAlign w:val="center"/>
          </w:tcPr>
          <w:p>
            <w:pPr>
              <w:spacing w:after="0" w:line="252" w:lineRule="auto"/>
            </w:pPr>
            <w:r>
              <w:rPr>
                <w:rFonts w:ascii="Arial" w:hAnsi="Arial"/>
                <w:b w:val="0"/>
                <w:i w:val="0"/>
                <w:color w:val="0B1727"/>
                <w:sz w:val="17"/>
              </w:rPr>
              <w:t>Utilities and civil scope</w:t>
            </w:r>
          </w:p>
        </w:tc>
        <w:tc>
          <w:tcPr>
            <w:tcW w:type="dxa" w:w="3650"/>
            <w:tcMar>
              <w:top w:w="90" w:type="dxa"/>
              <w:start w:w="120" w:type="dxa"/>
              <w:bottom w:w="90" w:type="dxa"/>
              <w:end w:w="120" w:type="dxa"/>
            </w:tcMar>
            <w:vAlign w:val="center"/>
          </w:tcPr>
          <w:p>
            <w:pPr>
              <w:spacing w:after="0" w:line="252" w:lineRule="auto"/>
            </w:pPr>
            <w:r>
              <w:rPr>
                <w:rFonts w:ascii="Arial" w:hAnsi="Arial"/>
                <w:b w:val="0"/>
                <w:i w:val="0"/>
                <w:color w:val="0B1727"/>
                <w:sz w:val="17"/>
              </w:rPr>
              <w:t>Project-specific</w:t>
            </w:r>
          </w:p>
        </w:tc>
        <w:tc>
          <w:tcPr>
            <w:tcW w:type="dxa" w:w="3710"/>
            <w:tcMar>
              <w:top w:w="90" w:type="dxa"/>
              <w:start w:w="120" w:type="dxa"/>
              <w:bottom w:w="90" w:type="dxa"/>
              <w:end w:w="120" w:type="dxa"/>
            </w:tcMar>
            <w:vAlign w:val="center"/>
          </w:tcPr>
          <w:p>
            <w:pPr>
              <w:spacing w:after="0" w:line="252" w:lineRule="auto"/>
            </w:pPr>
            <w:r>
              <w:rPr>
                <w:rFonts w:ascii="Arial" w:hAnsi="Arial"/>
                <w:b w:val="0"/>
                <w:i w:val="0"/>
                <w:color w:val="0B1727"/>
                <w:sz w:val="17"/>
              </w:rPr>
              <w:t>Project-specific</w:t>
            </w:r>
          </w:p>
        </w:tc>
      </w:tr>
      <w:tr>
        <w:tc>
          <w:tcPr>
            <w:tcW w:type="dxa" w:w="2000"/>
            <w:shd w:fill="F5F7F8"/>
            <w:tcMar>
              <w:top w:w="90" w:type="dxa"/>
              <w:start w:w="120" w:type="dxa"/>
              <w:bottom w:w="90" w:type="dxa"/>
              <w:end w:w="120" w:type="dxa"/>
            </w:tcMar>
            <w:vAlign w:val="center"/>
          </w:tcPr>
          <w:p>
            <w:pPr>
              <w:spacing w:after="0" w:line="252" w:lineRule="auto"/>
            </w:pPr>
            <w:r>
              <w:rPr>
                <w:rFonts w:ascii="Arial" w:hAnsi="Arial"/>
                <w:b w:val="0"/>
                <w:i w:val="0"/>
                <w:color w:val="0B1727"/>
                <w:sz w:val="17"/>
              </w:rPr>
              <w:t>Expansion</w:t>
            </w:r>
          </w:p>
        </w:tc>
        <w:tc>
          <w:tcPr>
            <w:tcW w:type="dxa" w:w="3650"/>
            <w:shd w:fill="F5F7F8"/>
            <w:tcMar>
              <w:top w:w="90" w:type="dxa"/>
              <w:start w:w="120" w:type="dxa"/>
              <w:bottom w:w="90" w:type="dxa"/>
              <w:end w:w="120" w:type="dxa"/>
            </w:tcMar>
            <w:vAlign w:val="center"/>
          </w:tcPr>
          <w:p>
            <w:pPr>
              <w:spacing w:after="0" w:line="252" w:lineRule="auto"/>
            </w:pPr>
            <w:r>
              <w:rPr>
                <w:rFonts w:ascii="Arial" w:hAnsi="Arial"/>
                <w:b w:val="0"/>
                <w:i w:val="0"/>
                <w:color w:val="0B1727"/>
                <w:sz w:val="17"/>
              </w:rPr>
              <w:t>Often along or beside the line</w:t>
            </w:r>
          </w:p>
        </w:tc>
        <w:tc>
          <w:tcPr>
            <w:tcW w:type="dxa" w:w="3710"/>
            <w:shd w:fill="F5F7F8"/>
            <w:tcMar>
              <w:top w:w="90" w:type="dxa"/>
              <w:start w:w="120" w:type="dxa"/>
              <w:bottom w:w="90" w:type="dxa"/>
              <w:end w:w="120" w:type="dxa"/>
            </w:tcMar>
            <w:vAlign w:val="center"/>
          </w:tcPr>
          <w:p>
            <w:pPr>
              <w:spacing w:after="0" w:line="252" w:lineRule="auto"/>
            </w:pPr>
            <w:r>
              <w:rPr>
                <w:rFonts w:ascii="Arial" w:hAnsi="Arial"/>
                <w:b w:val="0"/>
                <w:i w:val="0"/>
                <w:color w:val="0B1727"/>
                <w:sz w:val="17"/>
              </w:rPr>
              <w:t>May follow either leg; corridor must be reserved</w:t>
            </w:r>
          </w:p>
        </w:tc>
      </w:tr>
      <w:tr>
        <w:tc>
          <w:tcPr>
            <w:tcW w:type="dxa" w:w="2000"/>
            <w:tcMar>
              <w:top w:w="90" w:type="dxa"/>
              <w:start w:w="120" w:type="dxa"/>
              <w:bottom w:w="90" w:type="dxa"/>
              <w:end w:w="120" w:type="dxa"/>
            </w:tcMar>
            <w:vAlign w:val="center"/>
          </w:tcPr>
          <w:p>
            <w:pPr>
              <w:spacing w:after="0" w:line="252" w:lineRule="auto"/>
            </w:pPr>
            <w:r>
              <w:rPr>
                <w:rFonts w:ascii="Arial" w:hAnsi="Arial"/>
                <w:b w:val="0"/>
                <w:i w:val="0"/>
                <w:color w:val="0B1727"/>
                <w:sz w:val="17"/>
              </w:rPr>
              <w:t>Best selection basis</w:t>
            </w:r>
          </w:p>
        </w:tc>
        <w:tc>
          <w:tcPr>
            <w:tcW w:type="dxa" w:w="3650"/>
            <w:tcMar>
              <w:top w:w="90" w:type="dxa"/>
              <w:start w:w="120" w:type="dxa"/>
              <w:bottom w:w="90" w:type="dxa"/>
              <w:end w:w="120" w:type="dxa"/>
            </w:tcMar>
            <w:vAlign w:val="center"/>
          </w:tcPr>
          <w:p>
            <w:pPr>
              <w:spacing w:after="0" w:line="252" w:lineRule="auto"/>
            </w:pPr>
            <w:r>
              <w:rPr>
                <w:rFonts w:ascii="Arial" w:hAnsi="Arial"/>
                <w:b w:val="0"/>
                <w:i w:val="0"/>
                <w:color w:val="0B1727"/>
                <w:sz w:val="17"/>
              </w:rPr>
              <w:t>Total land, logistics, equipment and expansion evaluation</w:t>
            </w:r>
          </w:p>
        </w:tc>
        <w:tc>
          <w:tcPr>
            <w:tcW w:type="dxa" w:w="3710"/>
            <w:tcMar>
              <w:top w:w="90" w:type="dxa"/>
              <w:start w:w="120" w:type="dxa"/>
              <w:bottom w:w="90" w:type="dxa"/>
              <w:end w:w="120" w:type="dxa"/>
            </w:tcMar>
            <w:vAlign w:val="center"/>
          </w:tcPr>
          <w:p>
            <w:pPr>
              <w:spacing w:after="0" w:line="252" w:lineRule="auto"/>
            </w:pPr>
            <w:r>
              <w:rPr>
                <w:rFonts w:ascii="Arial" w:hAnsi="Arial"/>
                <w:b w:val="0"/>
                <w:i w:val="0"/>
                <w:color w:val="0B1727"/>
                <w:sz w:val="17"/>
              </w:rPr>
              <w:t>Total land, logistics, equipment and expansion evaluation</w:t>
            </w:r>
          </w:p>
        </w:tc>
      </w:tr>
    </w:tbl>
    <w:p>
      <w:pPr>
        <w:widowControl/>
        <w:spacing w:after="20"/>
      </w:pPr>
    </w:p>
    <w:tbl>
      <w:tblPr>
        <w:tblW w:type="dxa" w:w="9360"/>
        <w:tblLayout w:type="fixed"/>
        <w:tblLook w:firstColumn="1" w:firstRow="1" w:lastColumn="0" w:lastRow="0" w:noHBand="0" w:noVBand="1" w:val="04A0"/>
        <w:tblInd w:w="120" w:type="dxa"/>
      </w:tblPr>
      <w:tblGrid>
        <w:gridCol w:w="9360"/>
      </w:tblGrid>
      <w:tr>
        <w:tc>
          <w:tcPr>
            <w:tcW w:type="dxa" w:w="9360"/>
            <w:shd w:fill="EEF2F5"/>
            <w:tcMar>
              <w:top w:w="90" w:type="dxa"/>
              <w:start w:w="120" w:type="dxa"/>
              <w:bottom w:w="90" w:type="dxa"/>
              <w:end w:w="120" w:type="dxa"/>
            </w:tcMar>
            <w:vAlign w:val="center"/>
          </w:tcPr>
          <w:p>
            <w:pPr>
              <w:spacing w:after="60"/>
            </w:pPr>
            <w:r>
              <w:rPr>
                <w:rFonts w:ascii="Arial" w:hAnsi="Arial"/>
                <w:b/>
                <w:i w:val="0"/>
                <w:color w:val="0C4F80"/>
                <w:sz w:val="17"/>
              </w:rPr>
              <w:t>ENGINEERING PRINCIPLE</w:t>
            </w:r>
          </w:p>
          <w:p>
            <w:pPr>
              <w:spacing w:after="0"/>
            </w:pPr>
            <w:r>
              <w:rPr>
                <w:rFonts w:ascii="Arial" w:hAnsi="Arial"/>
                <w:b/>
                <w:i w:val="0"/>
                <w:color w:val="0B1727"/>
                <w:sz w:val="20"/>
              </w:rPr>
              <w:t>Equivalent output can be designed in either geometry when the complete equipment and handling system is sized correctly. This must be demonstrated by the project layout and cycle calculation, not assumed from the shape alone.</w:t>
            </w:r>
          </w:p>
        </w:tc>
        <w:trPr>
          <w:tblHeader/>
        </w:trPr>
      </w:tr>
    </w:tbl>
    <w:p>
      <w:pPr>
        <w:widowControl/>
        <w:spacing w:after="20"/>
      </w:pPr>
    </w:p>
    <w:p>
      <w:pPr>
        <w:pStyle w:val="Heading2"/>
        <w:keepNext/>
        <w:widowControl/>
      </w:pPr>
      <w:r>
        <w:t>Single-Door vs Double-Door Autoclave Arrangement</w:t>
      </w:r>
    </w:p>
    <w:p>
      <w:pPr>
        <w:widowControl/>
      </w:pPr>
      <w:r>
        <w:rPr>
          <w:rFonts w:ascii="Arial" w:hAnsi="Arial"/>
          <w:b w:val="0"/>
          <w:i w:val="0"/>
          <w:color w:val="0B1727"/>
          <w:sz w:val="21"/>
        </w:rPr>
        <w:t>After the process-flow geometry is evaluated, the project team must decide how autoclave trolleys will be loaded and unloaded. This choice can influence building width, transfer movement, operating access and autoclave turnaround.</w:t>
      </w:r>
    </w:p>
    <w:p>
      <w:pPr>
        <w:pStyle w:val="Heading3"/>
        <w:keepNext/>
        <w:widowControl/>
      </w:pPr>
      <w:r>
        <w:t>Single-door, same-side arrangement</w:t>
      </w:r>
    </w:p>
    <w:p>
      <w:pPr>
        <w:widowControl/>
      </w:pPr>
      <w:r>
        <w:rPr>
          <w:rFonts w:ascii="Arial" w:hAnsi="Arial"/>
          <w:b w:val="0"/>
          <w:i w:val="0"/>
          <w:color w:val="0B1727"/>
          <w:sz w:val="21"/>
        </w:rPr>
        <w:t>In this arrangement, loading and unloading take place from the same end of the autoclave. It may be considered where available width is restricted or where a same-side trolley-handling system fits the overall project more effectively.</w:t>
      </w:r>
    </w:p>
    <w:p>
      <w:pPr>
        <w:pStyle w:val="ListBullet"/>
        <w:widowControl/>
      </w:pPr>
      <w:r>
        <w:rPr>
          <w:rFonts w:ascii="Arial" w:hAnsi="Arial"/>
          <w:b w:val="0"/>
          <w:i w:val="0"/>
          <w:color w:val="0B1727"/>
          <w:sz w:val="21"/>
        </w:rPr>
        <w:t>Can reduce the need for through-flow movement at the far end of the autoclave.</w:t>
      </w:r>
    </w:p>
    <w:p>
      <w:pPr>
        <w:pStyle w:val="ListBullet"/>
        <w:widowControl/>
      </w:pPr>
      <w:r>
        <w:rPr>
          <w:rFonts w:ascii="Arial" w:hAnsi="Arial"/>
          <w:b w:val="0"/>
          <w:i w:val="0"/>
          <w:color w:val="0B1727"/>
          <w:sz w:val="21"/>
        </w:rPr>
        <w:t>May support a narrower building configuration in some projects.</w:t>
      </w:r>
    </w:p>
    <w:p>
      <w:pPr>
        <w:pStyle w:val="ListBullet"/>
        <w:widowControl/>
      </w:pPr>
      <w:r>
        <w:rPr>
          <w:rFonts w:ascii="Arial" w:hAnsi="Arial"/>
          <w:b w:val="0"/>
          <w:i w:val="0"/>
          <w:color w:val="0B1727"/>
          <w:sz w:val="21"/>
        </w:rPr>
        <w:t>Requires carefully planned sequencing for unloading, return movement and reloading.</w:t>
      </w:r>
    </w:p>
    <w:p>
      <w:pPr>
        <w:pStyle w:val="ListBullet"/>
        <w:widowControl/>
      </w:pPr>
      <w:r>
        <w:rPr>
          <w:rFonts w:ascii="Arial" w:hAnsi="Arial"/>
          <w:b w:val="0"/>
          <w:i w:val="0"/>
          <w:color w:val="0B1727"/>
          <w:sz w:val="21"/>
        </w:rPr>
        <w:t>Actual handling time depends on trolley quantity, automation, transfer equipment, operator sequence and plant controls.</w:t>
      </w:r>
    </w:p>
    <w:p>
      <w:pPr>
        <w:pStyle w:val="Heading3"/>
        <w:keepNext/>
        <w:widowControl/>
      </w:pPr>
      <w:r>
        <w:t>Double-door, through-flow arrangement</w:t>
      </w:r>
    </w:p>
    <w:p>
      <w:pPr>
        <w:widowControl/>
      </w:pPr>
      <w:r>
        <w:rPr>
          <w:rFonts w:ascii="Arial" w:hAnsi="Arial"/>
          <w:b w:val="0"/>
          <w:i w:val="0"/>
          <w:color w:val="0B1727"/>
          <w:sz w:val="21"/>
        </w:rPr>
        <w:t>In this arrangement, trolleys are normally loaded from one end and unloaded from the opposite end. It may be preferred where sufficient building width and circulation space are available and through-flow trolley movement supports the required operating sequence.</w:t>
      </w:r>
    </w:p>
    <w:p>
      <w:pPr>
        <w:pStyle w:val="ListBullet"/>
        <w:widowControl/>
      </w:pPr>
      <w:r>
        <w:rPr>
          <w:rFonts w:ascii="Arial" w:hAnsi="Arial"/>
          <w:b w:val="0"/>
          <w:i w:val="0"/>
          <w:color w:val="0B1727"/>
          <w:sz w:val="21"/>
        </w:rPr>
        <w:t>Separates the loading and unloading ends.</w:t>
      </w:r>
    </w:p>
    <w:p>
      <w:pPr>
        <w:pStyle w:val="ListBullet"/>
        <w:widowControl/>
      </w:pPr>
      <w:r>
        <w:rPr>
          <w:rFonts w:ascii="Arial" w:hAnsi="Arial"/>
          <w:b w:val="0"/>
          <w:i w:val="0"/>
          <w:color w:val="0B1727"/>
          <w:sz w:val="21"/>
        </w:rPr>
        <w:t>Can simplify through-flow trolley movement in a suitable plant configuration.</w:t>
      </w:r>
    </w:p>
    <w:p>
      <w:pPr>
        <w:pStyle w:val="ListBullet"/>
        <w:widowControl/>
      </w:pPr>
      <w:r>
        <w:rPr>
          <w:rFonts w:ascii="Arial" w:hAnsi="Arial"/>
          <w:b w:val="0"/>
          <w:i w:val="0"/>
          <w:color w:val="0B1727"/>
          <w:sz w:val="21"/>
        </w:rPr>
        <w:t>Requires adequate space, access, safety provisions and handling infrastructure at both ends.</w:t>
      </w:r>
    </w:p>
    <w:p>
      <w:pPr>
        <w:pStyle w:val="ListBullet"/>
        <w:widowControl/>
      </w:pPr>
      <w:r>
        <w:rPr>
          <w:rFonts w:ascii="Arial" w:hAnsi="Arial"/>
          <w:b w:val="0"/>
          <w:i w:val="0"/>
          <w:color w:val="0B1727"/>
          <w:sz w:val="21"/>
        </w:rPr>
        <w:t>Civil, PEB and equipment implications must be compared on the actual project layout.</w:t>
      </w:r>
    </w:p>
    <w:tbl>
      <w:tblPr>
        <w:tblW w:type="dxa" w:w="9360"/>
        <w:jc w:val="left"/>
        <w:tblLayout w:type="fixed"/>
        <w:tblLook w:firstColumn="1" w:firstRow="1" w:lastColumn="0" w:lastRow="0" w:noHBand="0" w:noVBand="1" w:val="04A0"/>
        <w:tblInd w:w="120" w:type="dxa"/>
      </w:tblPr>
      <w:tblGrid>
        <w:gridCol w:w="2000"/>
        <w:gridCol w:w="3650"/>
        <w:gridCol w:w="3710"/>
      </w:tblGrid>
      <w:tr>
        <w:tc>
          <w:tcPr>
            <w:tcW w:type="dxa" w:w="2000"/>
            <w:shd w:fill="0B1727"/>
            <w:tcMar>
              <w:top w:w="90" w:type="dxa"/>
              <w:start w:w="120" w:type="dxa"/>
              <w:bottom w:w="90" w:type="dxa"/>
              <w:end w:w="120" w:type="dxa"/>
            </w:tcMar>
            <w:vAlign w:val="center"/>
          </w:tcPr>
          <w:p>
            <w:pPr>
              <w:spacing w:after="0"/>
            </w:pPr>
            <w:r>
              <w:rPr>
                <w:rFonts w:ascii="Arial" w:hAnsi="Arial"/>
                <w:b/>
                <w:i w:val="0"/>
                <w:color w:val="FFFFFF"/>
                <w:sz w:val="18"/>
              </w:rPr>
              <w:t>Decision factor</w:t>
            </w:r>
          </w:p>
        </w:tc>
        <w:tc>
          <w:tcPr>
            <w:tcW w:type="dxa" w:w="3650"/>
            <w:shd w:fill="0B1727"/>
            <w:tcMar>
              <w:top w:w="90" w:type="dxa"/>
              <w:start w:w="120" w:type="dxa"/>
              <w:bottom w:w="90" w:type="dxa"/>
              <w:end w:w="120" w:type="dxa"/>
            </w:tcMar>
            <w:vAlign w:val="center"/>
          </w:tcPr>
          <w:p>
            <w:pPr>
              <w:spacing w:after="0"/>
            </w:pPr>
            <w:r>
              <w:rPr>
                <w:rFonts w:ascii="Arial" w:hAnsi="Arial"/>
                <w:b/>
                <w:i w:val="0"/>
                <w:color w:val="FFFFFF"/>
                <w:sz w:val="18"/>
              </w:rPr>
              <w:t>Single-door / same-side</w:t>
            </w:r>
          </w:p>
        </w:tc>
        <w:tc>
          <w:tcPr>
            <w:tcW w:type="dxa" w:w="3710"/>
            <w:shd w:fill="0B1727"/>
            <w:tcMar>
              <w:top w:w="90" w:type="dxa"/>
              <w:start w:w="120" w:type="dxa"/>
              <w:bottom w:w="90" w:type="dxa"/>
              <w:end w:w="120" w:type="dxa"/>
            </w:tcMar>
            <w:vAlign w:val="center"/>
          </w:tcPr>
          <w:p>
            <w:pPr>
              <w:spacing w:after="0"/>
            </w:pPr>
            <w:r>
              <w:rPr>
                <w:rFonts w:ascii="Arial" w:hAnsi="Arial"/>
                <w:b/>
                <w:i w:val="0"/>
                <w:color w:val="FFFFFF"/>
                <w:sz w:val="18"/>
              </w:rPr>
              <w:t>Double-door / through-flow</w:t>
            </w:r>
          </w:p>
        </w:tc>
        <w:trPr>
          <w:tblHeader/>
        </w:trPr>
      </w:tr>
      <w:tr>
        <w:tc>
          <w:tcPr>
            <w:tcW w:type="dxa" w:w="2000"/>
            <w:tcMar>
              <w:top w:w="90" w:type="dxa"/>
              <w:start w:w="120" w:type="dxa"/>
              <w:bottom w:w="90" w:type="dxa"/>
              <w:end w:w="120" w:type="dxa"/>
            </w:tcMar>
            <w:vAlign w:val="center"/>
          </w:tcPr>
          <w:p>
            <w:pPr>
              <w:spacing w:after="0" w:line="252" w:lineRule="auto"/>
            </w:pPr>
            <w:r>
              <w:rPr>
                <w:rFonts w:ascii="Arial" w:hAnsi="Arial"/>
                <w:b w:val="0"/>
                <w:i w:val="0"/>
                <w:color w:val="0B1727"/>
                <w:sz w:val="17"/>
              </w:rPr>
              <w:t>Trolley movement</w:t>
            </w:r>
          </w:p>
        </w:tc>
        <w:tc>
          <w:tcPr>
            <w:tcW w:type="dxa" w:w="3650"/>
            <w:tcMar>
              <w:top w:w="90" w:type="dxa"/>
              <w:start w:w="120" w:type="dxa"/>
              <w:bottom w:w="90" w:type="dxa"/>
              <w:end w:w="120" w:type="dxa"/>
            </w:tcMar>
            <w:vAlign w:val="center"/>
          </w:tcPr>
          <w:p>
            <w:pPr>
              <w:spacing w:after="0" w:line="252" w:lineRule="auto"/>
            </w:pPr>
            <w:r>
              <w:rPr>
                <w:rFonts w:ascii="Arial" w:hAnsi="Arial"/>
                <w:b w:val="0"/>
                <w:i w:val="0"/>
                <w:color w:val="0B1727"/>
                <w:sz w:val="17"/>
              </w:rPr>
              <w:t>Load and unload at one end</w:t>
            </w:r>
          </w:p>
        </w:tc>
        <w:tc>
          <w:tcPr>
            <w:tcW w:type="dxa" w:w="3710"/>
            <w:tcMar>
              <w:top w:w="90" w:type="dxa"/>
              <w:start w:w="120" w:type="dxa"/>
              <w:bottom w:w="90" w:type="dxa"/>
              <w:end w:w="120" w:type="dxa"/>
            </w:tcMar>
            <w:vAlign w:val="center"/>
          </w:tcPr>
          <w:p>
            <w:pPr>
              <w:spacing w:after="0" w:line="252" w:lineRule="auto"/>
            </w:pPr>
            <w:r>
              <w:rPr>
                <w:rFonts w:ascii="Arial" w:hAnsi="Arial"/>
                <w:b w:val="0"/>
                <w:i w:val="0"/>
                <w:color w:val="0B1727"/>
                <w:sz w:val="17"/>
              </w:rPr>
              <w:t>Load at one end, unload at the other</w:t>
            </w:r>
          </w:p>
        </w:tc>
      </w:tr>
      <w:tr>
        <w:tc>
          <w:tcPr>
            <w:tcW w:type="dxa" w:w="2000"/>
            <w:shd w:fill="F5F7F8"/>
            <w:tcMar>
              <w:top w:w="90" w:type="dxa"/>
              <w:start w:w="120" w:type="dxa"/>
              <w:bottom w:w="90" w:type="dxa"/>
              <w:end w:w="120" w:type="dxa"/>
            </w:tcMar>
            <w:vAlign w:val="center"/>
          </w:tcPr>
          <w:p>
            <w:pPr>
              <w:spacing w:after="0" w:line="252" w:lineRule="auto"/>
            </w:pPr>
            <w:r>
              <w:rPr>
                <w:rFonts w:ascii="Arial" w:hAnsi="Arial"/>
                <w:b w:val="0"/>
                <w:i w:val="0"/>
                <w:color w:val="0B1727"/>
                <w:sz w:val="17"/>
              </w:rPr>
              <w:t>Building arrangement</w:t>
            </w:r>
          </w:p>
        </w:tc>
        <w:tc>
          <w:tcPr>
            <w:tcW w:type="dxa" w:w="3650"/>
            <w:shd w:fill="F5F7F8"/>
            <w:tcMar>
              <w:top w:w="90" w:type="dxa"/>
              <w:start w:w="120" w:type="dxa"/>
              <w:bottom w:w="90" w:type="dxa"/>
              <w:end w:w="120" w:type="dxa"/>
            </w:tcMar>
            <w:vAlign w:val="center"/>
          </w:tcPr>
          <w:p>
            <w:pPr>
              <w:spacing w:after="0" w:line="252" w:lineRule="auto"/>
            </w:pPr>
            <w:r>
              <w:rPr>
                <w:rFonts w:ascii="Arial" w:hAnsi="Arial"/>
                <w:b w:val="0"/>
                <w:i w:val="0"/>
                <w:color w:val="0B1727"/>
                <w:sz w:val="17"/>
              </w:rPr>
              <w:t>May suit restricted width</w:t>
            </w:r>
          </w:p>
        </w:tc>
        <w:tc>
          <w:tcPr>
            <w:tcW w:type="dxa" w:w="3710"/>
            <w:shd w:fill="F5F7F8"/>
            <w:tcMar>
              <w:top w:w="90" w:type="dxa"/>
              <w:start w:w="120" w:type="dxa"/>
              <w:bottom w:w="90" w:type="dxa"/>
              <w:end w:w="120" w:type="dxa"/>
            </w:tcMar>
            <w:vAlign w:val="center"/>
          </w:tcPr>
          <w:p>
            <w:pPr>
              <w:spacing w:after="0" w:line="252" w:lineRule="auto"/>
            </w:pPr>
            <w:r>
              <w:rPr>
                <w:rFonts w:ascii="Arial" w:hAnsi="Arial"/>
                <w:b w:val="0"/>
                <w:i w:val="0"/>
                <w:color w:val="0B1727"/>
                <w:sz w:val="17"/>
              </w:rPr>
              <w:t>Requires working access at both ends</w:t>
            </w:r>
          </w:p>
        </w:tc>
      </w:tr>
      <w:tr>
        <w:tc>
          <w:tcPr>
            <w:tcW w:type="dxa" w:w="2000"/>
            <w:tcMar>
              <w:top w:w="90" w:type="dxa"/>
              <w:start w:w="120" w:type="dxa"/>
              <w:bottom w:w="90" w:type="dxa"/>
              <w:end w:w="120" w:type="dxa"/>
            </w:tcMar>
            <w:vAlign w:val="center"/>
          </w:tcPr>
          <w:p>
            <w:pPr>
              <w:spacing w:after="0" w:line="252" w:lineRule="auto"/>
            </w:pPr>
            <w:r>
              <w:rPr>
                <w:rFonts w:ascii="Arial" w:hAnsi="Arial"/>
                <w:b w:val="0"/>
                <w:i w:val="0"/>
                <w:color w:val="0B1727"/>
                <w:sz w:val="17"/>
              </w:rPr>
              <w:t>Handling sequence</w:t>
            </w:r>
          </w:p>
        </w:tc>
        <w:tc>
          <w:tcPr>
            <w:tcW w:type="dxa" w:w="3650"/>
            <w:tcMar>
              <w:top w:w="90" w:type="dxa"/>
              <w:start w:w="120" w:type="dxa"/>
              <w:bottom w:w="90" w:type="dxa"/>
              <w:end w:w="120" w:type="dxa"/>
            </w:tcMar>
            <w:vAlign w:val="center"/>
          </w:tcPr>
          <w:p>
            <w:pPr>
              <w:spacing w:after="0" w:line="252" w:lineRule="auto"/>
            </w:pPr>
            <w:r>
              <w:rPr>
                <w:rFonts w:ascii="Arial" w:hAnsi="Arial"/>
                <w:b w:val="0"/>
                <w:i w:val="0"/>
                <w:color w:val="0B1727"/>
                <w:sz w:val="17"/>
              </w:rPr>
              <w:t>Return and sequencing are critical</w:t>
            </w:r>
          </w:p>
        </w:tc>
        <w:tc>
          <w:tcPr>
            <w:tcW w:type="dxa" w:w="3710"/>
            <w:tcMar>
              <w:top w:w="90" w:type="dxa"/>
              <w:start w:w="120" w:type="dxa"/>
              <w:bottom w:w="90" w:type="dxa"/>
              <w:end w:w="120" w:type="dxa"/>
            </w:tcMar>
            <w:vAlign w:val="center"/>
          </w:tcPr>
          <w:p>
            <w:pPr>
              <w:spacing w:after="0" w:line="252" w:lineRule="auto"/>
            </w:pPr>
            <w:r>
              <w:rPr>
                <w:rFonts w:ascii="Arial" w:hAnsi="Arial"/>
                <w:b w:val="0"/>
                <w:i w:val="0"/>
                <w:color w:val="0B1727"/>
                <w:sz w:val="17"/>
              </w:rPr>
              <w:t>Through-flow sequence can be more direct</w:t>
            </w:r>
          </w:p>
        </w:tc>
      </w:tr>
      <w:tr>
        <w:tc>
          <w:tcPr>
            <w:tcW w:type="dxa" w:w="2000"/>
            <w:shd w:fill="F5F7F8"/>
            <w:tcMar>
              <w:top w:w="90" w:type="dxa"/>
              <w:start w:w="120" w:type="dxa"/>
              <w:bottom w:w="90" w:type="dxa"/>
              <w:end w:w="120" w:type="dxa"/>
            </w:tcMar>
            <w:vAlign w:val="center"/>
          </w:tcPr>
          <w:p>
            <w:pPr>
              <w:spacing w:after="0" w:line="252" w:lineRule="auto"/>
            </w:pPr>
            <w:r>
              <w:rPr>
                <w:rFonts w:ascii="Arial" w:hAnsi="Arial"/>
                <w:b w:val="0"/>
                <w:i w:val="0"/>
                <w:color w:val="0B1727"/>
                <w:sz w:val="17"/>
              </w:rPr>
              <w:t>Turnaround time</w:t>
            </w:r>
          </w:p>
        </w:tc>
        <w:tc>
          <w:tcPr>
            <w:tcW w:type="dxa" w:w="3650"/>
            <w:shd w:fill="F5F7F8"/>
            <w:tcMar>
              <w:top w:w="90" w:type="dxa"/>
              <w:start w:w="120" w:type="dxa"/>
              <w:bottom w:w="90" w:type="dxa"/>
              <w:end w:w="120" w:type="dxa"/>
            </w:tcMar>
            <w:vAlign w:val="center"/>
          </w:tcPr>
          <w:p>
            <w:pPr>
              <w:spacing w:after="0" w:line="252" w:lineRule="auto"/>
            </w:pPr>
            <w:r>
              <w:rPr>
                <w:rFonts w:ascii="Arial" w:hAnsi="Arial"/>
                <w:b w:val="0"/>
                <w:i w:val="0"/>
                <w:color w:val="0B1727"/>
                <w:sz w:val="17"/>
              </w:rPr>
              <w:t>Project-specific; calculate from actual handling sequence</w:t>
            </w:r>
          </w:p>
        </w:tc>
        <w:tc>
          <w:tcPr>
            <w:tcW w:type="dxa" w:w="3710"/>
            <w:shd w:fill="F5F7F8"/>
            <w:tcMar>
              <w:top w:w="90" w:type="dxa"/>
              <w:start w:w="120" w:type="dxa"/>
              <w:bottom w:w="90" w:type="dxa"/>
              <w:end w:w="120" w:type="dxa"/>
            </w:tcMar>
            <w:vAlign w:val="center"/>
          </w:tcPr>
          <w:p>
            <w:pPr>
              <w:spacing w:after="0" w:line="252" w:lineRule="auto"/>
            </w:pPr>
            <w:r>
              <w:rPr>
                <w:rFonts w:ascii="Arial" w:hAnsi="Arial"/>
                <w:b w:val="0"/>
                <w:i w:val="0"/>
                <w:color w:val="0B1727"/>
                <w:sz w:val="17"/>
              </w:rPr>
              <w:t>Project-specific; calculate from actual handling sequence</w:t>
            </w:r>
          </w:p>
        </w:tc>
      </w:tr>
      <w:tr>
        <w:tc>
          <w:tcPr>
            <w:tcW w:type="dxa" w:w="2000"/>
            <w:tcMar>
              <w:top w:w="90" w:type="dxa"/>
              <w:start w:w="120" w:type="dxa"/>
              <w:bottom w:w="90" w:type="dxa"/>
              <w:end w:w="120" w:type="dxa"/>
            </w:tcMar>
            <w:vAlign w:val="center"/>
          </w:tcPr>
          <w:p>
            <w:pPr>
              <w:spacing w:after="0" w:line="252" w:lineRule="auto"/>
            </w:pPr>
            <w:r>
              <w:rPr>
                <w:rFonts w:ascii="Arial" w:hAnsi="Arial"/>
                <w:b w:val="0"/>
                <w:i w:val="0"/>
                <w:color w:val="0B1727"/>
                <w:sz w:val="17"/>
              </w:rPr>
              <w:t>Civil and PEB effect</w:t>
            </w:r>
          </w:p>
        </w:tc>
        <w:tc>
          <w:tcPr>
            <w:tcW w:type="dxa" w:w="3650"/>
            <w:tcMar>
              <w:top w:w="90" w:type="dxa"/>
              <w:start w:w="120" w:type="dxa"/>
              <w:bottom w:w="90" w:type="dxa"/>
              <w:end w:w="120" w:type="dxa"/>
            </w:tcMar>
            <w:vAlign w:val="center"/>
          </w:tcPr>
          <w:p>
            <w:pPr>
              <w:spacing w:after="0" w:line="252" w:lineRule="auto"/>
            </w:pPr>
            <w:r>
              <w:rPr>
                <w:rFonts w:ascii="Arial" w:hAnsi="Arial"/>
                <w:b w:val="0"/>
                <w:i w:val="0"/>
                <w:color w:val="0B1727"/>
                <w:sz w:val="17"/>
              </w:rPr>
              <w:t>Can be lower in some layouts, but must be quantified</w:t>
            </w:r>
          </w:p>
        </w:tc>
        <w:tc>
          <w:tcPr>
            <w:tcW w:type="dxa" w:w="3710"/>
            <w:tcMar>
              <w:top w:w="90" w:type="dxa"/>
              <w:start w:w="120" w:type="dxa"/>
              <w:bottom w:w="90" w:type="dxa"/>
              <w:end w:w="120" w:type="dxa"/>
            </w:tcMar>
            <w:vAlign w:val="center"/>
          </w:tcPr>
          <w:p>
            <w:pPr>
              <w:spacing w:after="0" w:line="252" w:lineRule="auto"/>
            </w:pPr>
            <w:r>
              <w:rPr>
                <w:rFonts w:ascii="Arial" w:hAnsi="Arial"/>
                <w:b w:val="0"/>
                <w:i w:val="0"/>
                <w:color w:val="0B1727"/>
                <w:sz w:val="17"/>
              </w:rPr>
              <w:t>May require additional width or circulation; quantify project-wise</w:t>
            </w:r>
          </w:p>
        </w:tc>
      </w:tr>
      <w:tr>
        <w:tc>
          <w:tcPr>
            <w:tcW w:type="dxa" w:w="2000"/>
            <w:shd w:fill="F5F7F8"/>
            <w:tcMar>
              <w:top w:w="90" w:type="dxa"/>
              <w:start w:w="120" w:type="dxa"/>
              <w:bottom w:w="90" w:type="dxa"/>
              <w:end w:w="120" w:type="dxa"/>
            </w:tcMar>
            <w:vAlign w:val="center"/>
          </w:tcPr>
          <w:p>
            <w:pPr>
              <w:spacing w:after="0" w:line="252" w:lineRule="auto"/>
            </w:pPr>
            <w:r>
              <w:rPr>
                <w:rFonts w:ascii="Arial" w:hAnsi="Arial"/>
                <w:b w:val="0"/>
                <w:i w:val="0"/>
                <w:color w:val="0B1727"/>
                <w:sz w:val="17"/>
              </w:rPr>
              <w:t>Product quality</w:t>
            </w:r>
          </w:p>
        </w:tc>
        <w:tc>
          <w:tcPr>
            <w:tcW w:type="dxa" w:w="3650"/>
            <w:shd w:fill="F5F7F8"/>
            <w:tcMar>
              <w:top w:w="90" w:type="dxa"/>
              <w:start w:w="120" w:type="dxa"/>
              <w:bottom w:w="90" w:type="dxa"/>
              <w:end w:w="120" w:type="dxa"/>
            </w:tcMar>
            <w:vAlign w:val="center"/>
          </w:tcPr>
          <w:p>
            <w:pPr>
              <w:spacing w:after="0" w:line="252" w:lineRule="auto"/>
            </w:pPr>
            <w:r>
              <w:rPr>
                <w:rFonts w:ascii="Arial" w:hAnsi="Arial"/>
                <w:b w:val="0"/>
                <w:i w:val="0"/>
                <w:color w:val="0B1727"/>
                <w:sz w:val="17"/>
              </w:rPr>
              <w:t>Not determined by door count alone</w:t>
            </w:r>
          </w:p>
        </w:tc>
        <w:tc>
          <w:tcPr>
            <w:tcW w:type="dxa" w:w="3710"/>
            <w:shd w:fill="F5F7F8"/>
            <w:tcMar>
              <w:top w:w="90" w:type="dxa"/>
              <w:start w:w="120" w:type="dxa"/>
              <w:bottom w:w="90" w:type="dxa"/>
              <w:end w:w="120" w:type="dxa"/>
            </w:tcMar>
            <w:vAlign w:val="center"/>
          </w:tcPr>
          <w:p>
            <w:pPr>
              <w:spacing w:after="0" w:line="252" w:lineRule="auto"/>
            </w:pPr>
            <w:r>
              <w:rPr>
                <w:rFonts w:ascii="Arial" w:hAnsi="Arial"/>
                <w:b w:val="0"/>
                <w:i w:val="0"/>
                <w:color w:val="0B1727"/>
                <w:sz w:val="17"/>
              </w:rPr>
              <w:t>Not determined by door count alone</w:t>
            </w:r>
          </w:p>
        </w:tc>
      </w:tr>
      <w:tr>
        <w:tc>
          <w:tcPr>
            <w:tcW w:type="dxa" w:w="2000"/>
            <w:tcMar>
              <w:top w:w="90" w:type="dxa"/>
              <w:start w:w="120" w:type="dxa"/>
              <w:bottom w:w="90" w:type="dxa"/>
              <w:end w:w="120" w:type="dxa"/>
            </w:tcMar>
            <w:vAlign w:val="center"/>
          </w:tcPr>
          <w:p>
            <w:pPr>
              <w:spacing w:after="0" w:line="252" w:lineRule="auto"/>
            </w:pPr>
            <w:r>
              <w:rPr>
                <w:rFonts w:ascii="Arial" w:hAnsi="Arial"/>
                <w:b w:val="0"/>
                <w:i w:val="0"/>
                <w:color w:val="0B1727"/>
                <w:sz w:val="17"/>
              </w:rPr>
              <w:t>Capacity conclusion</w:t>
            </w:r>
          </w:p>
        </w:tc>
        <w:tc>
          <w:tcPr>
            <w:tcW w:type="dxa" w:w="3650"/>
            <w:tcMar>
              <w:top w:w="90" w:type="dxa"/>
              <w:start w:w="120" w:type="dxa"/>
              <w:bottom w:w="90" w:type="dxa"/>
              <w:end w:w="120" w:type="dxa"/>
            </w:tcMar>
            <w:vAlign w:val="center"/>
          </w:tcPr>
          <w:p>
            <w:pPr>
              <w:spacing w:after="0" w:line="252" w:lineRule="auto"/>
            </w:pPr>
            <w:r>
              <w:rPr>
                <w:rFonts w:ascii="Arial" w:hAnsi="Arial"/>
                <w:b w:val="0"/>
                <w:i w:val="0"/>
                <w:color w:val="0B1727"/>
                <w:sz w:val="17"/>
              </w:rPr>
              <w:t>Requires full system calculation</w:t>
            </w:r>
          </w:p>
        </w:tc>
        <w:tc>
          <w:tcPr>
            <w:tcW w:type="dxa" w:w="3710"/>
            <w:tcMar>
              <w:top w:w="90" w:type="dxa"/>
              <w:start w:w="120" w:type="dxa"/>
              <w:bottom w:w="90" w:type="dxa"/>
              <w:end w:w="120" w:type="dxa"/>
            </w:tcMar>
            <w:vAlign w:val="center"/>
          </w:tcPr>
          <w:p>
            <w:pPr>
              <w:spacing w:after="0" w:line="252" w:lineRule="auto"/>
            </w:pPr>
            <w:r>
              <w:rPr>
                <w:rFonts w:ascii="Arial" w:hAnsi="Arial"/>
                <w:b w:val="0"/>
                <w:i w:val="0"/>
                <w:color w:val="0B1727"/>
                <w:sz w:val="17"/>
              </w:rPr>
              <w:t>Requires full system calculation</w:t>
            </w:r>
          </w:p>
        </w:tc>
      </w:tr>
    </w:tbl>
    <w:p>
      <w:pPr>
        <w:widowControl/>
        <w:spacing w:after="20"/>
      </w:pPr>
    </w:p>
    <w:p>
      <w:pPr>
        <w:widowControl/>
      </w:pPr>
      <w:r>
        <w:rPr>
          <w:rFonts w:ascii="Arial" w:hAnsi="Arial"/>
          <w:b w:val="0"/>
          <w:i w:val="0"/>
          <w:color w:val="0B1727"/>
          <w:sz w:val="21"/>
        </w:rPr>
        <w:t>A single-door arrangement is not automatically technically inferior, and a double-door arrangement is not automatically the better investment. The correct decision requires a techno-economic comparison based on the planned output, handling sequence, autoclave availability, civil scope, automation and future expansion.</w:t>
      </w:r>
    </w:p>
    <w:p>
      <w:pPr>
        <w:pStyle w:val="Heading2"/>
        <w:keepNext/>
        <w:widowControl/>
      </w:pPr>
      <w:r>
        <w:t>How Autoclave Requirements Should Be Evaluated</w:t>
      </w:r>
    </w:p>
    <w:p>
      <w:pPr>
        <w:widowControl/>
      </w:pPr>
      <w:r>
        <w:rPr>
          <w:rFonts w:ascii="Arial" w:hAnsi="Arial"/>
          <w:b w:val="0"/>
          <w:i w:val="0"/>
          <w:color w:val="0B1727"/>
          <w:sz w:val="21"/>
        </w:rPr>
        <w:t>The number of autoclaves cannot be selected from plant capacity alone. It must be calculated from the complete production and curing cycle. Relevant inputs include:</w:t>
      </w:r>
    </w:p>
    <w:p>
      <w:pPr>
        <w:pStyle w:val="ListBullet"/>
        <w:widowControl/>
      </w:pPr>
      <w:r>
        <w:rPr>
          <w:rFonts w:ascii="Arial" w:hAnsi="Arial"/>
          <w:b w:val="0"/>
          <w:i w:val="0"/>
          <w:color w:val="0B1727"/>
          <w:sz w:val="21"/>
        </w:rPr>
        <w:t>Target daily output and planned operating hours.</w:t>
      </w:r>
    </w:p>
    <w:p>
      <w:pPr>
        <w:pStyle w:val="ListBullet"/>
        <w:widowControl/>
      </w:pPr>
      <w:r>
        <w:rPr>
          <w:rFonts w:ascii="Arial" w:hAnsi="Arial"/>
          <w:b w:val="0"/>
          <w:i w:val="0"/>
          <w:color w:val="0B1727"/>
          <w:sz w:val="21"/>
        </w:rPr>
        <w:t>Green-cake or trolley load per autoclave charge.</w:t>
      </w:r>
    </w:p>
    <w:p>
      <w:pPr>
        <w:pStyle w:val="ListBullet"/>
        <w:widowControl/>
      </w:pPr>
      <w:r>
        <w:rPr>
          <w:rFonts w:ascii="Arial" w:hAnsi="Arial"/>
          <w:b w:val="0"/>
          <w:i w:val="0"/>
          <w:color w:val="0B1727"/>
          <w:sz w:val="21"/>
        </w:rPr>
        <w:t>Steam admission, curing, depressurization and door-operation time.</w:t>
      </w:r>
    </w:p>
    <w:p>
      <w:pPr>
        <w:pStyle w:val="ListBullet"/>
        <w:widowControl/>
      </w:pPr>
      <w:r>
        <w:rPr>
          <w:rFonts w:ascii="Arial" w:hAnsi="Arial"/>
          <w:b w:val="0"/>
          <w:i w:val="0"/>
          <w:color w:val="0B1727"/>
          <w:sz w:val="21"/>
        </w:rPr>
        <w:t>Loading, unloading and transfer time.</w:t>
      </w:r>
    </w:p>
    <w:p>
      <w:pPr>
        <w:pStyle w:val="ListBullet"/>
        <w:widowControl/>
      </w:pPr>
      <w:r>
        <w:rPr>
          <w:rFonts w:ascii="Arial" w:hAnsi="Arial"/>
          <w:b w:val="0"/>
          <w:i w:val="0"/>
          <w:color w:val="0B1727"/>
          <w:sz w:val="21"/>
        </w:rPr>
        <w:t>Number of trolleys, moulds and circulation paths.</w:t>
      </w:r>
    </w:p>
    <w:p>
      <w:pPr>
        <w:pStyle w:val="ListBullet"/>
        <w:widowControl/>
      </w:pPr>
      <w:r>
        <w:rPr>
          <w:rFonts w:ascii="Arial" w:hAnsi="Arial"/>
          <w:b w:val="0"/>
          <w:i w:val="0"/>
          <w:color w:val="0B1727"/>
          <w:sz w:val="21"/>
        </w:rPr>
        <w:t>Expected equipment availability and maintenance allowance.</w:t>
      </w:r>
    </w:p>
    <w:p>
      <w:pPr>
        <w:pStyle w:val="ListBullet"/>
        <w:widowControl/>
      </w:pPr>
      <w:r>
        <w:rPr>
          <w:rFonts w:ascii="Arial" w:hAnsi="Arial"/>
          <w:b w:val="0"/>
          <w:i w:val="0"/>
          <w:color w:val="0B1727"/>
          <w:sz w:val="21"/>
        </w:rPr>
        <w:t>Cutting-line, packing-line and boiler constraints.</w:t>
      </w:r>
    </w:p>
    <w:p>
      <w:pPr>
        <w:widowControl/>
      </w:pPr>
      <w:r>
        <w:rPr>
          <w:rFonts w:ascii="Arial" w:hAnsi="Arial"/>
          <w:b w:val="0"/>
          <w:i w:val="0"/>
          <w:color w:val="0B1727"/>
          <w:sz w:val="21"/>
        </w:rPr>
        <w:t>An additional autoclave may be evaluated in some projects, but it should never be treated as an automatic solution to a layout bottleneck. The project team must confirm that cutting, trolley circulation, steam supply, condensate handling and packing can support the proposed capacity.</w:t>
      </w:r>
    </w:p>
    <w:p>
      <w:pPr>
        <w:pStyle w:val="Heading2"/>
        <w:keepNext/>
        <w:widowControl/>
      </w:pPr>
      <w:r>
        <w:t>Other Factors That Influence an AAC Factory Layout</w:t>
      </w:r>
    </w:p>
    <w:p>
      <w:pPr>
        <w:pStyle w:val="Heading3"/>
        <w:keepNext/>
        <w:widowControl/>
      </w:pPr>
      <w:r>
        <w:t>Raw-material and slurry movement</w:t>
      </w:r>
    </w:p>
    <w:p>
      <w:pPr>
        <w:widowControl/>
      </w:pPr>
      <w:r>
        <w:rPr>
          <w:rFonts w:ascii="Arial" w:hAnsi="Arial"/>
          <w:b w:val="0"/>
          <w:i w:val="0"/>
          <w:color w:val="0B1727"/>
          <w:sz w:val="21"/>
        </w:rPr>
        <w:t>Vehicle unloading, grinding, silos, slurry tanks, dosing and housekeeping must be arranged to avoid unnecessary transfer distances and interference with production or dispatch traffic.</w:t>
      </w:r>
    </w:p>
    <w:p>
      <w:pPr>
        <w:pStyle w:val="Heading3"/>
        <w:keepNext/>
        <w:widowControl/>
      </w:pPr>
      <w:r>
        <w:t>Mould, side-plate and trolley circulation</w:t>
      </w:r>
    </w:p>
    <w:p>
      <w:pPr>
        <w:widowControl/>
      </w:pPr>
      <w:r>
        <w:rPr>
          <w:rFonts w:ascii="Arial" w:hAnsi="Arial"/>
          <w:b w:val="0"/>
          <w:i w:val="0"/>
          <w:color w:val="0B1727"/>
          <w:sz w:val="21"/>
        </w:rPr>
        <w:t>The forward production flow is only one part of the system. Return routes for empty moulds, side plates, pallets and autoclave trolleys must also be shown and cycle-checked.</w:t>
      </w:r>
    </w:p>
    <w:p>
      <w:pPr>
        <w:pStyle w:val="Heading3"/>
        <w:keepNext/>
        <w:widowControl/>
      </w:pPr>
      <w:r>
        <w:t>Packing and finished-goods dispatch</w:t>
      </w:r>
    </w:p>
    <w:p>
      <w:pPr>
        <w:widowControl/>
      </w:pPr>
      <w:r>
        <w:rPr>
          <w:rFonts w:ascii="Arial" w:hAnsi="Arial"/>
          <w:b w:val="0"/>
          <w:i w:val="0"/>
          <w:color w:val="0B1727"/>
          <w:sz w:val="21"/>
        </w:rPr>
        <w:t>The packing method, forklift movement, curing release pattern, inventory policy and truck dispatch rate determine how much circulation and storage area is required.</w:t>
      </w:r>
    </w:p>
    <w:p>
      <w:pPr>
        <w:pStyle w:val="Heading3"/>
        <w:keepNext/>
        <w:widowControl/>
      </w:pPr>
      <w:r>
        <w:t>Utilities and service corridors</w:t>
      </w:r>
    </w:p>
    <w:p>
      <w:pPr>
        <w:widowControl/>
      </w:pPr>
      <w:r>
        <w:rPr>
          <w:rFonts w:ascii="Arial" w:hAnsi="Arial"/>
          <w:b w:val="0"/>
          <w:i w:val="0"/>
          <w:color w:val="0B1727"/>
          <w:sz w:val="21"/>
        </w:rPr>
        <w:t>The layout should coordinate the boiler and steam route, condensate return, electrical rooms, water systems, compressors, laboratory, workshop, control rooms and maintenance access. Utility routing should allow safe isolation and future extension.</w:t>
      </w:r>
    </w:p>
    <w:p>
      <w:pPr>
        <w:pStyle w:val="Heading3"/>
        <w:keepNext/>
        <w:widowControl/>
      </w:pPr>
      <w:r>
        <w:t>Safety and maintainability</w:t>
      </w:r>
    </w:p>
    <w:p>
      <w:pPr>
        <w:widowControl/>
      </w:pPr>
      <w:r>
        <w:rPr>
          <w:rFonts w:ascii="Arial" w:hAnsi="Arial"/>
          <w:b w:val="0"/>
          <w:i w:val="0"/>
          <w:color w:val="0B1727"/>
          <w:sz w:val="21"/>
        </w:rPr>
        <w:t>The design should provide controlled access around pressure vessels and moving equipment, safe pedestrian routes, lifting and removal space, emergency access, operator visibility and maintenance clearances. Applicable statutory and design requirements must be confirmed for the project location and equipment scope.</w:t>
      </w:r>
    </w:p>
    <w:p>
      <w:pPr>
        <w:pStyle w:val="Heading3"/>
        <w:keepNext/>
        <w:widowControl/>
      </w:pPr>
      <w:r>
        <w:t>Drainage and Indian site conditions</w:t>
      </w:r>
    </w:p>
    <w:p>
      <w:pPr>
        <w:widowControl/>
      </w:pPr>
      <w:r>
        <w:rPr>
          <w:rFonts w:ascii="Arial" w:hAnsi="Arial"/>
          <w:b w:val="0"/>
          <w:i w:val="0"/>
          <w:color w:val="0B1727"/>
          <w:sz w:val="21"/>
        </w:rPr>
        <w:t>Site levels, rainwater drainage, process-water collection, slurry containment and monsoon access should be addressed early. A visually compact layout is not practical if water accumulation or vehicle movement interrupts production.</w:t>
      </w:r>
    </w:p>
    <w:p>
      <w:pPr>
        <w:pStyle w:val="Heading3"/>
        <w:keepNext/>
        <w:widowControl/>
      </w:pPr>
      <w:r>
        <w:t>Block and panel production</w:t>
      </w:r>
    </w:p>
    <w:p>
      <w:pPr>
        <w:widowControl/>
      </w:pPr>
      <w:r>
        <w:rPr>
          <w:rFonts w:ascii="Arial" w:hAnsi="Arial"/>
          <w:b w:val="0"/>
          <w:i w:val="0"/>
          <w:color w:val="0B1727"/>
          <w:sz w:val="21"/>
        </w:rPr>
        <w:t>A plant intended to manufacture reinforced panels may require reinforcement preparation, additional product handling, different cutting or finishing steps and more flexible scheduling. Product mix should be defined before the layout is frozen.</w:t>
      </w:r>
    </w:p>
    <w:p>
      <w:pPr>
        <w:pStyle w:val="Heading2"/>
        <w:keepNext/>
        <w:widowControl/>
      </w:pPr>
      <w:r>
        <w:t>Planning the Layout for Future Expansion</w:t>
      </w:r>
    </w:p>
    <w:p>
      <w:pPr>
        <w:widowControl/>
      </w:pPr>
      <w:r>
        <w:rPr>
          <w:rFonts w:ascii="Arial" w:hAnsi="Arial"/>
          <w:b w:val="0"/>
          <w:i w:val="0"/>
          <w:color w:val="0B1727"/>
          <w:sz w:val="21"/>
        </w:rPr>
        <w:t>Future expansion should be planned as a defined second phase, not represented only by an empty area on the drawing. The initial layout should identify what will be added, how it will connect and whether installation can occur without blocking current production.</w:t>
      </w:r>
    </w:p>
    <w:tbl>
      <w:tblPr>
        <w:tblW w:type="dxa" w:w="9360"/>
        <w:jc w:val="left"/>
        <w:tblLayout w:type="fixed"/>
        <w:tblLook w:firstColumn="1" w:firstRow="1" w:lastColumn="0" w:lastRow="0" w:noHBand="0" w:noVBand="1" w:val="04A0"/>
        <w:tblInd w:w="120" w:type="dxa"/>
      </w:tblPr>
      <w:tblGrid>
        <w:gridCol w:w="2700"/>
        <w:gridCol w:w="6660"/>
      </w:tblGrid>
      <w:tr>
        <w:tc>
          <w:tcPr>
            <w:tcW w:type="dxa" w:w="2700"/>
            <w:shd w:fill="0B1727"/>
            <w:tcMar>
              <w:top w:w="90" w:type="dxa"/>
              <w:start w:w="120" w:type="dxa"/>
              <w:bottom w:w="90" w:type="dxa"/>
              <w:end w:w="120" w:type="dxa"/>
            </w:tcMar>
            <w:vAlign w:val="center"/>
          </w:tcPr>
          <w:p>
            <w:pPr>
              <w:spacing w:after="0"/>
            </w:pPr>
            <w:r>
              <w:rPr>
                <w:rFonts w:ascii="Arial" w:hAnsi="Arial"/>
                <w:b/>
                <w:i w:val="0"/>
                <w:color w:val="FFFFFF"/>
                <w:sz w:val="18"/>
              </w:rPr>
              <w:t>Expansion provision</w:t>
            </w:r>
          </w:p>
        </w:tc>
        <w:tc>
          <w:tcPr>
            <w:tcW w:type="dxa" w:w="6660"/>
            <w:shd w:fill="0B1727"/>
            <w:tcMar>
              <w:top w:w="90" w:type="dxa"/>
              <w:start w:w="120" w:type="dxa"/>
              <w:bottom w:w="90" w:type="dxa"/>
              <w:end w:w="120" w:type="dxa"/>
            </w:tcMar>
            <w:vAlign w:val="center"/>
          </w:tcPr>
          <w:p>
            <w:pPr>
              <w:spacing w:after="0"/>
            </w:pPr>
            <w:r>
              <w:rPr>
                <w:rFonts w:ascii="Arial" w:hAnsi="Arial"/>
                <w:b/>
                <w:i w:val="0"/>
                <w:color w:val="FFFFFF"/>
                <w:sz w:val="18"/>
              </w:rPr>
              <w:t>What should be checked initially</w:t>
            </w:r>
          </w:p>
        </w:tc>
        <w:trPr>
          <w:tblHeader/>
        </w:trPr>
      </w:tr>
      <w:tr>
        <w:tc>
          <w:tcPr>
            <w:tcW w:type="dxa" w:w="2700"/>
            <w:tcMar>
              <w:top w:w="90" w:type="dxa"/>
              <w:start w:w="120" w:type="dxa"/>
              <w:bottom w:w="90" w:type="dxa"/>
              <w:end w:w="120" w:type="dxa"/>
            </w:tcMar>
            <w:vAlign w:val="center"/>
          </w:tcPr>
          <w:p>
            <w:pPr>
              <w:spacing w:after="0" w:line="252" w:lineRule="auto"/>
            </w:pPr>
            <w:r>
              <w:rPr>
                <w:rFonts w:ascii="Arial" w:hAnsi="Arial"/>
                <w:b w:val="0"/>
                <w:i w:val="0"/>
                <w:color w:val="0B1727"/>
                <w:sz w:val="17"/>
              </w:rPr>
              <w:t>Additional autoclaves</w:t>
            </w:r>
          </w:p>
        </w:tc>
        <w:tc>
          <w:tcPr>
            <w:tcW w:type="dxa" w:w="6660"/>
            <w:tcMar>
              <w:top w:w="90" w:type="dxa"/>
              <w:start w:w="120" w:type="dxa"/>
              <w:bottom w:w="90" w:type="dxa"/>
              <w:end w:w="120" w:type="dxa"/>
            </w:tcMar>
            <w:vAlign w:val="center"/>
          </w:tcPr>
          <w:p>
            <w:pPr>
              <w:spacing w:after="0" w:line="252" w:lineRule="auto"/>
            </w:pPr>
            <w:r>
              <w:rPr>
                <w:rFonts w:ascii="Arial" w:hAnsi="Arial"/>
                <w:b w:val="0"/>
                <w:i w:val="0"/>
                <w:color w:val="0B1727"/>
                <w:sz w:val="17"/>
              </w:rPr>
              <w:t>Foundation zone, trolley route, steam and condensate capacity, safe access</w:t>
            </w:r>
          </w:p>
        </w:tc>
      </w:tr>
      <w:tr>
        <w:tc>
          <w:tcPr>
            <w:tcW w:type="dxa" w:w="2700"/>
            <w:shd w:fill="F5F7F8"/>
            <w:tcMar>
              <w:top w:w="90" w:type="dxa"/>
              <w:start w:w="120" w:type="dxa"/>
              <w:bottom w:w="90" w:type="dxa"/>
              <w:end w:w="120" w:type="dxa"/>
            </w:tcMar>
            <w:vAlign w:val="center"/>
          </w:tcPr>
          <w:p>
            <w:pPr>
              <w:spacing w:after="0" w:line="252" w:lineRule="auto"/>
            </w:pPr>
            <w:r>
              <w:rPr>
                <w:rFonts w:ascii="Arial" w:hAnsi="Arial"/>
                <w:b w:val="0"/>
                <w:i w:val="0"/>
                <w:color w:val="0B1727"/>
                <w:sz w:val="17"/>
              </w:rPr>
              <w:t>Additional moulds</w:t>
            </w:r>
          </w:p>
        </w:tc>
        <w:tc>
          <w:tcPr>
            <w:tcW w:type="dxa" w:w="6660"/>
            <w:shd w:fill="F5F7F8"/>
            <w:tcMar>
              <w:top w:w="90" w:type="dxa"/>
              <w:start w:w="120" w:type="dxa"/>
              <w:bottom w:w="90" w:type="dxa"/>
              <w:end w:w="120" w:type="dxa"/>
            </w:tcMar>
            <w:vAlign w:val="center"/>
          </w:tcPr>
          <w:p>
            <w:pPr>
              <w:spacing w:after="0" w:line="252" w:lineRule="auto"/>
            </w:pPr>
            <w:r>
              <w:rPr>
                <w:rFonts w:ascii="Arial" w:hAnsi="Arial"/>
                <w:b w:val="0"/>
                <w:i w:val="0"/>
                <w:color w:val="0B1727"/>
                <w:sz w:val="17"/>
              </w:rPr>
              <w:t>Pre-curing space, circulation time, crane and handling capacity</w:t>
            </w:r>
          </w:p>
        </w:tc>
      </w:tr>
      <w:tr>
        <w:tc>
          <w:tcPr>
            <w:tcW w:type="dxa" w:w="2700"/>
            <w:tcMar>
              <w:top w:w="90" w:type="dxa"/>
              <w:start w:w="120" w:type="dxa"/>
              <w:bottom w:w="90" w:type="dxa"/>
              <w:end w:w="120" w:type="dxa"/>
            </w:tcMar>
            <w:vAlign w:val="center"/>
          </w:tcPr>
          <w:p>
            <w:pPr>
              <w:spacing w:after="0" w:line="252" w:lineRule="auto"/>
            </w:pPr>
            <w:r>
              <w:rPr>
                <w:rFonts w:ascii="Arial" w:hAnsi="Arial"/>
                <w:b w:val="0"/>
                <w:i w:val="0"/>
                <w:color w:val="0B1727"/>
                <w:sz w:val="17"/>
              </w:rPr>
              <w:t>Second cutting or handling line</w:t>
            </w:r>
          </w:p>
        </w:tc>
        <w:tc>
          <w:tcPr>
            <w:tcW w:type="dxa" w:w="6660"/>
            <w:tcMar>
              <w:top w:w="90" w:type="dxa"/>
              <w:start w:w="120" w:type="dxa"/>
              <w:bottom w:w="90" w:type="dxa"/>
              <w:end w:w="120" w:type="dxa"/>
            </w:tcMar>
            <w:vAlign w:val="center"/>
          </w:tcPr>
          <w:p>
            <w:pPr>
              <w:spacing w:after="0" w:line="252" w:lineRule="auto"/>
            </w:pPr>
            <w:r>
              <w:rPr>
                <w:rFonts w:ascii="Arial" w:hAnsi="Arial"/>
                <w:b w:val="0"/>
                <w:i w:val="0"/>
                <w:color w:val="0B1727"/>
                <w:sz w:val="17"/>
              </w:rPr>
              <w:t>Transfer interface, controls, foundations, maintenance and product flow</w:t>
            </w:r>
          </w:p>
        </w:tc>
      </w:tr>
      <w:tr>
        <w:tc>
          <w:tcPr>
            <w:tcW w:type="dxa" w:w="2700"/>
            <w:shd w:fill="F5F7F8"/>
            <w:tcMar>
              <w:top w:w="90" w:type="dxa"/>
              <w:start w:w="120" w:type="dxa"/>
              <w:bottom w:w="90" w:type="dxa"/>
              <w:end w:w="120" w:type="dxa"/>
            </w:tcMar>
            <w:vAlign w:val="center"/>
          </w:tcPr>
          <w:p>
            <w:pPr>
              <w:spacing w:after="0" w:line="252" w:lineRule="auto"/>
            </w:pPr>
            <w:r>
              <w:rPr>
                <w:rFonts w:ascii="Arial" w:hAnsi="Arial"/>
                <w:b w:val="0"/>
                <w:i w:val="0"/>
                <w:color w:val="0B1727"/>
                <w:sz w:val="17"/>
              </w:rPr>
              <w:t>Raw-material expansion</w:t>
            </w:r>
          </w:p>
        </w:tc>
        <w:tc>
          <w:tcPr>
            <w:tcW w:type="dxa" w:w="6660"/>
            <w:shd w:fill="F5F7F8"/>
            <w:tcMar>
              <w:top w:w="90" w:type="dxa"/>
              <w:start w:w="120" w:type="dxa"/>
              <w:bottom w:w="90" w:type="dxa"/>
              <w:end w:w="120" w:type="dxa"/>
            </w:tcMar>
            <w:vAlign w:val="center"/>
          </w:tcPr>
          <w:p>
            <w:pPr>
              <w:spacing w:after="0" w:line="252" w:lineRule="auto"/>
            </w:pPr>
            <w:r>
              <w:rPr>
                <w:rFonts w:ascii="Arial" w:hAnsi="Arial"/>
                <w:b w:val="0"/>
                <w:i w:val="0"/>
                <w:color w:val="0B1727"/>
                <w:sz w:val="17"/>
              </w:rPr>
              <w:t>Silos, slurry storage, grinding, unloading and dust-control area</w:t>
            </w:r>
          </w:p>
        </w:tc>
      </w:tr>
      <w:tr>
        <w:tc>
          <w:tcPr>
            <w:tcW w:type="dxa" w:w="2700"/>
            <w:tcMar>
              <w:top w:w="90" w:type="dxa"/>
              <w:start w:w="120" w:type="dxa"/>
              <w:bottom w:w="90" w:type="dxa"/>
              <w:end w:w="120" w:type="dxa"/>
            </w:tcMar>
            <w:vAlign w:val="center"/>
          </w:tcPr>
          <w:p>
            <w:pPr>
              <w:spacing w:after="0" w:line="252" w:lineRule="auto"/>
            </w:pPr>
            <w:r>
              <w:rPr>
                <w:rFonts w:ascii="Arial" w:hAnsi="Arial"/>
                <w:b w:val="0"/>
                <w:i w:val="0"/>
                <w:color w:val="0B1727"/>
                <w:sz w:val="17"/>
              </w:rPr>
              <w:t>Packing expansion</w:t>
            </w:r>
          </w:p>
        </w:tc>
        <w:tc>
          <w:tcPr>
            <w:tcW w:type="dxa" w:w="6660"/>
            <w:tcMar>
              <w:top w:w="90" w:type="dxa"/>
              <w:start w:w="120" w:type="dxa"/>
              <w:bottom w:w="90" w:type="dxa"/>
              <w:end w:w="120" w:type="dxa"/>
            </w:tcMar>
            <w:vAlign w:val="center"/>
          </w:tcPr>
          <w:p>
            <w:pPr>
              <w:spacing w:after="0" w:line="252" w:lineRule="auto"/>
            </w:pPr>
            <w:r>
              <w:rPr>
                <w:rFonts w:ascii="Arial" w:hAnsi="Arial"/>
                <w:b w:val="0"/>
                <w:i w:val="0"/>
                <w:color w:val="0B1727"/>
                <w:sz w:val="17"/>
              </w:rPr>
              <w:t>Pallet flow, forklifts, finished-goods yard and dispatch roads</w:t>
            </w:r>
          </w:p>
        </w:tc>
      </w:tr>
      <w:tr>
        <w:tc>
          <w:tcPr>
            <w:tcW w:type="dxa" w:w="2700"/>
            <w:shd w:fill="F5F7F8"/>
            <w:tcMar>
              <w:top w:w="90" w:type="dxa"/>
              <w:start w:w="120" w:type="dxa"/>
              <w:bottom w:w="90" w:type="dxa"/>
              <w:end w:w="120" w:type="dxa"/>
            </w:tcMar>
            <w:vAlign w:val="center"/>
          </w:tcPr>
          <w:p>
            <w:pPr>
              <w:spacing w:after="0" w:line="252" w:lineRule="auto"/>
            </w:pPr>
            <w:r>
              <w:rPr>
                <w:rFonts w:ascii="Arial" w:hAnsi="Arial"/>
                <w:b w:val="0"/>
                <w:i w:val="0"/>
                <w:color w:val="0B1727"/>
                <w:sz w:val="17"/>
              </w:rPr>
              <w:t>Utility upgrade</w:t>
            </w:r>
          </w:p>
        </w:tc>
        <w:tc>
          <w:tcPr>
            <w:tcW w:type="dxa" w:w="6660"/>
            <w:shd w:fill="F5F7F8"/>
            <w:tcMar>
              <w:top w:w="90" w:type="dxa"/>
              <w:start w:w="120" w:type="dxa"/>
              <w:bottom w:w="90" w:type="dxa"/>
              <w:end w:w="120" w:type="dxa"/>
            </w:tcMar>
            <w:vAlign w:val="center"/>
          </w:tcPr>
          <w:p>
            <w:pPr>
              <w:spacing w:after="0" w:line="252" w:lineRule="auto"/>
            </w:pPr>
            <w:r>
              <w:rPr>
                <w:rFonts w:ascii="Arial" w:hAnsi="Arial"/>
                <w:b w:val="0"/>
                <w:i w:val="0"/>
                <w:color w:val="0B1727"/>
                <w:sz w:val="17"/>
              </w:rPr>
              <w:t>Boiler, electrical supply, water, compressor, piping corridors and isolation points</w:t>
            </w:r>
          </w:p>
        </w:tc>
      </w:tr>
    </w:tbl>
    <w:p>
      <w:pPr>
        <w:widowControl/>
        <w:spacing w:after="20"/>
      </w:pPr>
    </w:p>
    <w:p>
      <w:pPr>
        <w:widowControl/>
      </w:pPr>
      <w:r>
        <w:rPr>
          <w:rFonts w:ascii="Arial" w:hAnsi="Arial"/>
          <w:b w:val="0"/>
          <w:i w:val="0"/>
          <w:color w:val="0B1727"/>
          <w:sz w:val="21"/>
        </w:rPr>
        <w:t>The expansion layout should also identify the likely shutdown interfaces. Early planning can reduce disruption, but it cannot guarantee expansion without shutdown unless the detailed installation sequence confirms it.</w:t>
      </w:r>
    </w:p>
    <w:p>
      <w:pPr>
        <w:pStyle w:val="Heading2"/>
        <w:keepNext/>
        <w:widowControl/>
      </w:pPr>
      <w:r>
        <w:t>Common AAC Plant Layout Mistakes</w:t>
      </w:r>
    </w:p>
    <w:p>
      <w:pPr>
        <w:spacing w:after="80" w:line="276" w:lineRule="auto"/>
        <w:widowControl/>
        <w:numPr>
          <w:ilvl w:val="0"/>
          <w:numId w:val="10"/>
        </w:numPr>
      </w:pPr>
      <w:r>
        <w:rPr>
          <w:rFonts w:ascii="Arial" w:hAnsi="Arial"/>
          <w:b w:val="0"/>
          <w:i w:val="0"/>
          <w:color w:val="0B1727"/>
          <w:sz w:val="21"/>
        </w:rPr>
        <w:t>Purchasing land before testing whether the plot can support machinery, storage, roads, utilities and expansion.</w:t>
      </w:r>
    </w:p>
    <w:p>
      <w:pPr>
        <w:spacing w:after="80" w:line="276" w:lineRule="auto"/>
        <w:widowControl/>
        <w:numPr>
          <w:ilvl w:val="0"/>
          <w:numId w:val="10"/>
        </w:numPr>
      </w:pPr>
      <w:r>
        <w:rPr>
          <w:rFonts w:ascii="Arial" w:hAnsi="Arial"/>
          <w:b w:val="0"/>
          <w:i w:val="0"/>
          <w:color w:val="0B1727"/>
          <w:sz w:val="21"/>
        </w:rPr>
        <w:t>Copying a running plant layout without matching its capacity, product mix, automation and site constraints.</w:t>
      </w:r>
    </w:p>
    <w:p>
      <w:pPr>
        <w:spacing w:after="80" w:line="276" w:lineRule="auto"/>
        <w:widowControl/>
        <w:numPr>
          <w:ilvl w:val="0"/>
          <w:numId w:val="10"/>
        </w:numPr>
      </w:pPr>
      <w:r>
        <w:rPr>
          <w:rFonts w:ascii="Arial" w:hAnsi="Arial"/>
          <w:b w:val="0"/>
          <w:i w:val="0"/>
          <w:color w:val="0B1727"/>
          <w:sz w:val="21"/>
        </w:rPr>
        <w:t>Planning only the forward process and ignoring the return circulation of moulds, side plates and trolleys.</w:t>
      </w:r>
    </w:p>
    <w:p>
      <w:pPr>
        <w:spacing w:after="80" w:line="276" w:lineRule="auto"/>
        <w:widowControl/>
        <w:numPr>
          <w:ilvl w:val="0"/>
          <w:numId w:val="10"/>
        </w:numPr>
      </w:pPr>
      <w:r>
        <w:rPr>
          <w:rFonts w:ascii="Arial" w:hAnsi="Arial"/>
          <w:b w:val="0"/>
          <w:i w:val="0"/>
          <w:color w:val="0B1727"/>
          <w:sz w:val="21"/>
        </w:rPr>
        <w:t>Comparing straight and L-shape layouts only by appearance rather than by transfer sequence and bottleneck analysis.</w:t>
      </w:r>
    </w:p>
    <w:p>
      <w:pPr>
        <w:spacing w:after="80" w:line="276" w:lineRule="auto"/>
        <w:widowControl/>
        <w:numPr>
          <w:ilvl w:val="0"/>
          <w:numId w:val="10"/>
        </w:numPr>
      </w:pPr>
      <w:r>
        <w:rPr>
          <w:rFonts w:ascii="Arial" w:hAnsi="Arial"/>
          <w:b w:val="0"/>
          <w:i w:val="0"/>
          <w:color w:val="0B1727"/>
          <w:sz w:val="21"/>
        </w:rPr>
        <w:t>Selecting single-door or double-door autoclaves without comparing the complete handling and civil arrangement.</w:t>
      </w:r>
    </w:p>
    <w:p>
      <w:pPr>
        <w:spacing w:after="80" w:line="276" w:lineRule="auto"/>
        <w:widowControl/>
        <w:numPr>
          <w:ilvl w:val="0"/>
          <w:numId w:val="10"/>
        </w:numPr>
      </w:pPr>
      <w:r>
        <w:rPr>
          <w:rFonts w:ascii="Arial" w:hAnsi="Arial"/>
          <w:b w:val="0"/>
          <w:i w:val="0"/>
          <w:color w:val="0B1727"/>
          <w:sz w:val="21"/>
        </w:rPr>
        <w:t>Leaving an undefined empty area for expansion without reserving utilities, foundations and connection routes.</w:t>
      </w:r>
    </w:p>
    <w:p>
      <w:pPr>
        <w:spacing w:after="80" w:line="276" w:lineRule="auto"/>
        <w:widowControl/>
        <w:numPr>
          <w:ilvl w:val="0"/>
          <w:numId w:val="10"/>
        </w:numPr>
      </w:pPr>
      <w:r>
        <w:rPr>
          <w:rFonts w:ascii="Arial" w:hAnsi="Arial"/>
          <w:b w:val="0"/>
          <w:i w:val="0"/>
          <w:color w:val="0B1727"/>
          <w:sz w:val="21"/>
        </w:rPr>
        <w:t>Reducing maintenance or safety clearances to make machinery fit inside an unsuitable shed.</w:t>
      </w:r>
    </w:p>
    <w:p>
      <w:pPr>
        <w:spacing w:after="80" w:line="276" w:lineRule="auto"/>
        <w:widowControl/>
        <w:numPr>
          <w:ilvl w:val="0"/>
          <w:numId w:val="10"/>
        </w:numPr>
      </w:pPr>
      <w:r>
        <w:rPr>
          <w:rFonts w:ascii="Arial" w:hAnsi="Arial"/>
          <w:b w:val="0"/>
          <w:i w:val="0"/>
          <w:color w:val="0B1727"/>
          <w:sz w:val="21"/>
        </w:rPr>
        <w:t>Freezing civil work before machinery interfaces, levels, loads and utility points are coordinated.</w:t>
      </w:r>
    </w:p>
    <w:p>
      <w:pPr>
        <w:spacing w:after="80" w:line="276" w:lineRule="auto"/>
        <w:widowControl/>
        <w:numPr>
          <w:ilvl w:val="0"/>
          <w:numId w:val="10"/>
        </w:numPr>
      </w:pPr>
      <w:r>
        <w:rPr>
          <w:rFonts w:ascii="Arial" w:hAnsi="Arial"/>
          <w:b w:val="0"/>
          <w:i w:val="0"/>
          <w:color w:val="0B1727"/>
          <w:sz w:val="21"/>
        </w:rPr>
        <w:t>Underestimating finished-goods storage, forklift movement and truck turning space.</w:t>
      </w:r>
    </w:p>
    <w:p>
      <w:pPr>
        <w:spacing w:after="80" w:line="276" w:lineRule="auto"/>
        <w:widowControl/>
        <w:numPr>
          <w:ilvl w:val="0"/>
          <w:numId w:val="10"/>
        </w:numPr>
      </w:pPr>
      <w:r>
        <w:rPr>
          <w:rFonts w:ascii="Arial" w:hAnsi="Arial"/>
          <w:b w:val="0"/>
          <w:i w:val="0"/>
          <w:color w:val="0B1727"/>
          <w:sz w:val="21"/>
        </w:rPr>
        <w:t>Treating a conceptual sales layout as a construction-ready engineering drawing.</w:t>
      </w:r>
    </w:p>
    <w:p>
      <w:pPr>
        <w:pStyle w:val="Heading2"/>
        <w:keepNext/>
        <w:widowControl/>
      </w:pPr>
      <w:r>
        <w:t>How Laxmi En-Fab Approaches AAC Plant Layout Planning</w:t>
      </w:r>
    </w:p>
    <w:p>
      <w:pPr>
        <w:widowControl/>
      </w:pPr>
      <w:r>
        <w:rPr>
          <w:rFonts w:ascii="Arial" w:hAnsi="Arial"/>
          <w:b w:val="0"/>
          <w:i w:val="0"/>
          <w:color w:val="0B1727"/>
          <w:sz w:val="21"/>
        </w:rPr>
        <w:t>Laxmi En-Fab Pvt. Ltd. prepares AAC plant layout concepts after reviewing the customer’s available land, production objective, selected process, automation requirement, utilities and expansion plan. The purpose is to develop a coordinated machinery arrangement rather than apply one standard drawing to every project.</w:t>
      </w:r>
    </w:p>
    <w:p>
      <w:pPr>
        <w:widowControl/>
      </w:pPr>
      <w:r>
        <w:rPr>
          <w:rFonts w:ascii="Arial" w:hAnsi="Arial"/>
          <w:b w:val="0"/>
          <w:i w:val="0"/>
          <w:color w:val="0B1727"/>
          <w:sz w:val="21"/>
        </w:rPr>
        <w:t>A typical layout-planning discussion should follow these stages:</w:t>
      </w:r>
    </w:p>
    <w:p>
      <w:pPr>
        <w:spacing w:after="80" w:line="276" w:lineRule="auto"/>
        <w:widowControl/>
        <w:numPr>
          <w:ilvl w:val="0"/>
          <w:numId w:val="11"/>
        </w:numPr>
      </w:pPr>
      <w:r>
        <w:rPr>
          <w:rFonts w:ascii="Arial" w:hAnsi="Arial"/>
          <w:b w:val="0"/>
          <w:i w:val="0"/>
          <w:color w:val="0B1727"/>
          <w:sz w:val="21"/>
        </w:rPr>
        <w:t>Collect the surveyed plot drawing and project requirements.</w:t>
      </w:r>
    </w:p>
    <w:p>
      <w:pPr>
        <w:spacing w:after="80" w:line="276" w:lineRule="auto"/>
        <w:widowControl/>
        <w:numPr>
          <w:ilvl w:val="0"/>
          <w:numId w:val="11"/>
        </w:numPr>
      </w:pPr>
      <w:r>
        <w:rPr>
          <w:rFonts w:ascii="Arial" w:hAnsi="Arial"/>
          <w:b w:val="0"/>
          <w:i w:val="0"/>
          <w:color w:val="0B1727"/>
          <w:sz w:val="21"/>
        </w:rPr>
        <w:t>Define target capacity, product range, raw-material basis and automation level.</w:t>
      </w:r>
    </w:p>
    <w:p>
      <w:pPr>
        <w:spacing w:after="80" w:line="276" w:lineRule="auto"/>
        <w:widowControl/>
        <w:numPr>
          <w:ilvl w:val="0"/>
          <w:numId w:val="11"/>
        </w:numPr>
      </w:pPr>
      <w:r>
        <w:rPr>
          <w:rFonts w:ascii="Arial" w:hAnsi="Arial"/>
          <w:b w:val="0"/>
          <w:i w:val="0"/>
          <w:color w:val="0B1727"/>
          <w:sz w:val="21"/>
        </w:rPr>
        <w:t>Map raw-material, production, trolley, packing, personnel and vehicle movement.</w:t>
      </w:r>
    </w:p>
    <w:p>
      <w:pPr>
        <w:spacing w:after="80" w:line="276" w:lineRule="auto"/>
        <w:widowControl/>
        <w:numPr>
          <w:ilvl w:val="0"/>
          <w:numId w:val="11"/>
        </w:numPr>
      </w:pPr>
      <w:r>
        <w:rPr>
          <w:rFonts w:ascii="Arial" w:hAnsi="Arial"/>
          <w:b w:val="0"/>
          <w:i w:val="0"/>
          <w:color w:val="0B1727"/>
          <w:sz w:val="21"/>
        </w:rPr>
        <w:t>Compare suitable process-flow and autoclave arrangements.</w:t>
      </w:r>
    </w:p>
    <w:p>
      <w:pPr>
        <w:spacing w:after="80" w:line="276" w:lineRule="auto"/>
        <w:widowControl/>
        <w:numPr>
          <w:ilvl w:val="0"/>
          <w:numId w:val="11"/>
        </w:numPr>
      </w:pPr>
      <w:r>
        <w:rPr>
          <w:rFonts w:ascii="Arial" w:hAnsi="Arial"/>
          <w:b w:val="0"/>
          <w:i w:val="0"/>
          <w:color w:val="0B1727"/>
          <w:sz w:val="21"/>
        </w:rPr>
        <w:t>Identify utility, civil, PEB, drainage, maintenance and safety interfaces.</w:t>
      </w:r>
    </w:p>
    <w:p>
      <w:pPr>
        <w:spacing w:after="80" w:line="276" w:lineRule="auto"/>
        <w:widowControl/>
        <w:numPr>
          <w:ilvl w:val="0"/>
          <w:numId w:val="11"/>
        </w:numPr>
      </w:pPr>
      <w:r>
        <w:rPr>
          <w:rFonts w:ascii="Arial" w:hAnsi="Arial"/>
          <w:b w:val="0"/>
          <w:i w:val="0"/>
          <w:color w:val="0B1727"/>
          <w:sz w:val="21"/>
        </w:rPr>
        <w:t>Reserve and review the planned expansion phase.</w:t>
      </w:r>
    </w:p>
    <w:p>
      <w:pPr>
        <w:spacing w:after="80" w:line="276" w:lineRule="auto"/>
        <w:widowControl/>
        <w:numPr>
          <w:ilvl w:val="0"/>
          <w:numId w:val="11"/>
        </w:numPr>
      </w:pPr>
      <w:r>
        <w:rPr>
          <w:rFonts w:ascii="Arial" w:hAnsi="Arial"/>
          <w:b w:val="0"/>
          <w:i w:val="0"/>
          <w:color w:val="0B1727"/>
          <w:sz w:val="21"/>
        </w:rPr>
        <w:t>Freeze the selected concept before detailed engineering and civil execution begin.</w:t>
      </w:r>
    </w:p>
    <w:tbl>
      <w:tblPr>
        <w:tblW w:type="dxa" w:w="9360"/>
        <w:tblLayout w:type="fixed"/>
        <w:tblLook w:firstColumn="1" w:firstRow="1" w:lastColumn="0" w:lastRow="0" w:noHBand="0" w:noVBand="1" w:val="04A0"/>
        <w:tblInd w:w="120" w:type="dxa"/>
      </w:tblPr>
      <w:tblGrid>
        <w:gridCol w:w="9360"/>
      </w:tblGrid>
      <w:tr>
        <w:tc>
          <w:tcPr>
            <w:tcW w:type="dxa" w:w="9360"/>
            <w:shd w:fill="EEF2F5"/>
            <w:tcMar>
              <w:top w:w="90" w:type="dxa"/>
              <w:start w:w="120" w:type="dxa"/>
              <w:bottom w:w="90" w:type="dxa"/>
              <w:end w:w="120" w:type="dxa"/>
            </w:tcMar>
            <w:vAlign w:val="center"/>
          </w:tcPr>
          <w:p>
            <w:pPr>
              <w:spacing w:after="60"/>
            </w:pPr>
            <w:r>
              <w:rPr>
                <w:rFonts w:ascii="Arial" w:hAnsi="Arial"/>
                <w:b/>
                <w:i w:val="0"/>
                <w:color w:val="0C4F80"/>
                <w:sz w:val="17"/>
              </w:rPr>
              <w:t>SCOPE NOTE</w:t>
            </w:r>
          </w:p>
          <w:p>
            <w:pPr>
              <w:spacing w:after="0"/>
            </w:pPr>
            <w:r>
              <w:rPr>
                <w:rFonts w:ascii="Arial" w:hAnsi="Arial"/>
                <w:b/>
                <w:i w:val="0"/>
                <w:color w:val="0B1727"/>
                <w:sz w:val="20"/>
              </w:rPr>
              <w:t>The exact drawings, calculations, responsibilities and approval stages included in Laxmi En-Fab’s supply must be defined in the project’s technical-commercial proposal.</w:t>
            </w:r>
          </w:p>
        </w:tc>
        <w:trPr>
          <w:tblHeader/>
        </w:trPr>
      </w:tr>
    </w:tbl>
    <w:p>
      <w:pPr>
        <w:widowControl/>
        <w:spacing w:after="20"/>
      </w:pPr>
    </w:p>
    <w:p>
      <w:pPr>
        <w:pStyle w:val="Heading2"/>
        <w:keepNext/>
        <w:widowControl/>
      </w:pPr>
      <w:r>
        <w:t>Questions to Ask Before Approving an AAC Plant Layout</w:t>
      </w:r>
    </w:p>
    <w:p>
      <w:pPr>
        <w:pStyle w:val="ListBullet"/>
        <w:widowControl/>
      </w:pPr>
      <w:r>
        <w:rPr>
          <w:rFonts w:ascii="Arial" w:hAnsi="Arial"/>
          <w:b w:val="0"/>
          <w:i w:val="0"/>
          <w:color w:val="0B1727"/>
          <w:sz w:val="21"/>
        </w:rPr>
        <w:t>Has the production capacity been supported by a complete cycle and bottleneck calculation?</w:t>
      </w:r>
    </w:p>
    <w:p>
      <w:pPr>
        <w:pStyle w:val="ListBullet"/>
        <w:widowControl/>
      </w:pPr>
      <w:r>
        <w:rPr>
          <w:rFonts w:ascii="Arial" w:hAnsi="Arial"/>
          <w:b w:val="0"/>
          <w:i w:val="0"/>
          <w:color w:val="0B1727"/>
          <w:sz w:val="21"/>
        </w:rPr>
        <w:t>Are forward and return movements shown for moulds, side plates, trolleys and pallets?</w:t>
      </w:r>
    </w:p>
    <w:p>
      <w:pPr>
        <w:pStyle w:val="ListBullet"/>
        <w:widowControl/>
      </w:pPr>
      <w:r>
        <w:rPr>
          <w:rFonts w:ascii="Arial" w:hAnsi="Arial"/>
          <w:b w:val="0"/>
          <w:i w:val="0"/>
          <w:color w:val="0B1727"/>
          <w:sz w:val="21"/>
        </w:rPr>
        <w:t>Are raw-material and finished-goods vehicle routes practical?</w:t>
      </w:r>
    </w:p>
    <w:p>
      <w:pPr>
        <w:pStyle w:val="ListBullet"/>
        <w:widowControl/>
      </w:pPr>
      <w:r>
        <w:rPr>
          <w:rFonts w:ascii="Arial" w:hAnsi="Arial"/>
          <w:b w:val="0"/>
          <w:i w:val="0"/>
          <w:color w:val="0B1727"/>
          <w:sz w:val="21"/>
        </w:rPr>
        <w:t>Can critical equipment be safely accessed and removed for maintenance?</w:t>
      </w:r>
    </w:p>
    <w:p>
      <w:pPr>
        <w:pStyle w:val="ListBullet"/>
        <w:widowControl/>
      </w:pPr>
      <w:r>
        <w:rPr>
          <w:rFonts w:ascii="Arial" w:hAnsi="Arial"/>
          <w:b w:val="0"/>
          <w:i w:val="0"/>
          <w:color w:val="0B1727"/>
          <w:sz w:val="21"/>
        </w:rPr>
        <w:t>Are boiler, steam, condensate, electrical, water and compressor routes coordinated?</w:t>
      </w:r>
    </w:p>
    <w:p>
      <w:pPr>
        <w:pStyle w:val="ListBullet"/>
        <w:widowControl/>
      </w:pPr>
      <w:r>
        <w:rPr>
          <w:rFonts w:ascii="Arial" w:hAnsi="Arial"/>
          <w:b w:val="0"/>
          <w:i w:val="0"/>
          <w:color w:val="0B1727"/>
          <w:sz w:val="21"/>
        </w:rPr>
        <w:t>Are site levels, drainage and monsoon conditions addressed?</w:t>
      </w:r>
    </w:p>
    <w:p>
      <w:pPr>
        <w:pStyle w:val="ListBullet"/>
        <w:widowControl/>
      </w:pPr>
      <w:r>
        <w:rPr>
          <w:rFonts w:ascii="Arial" w:hAnsi="Arial"/>
          <w:b w:val="0"/>
          <w:i w:val="0"/>
          <w:color w:val="0B1727"/>
          <w:sz w:val="21"/>
        </w:rPr>
        <w:t>What equipment and utility capacity must be installed now for future expansion?</w:t>
      </w:r>
    </w:p>
    <w:p>
      <w:pPr>
        <w:pStyle w:val="ListBullet"/>
        <w:widowControl/>
      </w:pPr>
      <w:r>
        <w:rPr>
          <w:rFonts w:ascii="Arial" w:hAnsi="Arial"/>
          <w:b w:val="0"/>
          <w:i w:val="0"/>
          <w:color w:val="0B1727"/>
          <w:sz w:val="21"/>
        </w:rPr>
        <w:t>Which drawings are conceptual, and which are approved for civil or installation work?</w:t>
      </w:r>
    </w:p>
    <w:p>
      <w:pPr>
        <w:pStyle w:val="ListBullet"/>
        <w:widowControl/>
      </w:pPr>
      <w:r>
        <w:rPr>
          <w:rFonts w:ascii="Arial" w:hAnsi="Arial"/>
          <w:b w:val="0"/>
          <w:i w:val="0"/>
          <w:color w:val="0B1727"/>
          <w:sz w:val="21"/>
        </w:rPr>
        <w:t>Who is responsible for statutory approvals, civil design, PEB design and local compliance?</w:t>
      </w:r>
    </w:p>
    <w:p>
      <w:pPr>
        <w:pStyle w:val="Heading2"/>
        <w:keepNext/>
        <w:widowControl/>
      </w:pPr>
      <w:r>
        <w:t>Frequently Asked Questions</w:t>
      </w:r>
    </w:p>
    <w:p>
      <w:pPr>
        <w:pStyle w:val="Heading3"/>
        <w:keepNext/>
        <w:widowControl/>
      </w:pPr>
      <w:r>
        <w:t>Which AAC plant layout is best?</w:t>
      </w:r>
    </w:p>
    <w:p>
      <w:pPr>
        <w:widowControl/>
      </w:pPr>
      <w:r>
        <w:rPr>
          <w:rFonts w:ascii="Arial" w:hAnsi="Arial"/>
          <w:b w:val="0"/>
          <w:i w:val="0"/>
          <w:color w:val="0B1727"/>
          <w:sz w:val="21"/>
        </w:rPr>
        <w:t>There is no universally best layout. The correct choice depends on the surveyed plot, production target, product mix, automation, transfer system, utilities, dispatch planning and future expansion.</w:t>
      </w:r>
    </w:p>
    <w:p>
      <w:pPr>
        <w:pStyle w:val="Heading3"/>
        <w:keepNext/>
        <w:widowControl/>
      </w:pPr>
      <w:r>
        <w:t>What is the difference between a straight and an L-shape AAC plant layout?</w:t>
      </w:r>
    </w:p>
    <w:p>
      <w:pPr>
        <w:widowControl/>
      </w:pPr>
      <w:r>
        <w:rPr>
          <w:rFonts w:ascii="Arial" w:hAnsi="Arial"/>
          <w:b w:val="0"/>
          <w:i w:val="0"/>
          <w:color w:val="0B1727"/>
          <w:sz w:val="21"/>
        </w:rPr>
        <w:t>A straight layout keeps the main production flow predominantly linear. An L-shape layout changes direction once to use available length and width. The selected handling system must support the chosen geometry.</w:t>
      </w:r>
    </w:p>
    <w:p>
      <w:pPr>
        <w:pStyle w:val="Heading3"/>
        <w:keepNext/>
        <w:widowControl/>
      </w:pPr>
      <w:r>
        <w:t>Does an L-shape layout reduce AAC block quality?</w:t>
      </w:r>
    </w:p>
    <w:p>
      <w:pPr>
        <w:widowControl/>
      </w:pPr>
      <w:r>
        <w:rPr>
          <w:rFonts w:ascii="Arial" w:hAnsi="Arial"/>
          <w:b w:val="0"/>
          <w:i w:val="0"/>
          <w:color w:val="0B1727"/>
          <w:sz w:val="21"/>
        </w:rPr>
        <w:t>Layout shape does not by itself determine block quality. Quality depends on raw materials, batching, process control, pre-curing, cutting, autoclaving and consistent operation. Poor handling or bottlenecks can still affect plant performance and should be engineered out.</w:t>
      </w:r>
    </w:p>
    <w:p>
      <w:pPr>
        <w:pStyle w:val="Heading3"/>
        <w:keepNext/>
        <w:widowControl/>
      </w:pPr>
      <w:r>
        <w:t>Can both straight and L-shape layouts achieve the same production capacity?</w:t>
      </w:r>
    </w:p>
    <w:p>
      <w:pPr>
        <w:widowControl/>
      </w:pPr>
      <w:r>
        <w:rPr>
          <w:rFonts w:ascii="Arial" w:hAnsi="Arial"/>
          <w:b w:val="0"/>
          <w:i w:val="0"/>
          <w:color w:val="0B1727"/>
          <w:sz w:val="21"/>
        </w:rPr>
        <w:t>Equivalent output can be designed in either geometry when the complete machinery and handling system is correctly sized. Capacity must be confirmed by project-specific cycle and bottleneck calculations.</w:t>
      </w:r>
    </w:p>
    <w:p>
      <w:pPr>
        <w:pStyle w:val="Heading3"/>
        <w:keepNext/>
        <w:widowControl/>
      </w:pPr>
      <w:r>
        <w:t>Is a single-door autoclave arrangement technically inferior?</w:t>
      </w:r>
    </w:p>
    <w:p>
      <w:pPr>
        <w:widowControl/>
      </w:pPr>
      <w:r>
        <w:rPr>
          <w:rFonts w:ascii="Arial" w:hAnsi="Arial"/>
          <w:b w:val="0"/>
          <w:i w:val="0"/>
          <w:color w:val="0B1727"/>
          <w:sz w:val="21"/>
        </w:rPr>
        <w:t>Not automatically. Same-side loading can suit projects with width constraints, but the handling sequence and turnaround must be calculated. Through-flow arrangements also require adequate space and infrastructure at both ends.</w:t>
      </w:r>
    </w:p>
    <w:p>
      <w:pPr>
        <w:pStyle w:val="Heading3"/>
        <w:keepNext/>
        <w:widowControl/>
      </w:pPr>
      <w:r>
        <w:t>Does a double-door autoclave improve product quality?</w:t>
      </w:r>
    </w:p>
    <w:p>
      <w:pPr>
        <w:widowControl/>
      </w:pPr>
      <w:r>
        <w:rPr>
          <w:rFonts w:ascii="Arial" w:hAnsi="Arial"/>
          <w:b w:val="0"/>
          <w:i w:val="0"/>
          <w:color w:val="0B1727"/>
          <w:sz w:val="21"/>
        </w:rPr>
        <w:t>Door count alone does not determine product quality. The curing recipe, pressure and temperature control, steam distribution, equipment condition and operating discipline are more directly relevant.</w:t>
      </w:r>
    </w:p>
    <w:p>
      <w:pPr>
        <w:pStyle w:val="Heading3"/>
        <w:keepNext/>
        <w:widowControl/>
      </w:pPr>
      <w:r>
        <w:t>How many autoclaves does an AAC plant require?</w:t>
      </w:r>
    </w:p>
    <w:p>
      <w:pPr>
        <w:widowControl/>
      </w:pPr>
      <w:r>
        <w:rPr>
          <w:rFonts w:ascii="Arial" w:hAnsi="Arial"/>
          <w:b w:val="0"/>
          <w:i w:val="0"/>
          <w:color w:val="0B1727"/>
          <w:sz w:val="21"/>
        </w:rPr>
        <w:t>The number depends on target output, load per charge, curing and handling time, operating hours, availability, mould and trolley circulation, steam supply and other line bottlenecks. It should be calculated for the proposed project.</w:t>
      </w:r>
    </w:p>
    <w:p>
      <w:pPr>
        <w:pStyle w:val="Heading3"/>
        <w:keepNext/>
        <w:widowControl/>
      </w:pPr>
      <w:r>
        <w:t>Can a layout be prepared before purchasing land?</w:t>
      </w:r>
    </w:p>
    <w:p>
      <w:pPr>
        <w:widowControl/>
      </w:pPr>
      <w:r>
        <w:rPr>
          <w:rFonts w:ascii="Arial" w:hAnsi="Arial"/>
          <w:b w:val="0"/>
          <w:i w:val="0"/>
          <w:color w:val="0B1727"/>
          <w:sz w:val="21"/>
        </w:rPr>
        <w:t>A preliminary feasibility review can compare shortlisted plots if accurate survey dimensions, approach roads, local restrictions and project requirements are available. Final engineering should use verified site data.</w:t>
      </w:r>
    </w:p>
    <w:p>
      <w:pPr>
        <w:pStyle w:val="Heading3"/>
        <w:keepNext/>
        <w:widowControl/>
      </w:pPr>
      <w:r>
        <w:t>Can an existing AAC plant layout be modified for expansion?</w:t>
      </w:r>
    </w:p>
    <w:p>
      <w:pPr>
        <w:widowControl/>
      </w:pPr>
      <w:r>
        <w:rPr>
          <w:rFonts w:ascii="Arial" w:hAnsi="Arial"/>
          <w:b w:val="0"/>
          <w:i w:val="0"/>
          <w:color w:val="0B1727"/>
          <w:sz w:val="21"/>
        </w:rPr>
        <w:t>Yes, subject to a site survey and review of existing equipment, foundations, utilities, controls, operating access and production constraints. Expansion feasibility is project-specific.</w:t>
      </w:r>
    </w:p>
    <w:p>
      <w:pPr>
        <w:pStyle w:val="Heading3"/>
        <w:keepNext/>
        <w:widowControl/>
      </w:pPr>
      <w:r>
        <w:t>What should I send for a preliminary layout review?</w:t>
      </w:r>
    </w:p>
    <w:p>
      <w:pPr>
        <w:widowControl/>
      </w:pPr>
      <w:r>
        <w:rPr>
          <w:rFonts w:ascii="Arial" w:hAnsi="Arial"/>
          <w:b w:val="0"/>
          <w:i w:val="0"/>
          <w:color w:val="0B1727"/>
          <w:sz w:val="21"/>
        </w:rPr>
        <w:t>Share the surveyed plot drawing, gate and road details, project location, target capacity, block or panel plan, raw-material basis, preferred automation and future expansion target.</w:t>
      </w:r>
    </w:p>
    <w:p>
      <w:pPr>
        <w:pStyle w:val="Heading2"/>
        <w:keepNext/>
        <w:widowControl/>
      </w:pPr>
      <w:r>
        <w:t>Request a Preliminary Land &amp; Layout Review</w:t>
      </w:r>
    </w:p>
    <w:p>
      <w:pPr>
        <w:widowControl/>
      </w:pPr>
      <w:r>
        <w:rPr>
          <w:rFonts w:ascii="Arial" w:hAnsi="Arial"/>
          <w:b w:val="0"/>
          <w:i w:val="0"/>
          <w:color w:val="0B1727"/>
          <w:sz w:val="21"/>
        </w:rPr>
        <w:t>If you are planning a new AAC manufacturing plant or expanding an existing unit, the first step is to confirm whether the proposed land and production configuration can work together.</w:t>
      </w:r>
    </w:p>
    <w:tbl>
      <w:tblPr>
        <w:tblW w:type="dxa" w:w="9360"/>
        <w:tblLayout w:type="fixed"/>
        <w:tblLook w:firstColumn="1" w:firstRow="1" w:lastColumn="0" w:lastRow="0" w:noHBand="0" w:noVBand="1" w:val="04A0"/>
        <w:tblInd w:w="120" w:type="dxa"/>
      </w:tblPr>
      <w:tblGrid>
        <w:gridCol w:w="9360"/>
      </w:tblGrid>
      <w:tr>
        <w:tc>
          <w:tcPr>
            <w:tcW w:type="dxa" w:w="9360"/>
            <w:shd w:fill="EEF2F5"/>
            <w:tcMar>
              <w:top w:w="90" w:type="dxa"/>
              <w:start w:w="120" w:type="dxa"/>
              <w:bottom w:w="90" w:type="dxa"/>
              <w:end w:w="120" w:type="dxa"/>
            </w:tcMar>
            <w:vAlign w:val="center"/>
          </w:tcPr>
          <w:p>
            <w:pPr>
              <w:spacing w:after="60"/>
            </w:pPr>
            <w:r>
              <w:rPr>
                <w:rFonts w:ascii="Arial" w:hAnsi="Arial"/>
                <w:b/>
                <w:i w:val="0"/>
                <w:color w:val="0C4F80"/>
                <w:sz w:val="17"/>
              </w:rPr>
              <w:t>PRIMARY CTA</w:t>
            </w:r>
          </w:p>
          <w:p>
            <w:pPr>
              <w:spacing w:after="0"/>
            </w:pPr>
            <w:r>
              <w:rPr>
                <w:rFonts w:ascii="Arial" w:hAnsi="Arial"/>
                <w:b/>
                <w:i w:val="0"/>
                <w:color w:val="0B1727"/>
                <w:sz w:val="20"/>
              </w:rPr>
              <w:t>Request a Preliminary Land &amp; Layout Review</w:t>
            </w:r>
          </w:p>
        </w:tc>
        <w:trPr>
          <w:tblHeader/>
        </w:trPr>
      </w:tr>
    </w:tbl>
    <w:p>
      <w:pPr>
        <w:widowControl/>
        <w:spacing w:after="20"/>
      </w:pPr>
    </w:p>
    <w:p>
      <w:pPr>
        <w:widowControl/>
      </w:pPr>
      <w:r>
        <w:rPr>
          <w:rFonts w:ascii="Arial" w:hAnsi="Arial"/>
          <w:b w:val="0"/>
          <w:i w:val="0"/>
          <w:color w:val="0B1727"/>
          <w:sz w:val="21"/>
        </w:rPr>
        <w:t>Share your surveyed plot drawing, target capacity, product plan, project location and future expansion requirement with Laxmi En-Fab’s engineering team. The next planning stage and required technical inputs can then be defined for your project.</w:t>
      </w:r>
    </w:p>
    <w:p>
      <w:pPr>
        <w:widowControl/>
      </w:pPr>
      <w:r>
        <w:rPr>
          <w:rFonts w:ascii="Arial" w:hAnsi="Arial"/>
          <w:b/>
          <w:i w:val="0"/>
          <w:color w:val="0B1727"/>
          <w:sz w:val="21"/>
        </w:rPr>
        <w:t>Lower-commitment option:</w:t>
      </w:r>
      <w:r>
        <w:rPr>
          <w:rFonts w:ascii="Arial" w:hAnsi="Arial"/>
          <w:b w:val="0"/>
          <w:i w:val="0"/>
          <w:color w:val="0B1727"/>
          <w:sz w:val="21"/>
        </w:rPr>
        <w:t xml:space="preserve"> Download the AAC Layout Input Checklist.</w:t>
      </w:r>
    </w:p>
    <w:p>
      <w:pPr>
        <w:widowControl/>
      </w:pPr>
      <w:r>
        <w:br w:type="page"/>
      </w:r>
    </w:p>
    <w:p>
      <w:pPr>
        <w:pStyle w:val="Heading1"/>
        <w:keepNext/>
        <w:widowControl/>
      </w:pPr>
      <w:r>
        <w:t>Developer Implementation Notes</w:t>
      </w:r>
    </w:p>
    <w:p>
      <w:pPr>
        <w:widowControl/>
      </w:pPr>
      <w:r>
        <w:rPr>
          <w:rFonts w:ascii="Arial" w:hAnsi="Arial"/>
          <w:b w:val="0"/>
          <w:i w:val="0"/>
          <w:color w:val="0B1727"/>
          <w:sz w:val="21"/>
        </w:rPr>
        <w:t>The following notes support publication and should not appear as ordinary body copy unless indicated.</w:t>
      </w:r>
    </w:p>
    <w:p>
      <w:pPr>
        <w:pStyle w:val="Heading2"/>
        <w:keepNext/>
        <w:widowControl/>
      </w:pPr>
      <w:r>
        <w:t>Recommended enquiry-form fields</w:t>
      </w:r>
    </w:p>
    <w:p>
      <w:pPr>
        <w:pStyle w:val="ListBullet"/>
        <w:widowControl/>
      </w:pPr>
      <w:r>
        <w:rPr>
          <w:rFonts w:ascii="Arial" w:hAnsi="Arial"/>
          <w:b w:val="0"/>
          <w:i w:val="0"/>
          <w:color w:val="0B1727"/>
          <w:sz w:val="21"/>
        </w:rPr>
        <w:t>Name, company, mobile number and email</w:t>
      </w:r>
    </w:p>
    <w:p>
      <w:pPr>
        <w:pStyle w:val="ListBullet"/>
        <w:widowControl/>
      </w:pPr>
      <w:r>
        <w:rPr>
          <w:rFonts w:ascii="Arial" w:hAnsi="Arial"/>
          <w:b w:val="0"/>
          <w:i w:val="0"/>
          <w:color w:val="0B1727"/>
          <w:sz w:val="21"/>
        </w:rPr>
        <w:t>Project city and state</w:t>
      </w:r>
    </w:p>
    <w:p>
      <w:pPr>
        <w:pStyle w:val="ListBullet"/>
        <w:widowControl/>
      </w:pPr>
      <w:r>
        <w:rPr>
          <w:rFonts w:ascii="Arial" w:hAnsi="Arial"/>
          <w:b w:val="0"/>
          <w:i w:val="0"/>
          <w:color w:val="0B1727"/>
          <w:sz w:val="21"/>
        </w:rPr>
        <w:t>New plant or expansion</w:t>
      </w:r>
    </w:p>
    <w:p>
      <w:pPr>
        <w:pStyle w:val="ListBullet"/>
        <w:widowControl/>
      </w:pPr>
      <w:r>
        <w:rPr>
          <w:rFonts w:ascii="Arial" w:hAnsi="Arial"/>
          <w:b w:val="0"/>
          <w:i w:val="0"/>
          <w:color w:val="0B1727"/>
          <w:sz w:val="21"/>
        </w:rPr>
        <w:t>Target capacity</w:t>
      </w:r>
    </w:p>
    <w:p>
      <w:pPr>
        <w:pStyle w:val="ListBullet"/>
        <w:widowControl/>
      </w:pPr>
      <w:r>
        <w:rPr>
          <w:rFonts w:ascii="Arial" w:hAnsi="Arial"/>
          <w:b w:val="0"/>
          <w:i w:val="0"/>
          <w:color w:val="0B1727"/>
          <w:sz w:val="21"/>
        </w:rPr>
        <w:t>Block only or block and panel</w:t>
      </w:r>
    </w:p>
    <w:p>
      <w:pPr>
        <w:pStyle w:val="ListBullet"/>
        <w:widowControl/>
      </w:pPr>
      <w:r>
        <w:rPr>
          <w:rFonts w:ascii="Arial" w:hAnsi="Arial"/>
          <w:b w:val="0"/>
          <w:i w:val="0"/>
          <w:color w:val="0B1727"/>
          <w:sz w:val="21"/>
        </w:rPr>
        <w:t>Available plot dimensions</w:t>
      </w:r>
    </w:p>
    <w:p>
      <w:pPr>
        <w:pStyle w:val="ListBullet"/>
        <w:widowControl/>
      </w:pPr>
      <w:r>
        <w:rPr>
          <w:rFonts w:ascii="Arial" w:hAnsi="Arial"/>
          <w:b w:val="0"/>
          <w:i w:val="0"/>
          <w:color w:val="0B1727"/>
          <w:sz w:val="21"/>
        </w:rPr>
        <w:t>Future expansion target</w:t>
      </w:r>
    </w:p>
    <w:p>
      <w:pPr>
        <w:pStyle w:val="ListBullet"/>
        <w:widowControl/>
      </w:pPr>
      <w:r>
        <w:rPr>
          <w:rFonts w:ascii="Arial" w:hAnsi="Arial"/>
          <w:b w:val="0"/>
          <w:i w:val="0"/>
          <w:color w:val="0B1727"/>
          <w:sz w:val="21"/>
        </w:rPr>
        <w:t>Survey drawing upload</w:t>
      </w:r>
    </w:p>
    <w:p>
      <w:pPr>
        <w:pStyle w:val="ListBullet"/>
        <w:widowControl/>
      </w:pPr>
      <w:r>
        <w:rPr>
          <w:rFonts w:ascii="Arial" w:hAnsi="Arial"/>
          <w:b w:val="0"/>
          <w:i w:val="0"/>
          <w:color w:val="0B1727"/>
          <w:sz w:val="21"/>
        </w:rPr>
        <w:t>Short project-status field</w:t>
      </w:r>
    </w:p>
    <w:p>
      <w:pPr>
        <w:pStyle w:val="Heading2"/>
        <w:keepNext/>
        <w:widowControl/>
      </w:pPr>
      <w:r>
        <w:t>Recommended internal links</w:t>
      </w:r>
    </w:p>
    <w:tbl>
      <w:tblPr>
        <w:tblW w:type="dxa" w:w="9360"/>
        <w:jc w:val="left"/>
        <w:tblLayout w:type="fixed"/>
        <w:tblLook w:firstColumn="1" w:firstRow="1" w:lastColumn="0" w:lastRow="0" w:noHBand="0" w:noVBand="1" w:val="04A0"/>
        <w:tblInd w:w="120" w:type="dxa"/>
      </w:tblPr>
      <w:tblGrid>
        <w:gridCol w:w="3100"/>
        <w:gridCol w:w="6260"/>
      </w:tblGrid>
      <w:tr>
        <w:tc>
          <w:tcPr>
            <w:tcW w:type="dxa" w:w="3100"/>
            <w:shd w:fill="0B1727"/>
            <w:tcMar>
              <w:top w:w="90" w:type="dxa"/>
              <w:start w:w="120" w:type="dxa"/>
              <w:bottom w:w="90" w:type="dxa"/>
              <w:end w:w="120" w:type="dxa"/>
            </w:tcMar>
            <w:vAlign w:val="center"/>
          </w:tcPr>
          <w:p>
            <w:pPr>
              <w:spacing w:after="0"/>
            </w:pPr>
            <w:r>
              <w:rPr>
                <w:rFonts w:ascii="Arial" w:hAnsi="Arial"/>
                <w:b/>
                <w:i w:val="0"/>
                <w:color w:val="FFFFFF"/>
                <w:sz w:val="18"/>
              </w:rPr>
              <w:t>Anchor text</w:t>
            </w:r>
          </w:p>
        </w:tc>
        <w:tc>
          <w:tcPr>
            <w:tcW w:type="dxa" w:w="6260"/>
            <w:shd w:fill="0B1727"/>
            <w:tcMar>
              <w:top w:w="90" w:type="dxa"/>
              <w:start w:w="120" w:type="dxa"/>
              <w:bottom w:w="90" w:type="dxa"/>
              <w:end w:w="120" w:type="dxa"/>
            </w:tcMar>
            <w:vAlign w:val="center"/>
          </w:tcPr>
          <w:p>
            <w:pPr>
              <w:spacing w:after="0"/>
            </w:pPr>
            <w:r>
              <w:rPr>
                <w:rFonts w:ascii="Arial" w:hAnsi="Arial"/>
                <w:b/>
                <w:i w:val="0"/>
                <w:color w:val="FFFFFF"/>
                <w:sz w:val="18"/>
              </w:rPr>
              <w:t>Target page</w:t>
            </w:r>
          </w:p>
        </w:tc>
        <w:trPr>
          <w:tblHeader/>
        </w:trPr>
      </w:tr>
      <w:tr>
        <w:tc>
          <w:tcPr>
            <w:tcW w:type="dxa" w:w="3100"/>
            <w:tcMar>
              <w:top w:w="90" w:type="dxa"/>
              <w:start w:w="120" w:type="dxa"/>
              <w:bottom w:w="90" w:type="dxa"/>
              <w:end w:w="120" w:type="dxa"/>
            </w:tcMar>
            <w:vAlign w:val="center"/>
          </w:tcPr>
          <w:p>
            <w:pPr>
              <w:spacing w:after="0" w:line="252" w:lineRule="auto"/>
            </w:pPr>
            <w:r>
              <w:rPr>
                <w:rFonts w:ascii="Arial" w:hAnsi="Arial"/>
                <w:b w:val="0"/>
                <w:i w:val="0"/>
                <w:color w:val="0B1727"/>
                <w:sz w:val="17"/>
              </w:rPr>
              <w:t>AAC plant land requirement</w:t>
            </w:r>
          </w:p>
        </w:tc>
        <w:tc>
          <w:tcPr>
            <w:tcW w:type="dxa" w:w="6260"/>
            <w:tcMar>
              <w:top w:w="90" w:type="dxa"/>
              <w:start w:w="120" w:type="dxa"/>
              <w:bottom w:w="90" w:type="dxa"/>
              <w:end w:w="120" w:type="dxa"/>
            </w:tcMar>
            <w:vAlign w:val="center"/>
          </w:tcPr>
          <w:p>
            <w:pPr>
              <w:spacing w:after="0" w:line="252" w:lineRule="auto"/>
            </w:pPr>
            <w:r>
              <w:rPr>
                <w:rFonts w:ascii="Arial" w:hAnsi="Arial"/>
                <w:b w:val="0"/>
                <w:i w:val="0"/>
                <w:color w:val="0B1727"/>
                <w:sz w:val="17"/>
              </w:rPr>
              <w:t>AAC Plant Land Requirement</w:t>
            </w:r>
          </w:p>
        </w:tc>
      </w:tr>
      <w:tr>
        <w:tc>
          <w:tcPr>
            <w:tcW w:type="dxa" w:w="3100"/>
            <w:shd w:fill="F5F7F8"/>
            <w:tcMar>
              <w:top w:w="90" w:type="dxa"/>
              <w:start w:w="120" w:type="dxa"/>
              <w:bottom w:w="90" w:type="dxa"/>
              <w:end w:w="120" w:type="dxa"/>
            </w:tcMar>
            <w:vAlign w:val="center"/>
          </w:tcPr>
          <w:p>
            <w:pPr>
              <w:spacing w:after="0" w:line="252" w:lineRule="auto"/>
            </w:pPr>
            <w:r>
              <w:rPr>
                <w:rFonts w:ascii="Arial" w:hAnsi="Arial"/>
                <w:b w:val="0"/>
                <w:i w:val="0"/>
                <w:color w:val="0B1727"/>
                <w:sz w:val="17"/>
              </w:rPr>
              <w:t>select the right plant capacity</w:t>
            </w:r>
          </w:p>
        </w:tc>
        <w:tc>
          <w:tcPr>
            <w:tcW w:type="dxa" w:w="6260"/>
            <w:shd w:fill="F5F7F8"/>
            <w:tcMar>
              <w:top w:w="90" w:type="dxa"/>
              <w:start w:w="120" w:type="dxa"/>
              <w:bottom w:w="90" w:type="dxa"/>
              <w:end w:w="120" w:type="dxa"/>
            </w:tcMar>
            <w:vAlign w:val="center"/>
          </w:tcPr>
          <w:p>
            <w:pPr>
              <w:spacing w:after="0" w:line="252" w:lineRule="auto"/>
            </w:pPr>
            <w:r>
              <w:rPr>
                <w:rFonts w:ascii="Arial" w:hAnsi="Arial"/>
                <w:b w:val="0"/>
                <w:i w:val="0"/>
                <w:color w:val="0B1727"/>
                <w:sz w:val="17"/>
              </w:rPr>
              <w:t>AAC Plant Capacity Selection</w:t>
            </w:r>
          </w:p>
        </w:tc>
      </w:tr>
      <w:tr>
        <w:tc>
          <w:tcPr>
            <w:tcW w:type="dxa" w:w="3100"/>
            <w:tcMar>
              <w:top w:w="90" w:type="dxa"/>
              <w:start w:w="120" w:type="dxa"/>
              <w:bottom w:w="90" w:type="dxa"/>
              <w:end w:w="120" w:type="dxa"/>
            </w:tcMar>
            <w:vAlign w:val="center"/>
          </w:tcPr>
          <w:p>
            <w:pPr>
              <w:spacing w:after="0" w:line="252" w:lineRule="auto"/>
            </w:pPr>
            <w:r>
              <w:rPr>
                <w:rFonts w:ascii="Arial" w:hAnsi="Arial"/>
                <w:b w:val="0"/>
                <w:i w:val="0"/>
                <w:color w:val="0B1727"/>
                <w:sz w:val="17"/>
              </w:rPr>
              <w:t>AAC block manufacturing process</w:t>
            </w:r>
          </w:p>
        </w:tc>
        <w:tc>
          <w:tcPr>
            <w:tcW w:type="dxa" w:w="6260"/>
            <w:tcMar>
              <w:top w:w="90" w:type="dxa"/>
              <w:start w:w="120" w:type="dxa"/>
              <w:bottom w:w="90" w:type="dxa"/>
              <w:end w:w="120" w:type="dxa"/>
            </w:tcMar>
            <w:vAlign w:val="center"/>
          </w:tcPr>
          <w:p>
            <w:pPr>
              <w:spacing w:after="0" w:line="252" w:lineRule="auto"/>
            </w:pPr>
            <w:r>
              <w:rPr>
                <w:rFonts w:ascii="Arial" w:hAnsi="Arial"/>
                <w:b w:val="0"/>
                <w:i w:val="0"/>
                <w:color w:val="0B1727"/>
                <w:sz w:val="17"/>
              </w:rPr>
              <w:t>AAC Production Process</w:t>
            </w:r>
          </w:p>
        </w:tc>
      </w:tr>
      <w:tr>
        <w:tc>
          <w:tcPr>
            <w:tcW w:type="dxa" w:w="3100"/>
            <w:shd w:fill="F5F7F8"/>
            <w:tcMar>
              <w:top w:w="90" w:type="dxa"/>
              <w:start w:w="120" w:type="dxa"/>
              <w:bottom w:w="90" w:type="dxa"/>
              <w:end w:w="120" w:type="dxa"/>
            </w:tcMar>
            <w:vAlign w:val="center"/>
          </w:tcPr>
          <w:p>
            <w:pPr>
              <w:spacing w:after="0" w:line="252" w:lineRule="auto"/>
            </w:pPr>
            <w:r>
              <w:rPr>
                <w:rFonts w:ascii="Arial" w:hAnsi="Arial"/>
                <w:b w:val="0"/>
                <w:i w:val="0"/>
                <w:color w:val="0B1727"/>
                <w:sz w:val="17"/>
              </w:rPr>
              <w:t>AAC plant project cost factors</w:t>
            </w:r>
          </w:p>
        </w:tc>
        <w:tc>
          <w:tcPr>
            <w:tcW w:type="dxa" w:w="6260"/>
            <w:shd w:fill="F5F7F8"/>
            <w:tcMar>
              <w:top w:w="90" w:type="dxa"/>
              <w:start w:w="120" w:type="dxa"/>
              <w:bottom w:w="90" w:type="dxa"/>
              <w:end w:w="120" w:type="dxa"/>
            </w:tcMar>
            <w:vAlign w:val="center"/>
          </w:tcPr>
          <w:p>
            <w:pPr>
              <w:spacing w:after="0" w:line="252" w:lineRule="auto"/>
            </w:pPr>
            <w:r>
              <w:rPr>
                <w:rFonts w:ascii="Arial" w:hAnsi="Arial"/>
                <w:b w:val="0"/>
                <w:i w:val="0"/>
                <w:color w:val="0B1727"/>
                <w:sz w:val="17"/>
              </w:rPr>
              <w:t>Project Cost and Working Capital</w:t>
            </w:r>
          </w:p>
        </w:tc>
      </w:tr>
      <w:tr>
        <w:tc>
          <w:tcPr>
            <w:tcW w:type="dxa" w:w="3100"/>
            <w:tcMar>
              <w:top w:w="90" w:type="dxa"/>
              <w:start w:w="120" w:type="dxa"/>
              <w:bottom w:w="90" w:type="dxa"/>
              <w:end w:w="120" w:type="dxa"/>
            </w:tcMar>
            <w:vAlign w:val="center"/>
          </w:tcPr>
          <w:p>
            <w:pPr>
              <w:spacing w:after="0" w:line="252" w:lineRule="auto"/>
            </w:pPr>
            <w:r>
              <w:rPr>
                <w:rFonts w:ascii="Arial" w:hAnsi="Arial"/>
                <w:b w:val="0"/>
                <w:i w:val="0"/>
                <w:color w:val="0B1727"/>
                <w:sz w:val="17"/>
              </w:rPr>
              <w:t>AAC plant automation levels</w:t>
            </w:r>
          </w:p>
        </w:tc>
        <w:tc>
          <w:tcPr>
            <w:tcW w:type="dxa" w:w="6260"/>
            <w:tcMar>
              <w:top w:w="90" w:type="dxa"/>
              <w:start w:w="120" w:type="dxa"/>
              <w:bottom w:w="90" w:type="dxa"/>
              <w:end w:w="120" w:type="dxa"/>
            </w:tcMar>
            <w:vAlign w:val="center"/>
          </w:tcPr>
          <w:p>
            <w:pPr>
              <w:spacing w:after="0" w:line="252" w:lineRule="auto"/>
            </w:pPr>
            <w:r>
              <w:rPr>
                <w:rFonts w:ascii="Arial" w:hAnsi="Arial"/>
                <w:b w:val="0"/>
                <w:i w:val="0"/>
                <w:color w:val="0B1727"/>
                <w:sz w:val="17"/>
              </w:rPr>
              <w:t>AAC Plant Automation</w:t>
            </w:r>
          </w:p>
        </w:tc>
      </w:tr>
      <w:tr>
        <w:tc>
          <w:tcPr>
            <w:tcW w:type="dxa" w:w="3100"/>
            <w:shd w:fill="F5F7F8"/>
            <w:tcMar>
              <w:top w:w="90" w:type="dxa"/>
              <w:start w:w="120" w:type="dxa"/>
              <w:bottom w:w="90" w:type="dxa"/>
              <w:end w:w="120" w:type="dxa"/>
            </w:tcMar>
            <w:vAlign w:val="center"/>
          </w:tcPr>
          <w:p>
            <w:pPr>
              <w:spacing w:after="0" w:line="252" w:lineRule="auto"/>
            </w:pPr>
            <w:r>
              <w:rPr>
                <w:rFonts w:ascii="Arial" w:hAnsi="Arial"/>
                <w:b w:val="0"/>
                <w:i w:val="0"/>
                <w:color w:val="0B1727"/>
                <w:sz w:val="17"/>
              </w:rPr>
              <w:t>autoclave engineering and safety</w:t>
            </w:r>
          </w:p>
        </w:tc>
        <w:tc>
          <w:tcPr>
            <w:tcW w:type="dxa" w:w="6260"/>
            <w:shd w:fill="F5F7F8"/>
            <w:tcMar>
              <w:top w:w="90" w:type="dxa"/>
              <w:start w:w="120" w:type="dxa"/>
              <w:bottom w:w="90" w:type="dxa"/>
              <w:end w:w="120" w:type="dxa"/>
            </w:tcMar>
            <w:vAlign w:val="center"/>
          </w:tcPr>
          <w:p>
            <w:pPr>
              <w:spacing w:after="0" w:line="252" w:lineRule="auto"/>
            </w:pPr>
            <w:r>
              <w:rPr>
                <w:rFonts w:ascii="Arial" w:hAnsi="Arial"/>
                <w:b w:val="0"/>
                <w:i w:val="0"/>
                <w:color w:val="0B1727"/>
                <w:sz w:val="17"/>
              </w:rPr>
              <w:t>AAC Autoclave Technical Page</w:t>
            </w:r>
          </w:p>
        </w:tc>
      </w:tr>
      <w:tr>
        <w:tc>
          <w:tcPr>
            <w:tcW w:type="dxa" w:w="3100"/>
            <w:tcMar>
              <w:top w:w="90" w:type="dxa"/>
              <w:start w:w="120" w:type="dxa"/>
              <w:bottom w:w="90" w:type="dxa"/>
              <w:end w:w="120" w:type="dxa"/>
            </w:tcMar>
            <w:vAlign w:val="center"/>
          </w:tcPr>
          <w:p>
            <w:pPr>
              <w:spacing w:after="0" w:line="252" w:lineRule="auto"/>
            </w:pPr>
            <w:r>
              <w:rPr>
                <w:rFonts w:ascii="Arial" w:hAnsi="Arial"/>
                <w:b w:val="0"/>
                <w:i w:val="0"/>
                <w:color w:val="0B1727"/>
                <w:sz w:val="17"/>
              </w:rPr>
              <w:t>plan a future plant expansion</w:t>
            </w:r>
          </w:p>
        </w:tc>
        <w:tc>
          <w:tcPr>
            <w:tcW w:type="dxa" w:w="6260"/>
            <w:tcMar>
              <w:top w:w="90" w:type="dxa"/>
              <w:start w:w="120" w:type="dxa"/>
              <w:bottom w:w="90" w:type="dxa"/>
              <w:end w:w="120" w:type="dxa"/>
            </w:tcMar>
            <w:vAlign w:val="center"/>
          </w:tcPr>
          <w:p>
            <w:pPr>
              <w:spacing w:after="0" w:line="252" w:lineRule="auto"/>
            </w:pPr>
            <w:r>
              <w:rPr>
                <w:rFonts w:ascii="Arial" w:hAnsi="Arial"/>
                <w:b w:val="0"/>
                <w:i w:val="0"/>
                <w:color w:val="0B1727"/>
                <w:sz w:val="17"/>
              </w:rPr>
              <w:t>AAC Plant Expansion Service</w:t>
            </w:r>
          </w:p>
        </w:tc>
      </w:tr>
    </w:tbl>
    <w:p>
      <w:pPr>
        <w:widowControl/>
        <w:spacing w:after="20"/>
      </w:pPr>
    </w:p>
    <w:p>
      <w:pPr>
        <w:pStyle w:val="Heading2"/>
        <w:keepNext/>
        <w:widowControl/>
      </w:pPr>
      <w:r>
        <w:t>Recommended visuals and alt text</w:t>
      </w:r>
    </w:p>
    <w:tbl>
      <w:tblPr>
        <w:tblW w:type="dxa" w:w="9360"/>
        <w:jc w:val="left"/>
        <w:tblLayout w:type="fixed"/>
        <w:tblLook w:firstColumn="1" w:firstRow="1" w:lastColumn="0" w:lastRow="0" w:noHBand="0" w:noVBand="1" w:val="04A0"/>
        <w:tblInd w:w="120" w:type="dxa"/>
      </w:tblPr>
      <w:tblGrid>
        <w:gridCol w:w="3600"/>
        <w:gridCol w:w="5760"/>
      </w:tblGrid>
      <w:tr>
        <w:tc>
          <w:tcPr>
            <w:tcW w:type="dxa" w:w="3600"/>
            <w:shd w:fill="0B1727"/>
            <w:tcMar>
              <w:top w:w="90" w:type="dxa"/>
              <w:start w:w="120" w:type="dxa"/>
              <w:bottom w:w="90" w:type="dxa"/>
              <w:end w:w="120" w:type="dxa"/>
            </w:tcMar>
            <w:vAlign w:val="center"/>
          </w:tcPr>
          <w:p>
            <w:pPr>
              <w:spacing w:after="0"/>
            </w:pPr>
            <w:r>
              <w:rPr>
                <w:rFonts w:ascii="Arial" w:hAnsi="Arial"/>
                <w:b/>
                <w:i w:val="0"/>
                <w:color w:val="FFFFFF"/>
                <w:sz w:val="18"/>
              </w:rPr>
              <w:t>Filename</w:t>
            </w:r>
          </w:p>
        </w:tc>
        <w:tc>
          <w:tcPr>
            <w:tcW w:type="dxa" w:w="5760"/>
            <w:shd w:fill="0B1727"/>
            <w:tcMar>
              <w:top w:w="90" w:type="dxa"/>
              <w:start w:w="120" w:type="dxa"/>
              <w:bottom w:w="90" w:type="dxa"/>
              <w:end w:w="120" w:type="dxa"/>
            </w:tcMar>
            <w:vAlign w:val="center"/>
          </w:tcPr>
          <w:p>
            <w:pPr>
              <w:spacing w:after="0"/>
            </w:pPr>
            <w:r>
              <w:rPr>
                <w:rFonts w:ascii="Arial" w:hAnsi="Arial"/>
                <w:b/>
                <w:i w:val="0"/>
                <w:color w:val="FFFFFF"/>
                <w:sz w:val="18"/>
              </w:rPr>
              <w:t>Alt text</w:t>
            </w:r>
          </w:p>
        </w:tc>
        <w:trPr>
          <w:tblHeader/>
        </w:trPr>
      </w:tr>
      <w:tr>
        <w:tc>
          <w:tcPr>
            <w:tcW w:type="dxa" w:w="3600"/>
            <w:tcMar>
              <w:top w:w="90" w:type="dxa"/>
              <w:start w:w="120" w:type="dxa"/>
              <w:bottom w:w="90" w:type="dxa"/>
              <w:end w:w="120" w:type="dxa"/>
            </w:tcMar>
            <w:vAlign w:val="center"/>
          </w:tcPr>
          <w:p>
            <w:pPr>
              <w:spacing w:after="0" w:line="252" w:lineRule="auto"/>
            </w:pPr>
            <w:r>
              <w:rPr>
                <w:rFonts w:ascii="Arial" w:hAnsi="Arial"/>
                <w:b w:val="0"/>
                <w:i w:val="0"/>
                <w:color w:val="0B1727"/>
                <w:sz w:val="17"/>
              </w:rPr>
              <w:t>straight-aac-plant-layout-process-flow.webp</w:t>
            </w:r>
          </w:p>
        </w:tc>
        <w:tc>
          <w:tcPr>
            <w:tcW w:type="dxa" w:w="5760"/>
            <w:tcMar>
              <w:top w:w="90" w:type="dxa"/>
              <w:start w:w="120" w:type="dxa"/>
              <w:bottom w:w="90" w:type="dxa"/>
              <w:end w:w="120" w:type="dxa"/>
            </w:tcMar>
            <w:vAlign w:val="center"/>
          </w:tcPr>
          <w:p>
            <w:pPr>
              <w:spacing w:after="0" w:line="252" w:lineRule="auto"/>
            </w:pPr>
            <w:r>
              <w:rPr>
                <w:rFonts w:ascii="Arial" w:hAnsi="Arial"/>
                <w:b w:val="0"/>
                <w:i w:val="0"/>
                <w:color w:val="0B1727"/>
                <w:sz w:val="17"/>
              </w:rPr>
              <w:t>Straight AAC plant layout showing raw-material, cutting, autoclaving and packing flow</w:t>
            </w:r>
          </w:p>
        </w:tc>
      </w:tr>
      <w:tr>
        <w:tc>
          <w:tcPr>
            <w:tcW w:type="dxa" w:w="3600"/>
            <w:shd w:fill="F5F7F8"/>
            <w:tcMar>
              <w:top w:w="90" w:type="dxa"/>
              <w:start w:w="120" w:type="dxa"/>
              <w:bottom w:w="90" w:type="dxa"/>
              <w:end w:w="120" w:type="dxa"/>
            </w:tcMar>
            <w:vAlign w:val="center"/>
          </w:tcPr>
          <w:p>
            <w:pPr>
              <w:spacing w:after="0" w:line="252" w:lineRule="auto"/>
            </w:pPr>
            <w:r>
              <w:rPr>
                <w:rFonts w:ascii="Arial" w:hAnsi="Arial"/>
                <w:b w:val="0"/>
                <w:i w:val="0"/>
                <w:color w:val="0B1727"/>
                <w:sz w:val="17"/>
              </w:rPr>
              <w:t>l-shape-aac-plant-layout-process-flow.webp</w:t>
            </w:r>
          </w:p>
        </w:tc>
        <w:tc>
          <w:tcPr>
            <w:tcW w:type="dxa" w:w="5760"/>
            <w:shd w:fill="F5F7F8"/>
            <w:tcMar>
              <w:top w:w="90" w:type="dxa"/>
              <w:start w:w="120" w:type="dxa"/>
              <w:bottom w:w="90" w:type="dxa"/>
              <w:end w:w="120" w:type="dxa"/>
            </w:tcMar>
            <w:vAlign w:val="center"/>
          </w:tcPr>
          <w:p>
            <w:pPr>
              <w:spacing w:after="0" w:line="252" w:lineRule="auto"/>
            </w:pPr>
            <w:r>
              <w:rPr>
                <w:rFonts w:ascii="Arial" w:hAnsi="Arial"/>
                <w:b w:val="0"/>
                <w:i w:val="0"/>
                <w:color w:val="0B1727"/>
                <w:sz w:val="17"/>
              </w:rPr>
              <w:t>L-shape AAC production line arranged for a balanced industrial plot</w:t>
            </w:r>
          </w:p>
        </w:tc>
      </w:tr>
      <w:tr>
        <w:tc>
          <w:tcPr>
            <w:tcW w:type="dxa" w:w="3600"/>
            <w:tcMar>
              <w:top w:w="90" w:type="dxa"/>
              <w:start w:w="120" w:type="dxa"/>
              <w:bottom w:w="90" w:type="dxa"/>
              <w:end w:w="120" w:type="dxa"/>
            </w:tcMar>
            <w:vAlign w:val="center"/>
          </w:tcPr>
          <w:p>
            <w:pPr>
              <w:spacing w:after="0" w:line="252" w:lineRule="auto"/>
            </w:pPr>
            <w:r>
              <w:rPr>
                <w:rFonts w:ascii="Arial" w:hAnsi="Arial"/>
                <w:b w:val="0"/>
                <w:i w:val="0"/>
                <w:color w:val="0B1727"/>
                <w:sz w:val="17"/>
              </w:rPr>
              <w:t>single-door-aac-autoclave-layout.webp</w:t>
            </w:r>
          </w:p>
        </w:tc>
        <w:tc>
          <w:tcPr>
            <w:tcW w:type="dxa" w:w="5760"/>
            <w:tcMar>
              <w:top w:w="90" w:type="dxa"/>
              <w:start w:w="120" w:type="dxa"/>
              <w:bottom w:w="90" w:type="dxa"/>
              <w:end w:w="120" w:type="dxa"/>
            </w:tcMar>
            <w:vAlign w:val="center"/>
          </w:tcPr>
          <w:p>
            <w:pPr>
              <w:spacing w:after="0" w:line="252" w:lineRule="auto"/>
            </w:pPr>
            <w:r>
              <w:rPr>
                <w:rFonts w:ascii="Arial" w:hAnsi="Arial"/>
                <w:b w:val="0"/>
                <w:i w:val="0"/>
                <w:color w:val="0B1727"/>
                <w:sz w:val="17"/>
              </w:rPr>
              <w:t>Single-door autoclave arrangement with loading and unloading on the same side</w:t>
            </w:r>
          </w:p>
        </w:tc>
      </w:tr>
      <w:tr>
        <w:tc>
          <w:tcPr>
            <w:tcW w:type="dxa" w:w="3600"/>
            <w:shd w:fill="F5F7F8"/>
            <w:tcMar>
              <w:top w:w="90" w:type="dxa"/>
              <w:start w:w="120" w:type="dxa"/>
              <w:bottom w:w="90" w:type="dxa"/>
              <w:end w:w="120" w:type="dxa"/>
            </w:tcMar>
            <w:vAlign w:val="center"/>
          </w:tcPr>
          <w:p>
            <w:pPr>
              <w:spacing w:after="0" w:line="252" w:lineRule="auto"/>
            </w:pPr>
            <w:r>
              <w:rPr>
                <w:rFonts w:ascii="Arial" w:hAnsi="Arial"/>
                <w:b w:val="0"/>
                <w:i w:val="0"/>
                <w:color w:val="0B1727"/>
                <w:sz w:val="17"/>
              </w:rPr>
              <w:t>double-door-aac-autoclave-layout.webp</w:t>
            </w:r>
          </w:p>
        </w:tc>
        <w:tc>
          <w:tcPr>
            <w:tcW w:type="dxa" w:w="5760"/>
            <w:shd w:fill="F5F7F8"/>
            <w:tcMar>
              <w:top w:w="90" w:type="dxa"/>
              <w:start w:w="120" w:type="dxa"/>
              <w:bottom w:w="90" w:type="dxa"/>
              <w:end w:w="120" w:type="dxa"/>
            </w:tcMar>
            <w:vAlign w:val="center"/>
          </w:tcPr>
          <w:p>
            <w:pPr>
              <w:spacing w:after="0" w:line="252" w:lineRule="auto"/>
            </w:pPr>
            <w:r>
              <w:rPr>
                <w:rFonts w:ascii="Arial" w:hAnsi="Arial"/>
                <w:b w:val="0"/>
                <w:i w:val="0"/>
                <w:color w:val="0B1727"/>
                <w:sz w:val="17"/>
              </w:rPr>
              <w:t>Double-door autoclave arrangement with separate loading and unloading sides</w:t>
            </w:r>
          </w:p>
        </w:tc>
      </w:tr>
      <w:tr>
        <w:tc>
          <w:tcPr>
            <w:tcW w:type="dxa" w:w="3600"/>
            <w:tcMar>
              <w:top w:w="90" w:type="dxa"/>
              <w:start w:w="120" w:type="dxa"/>
              <w:bottom w:w="90" w:type="dxa"/>
              <w:end w:w="120" w:type="dxa"/>
            </w:tcMar>
            <w:vAlign w:val="center"/>
          </w:tcPr>
          <w:p>
            <w:pPr>
              <w:spacing w:after="0" w:line="252" w:lineRule="auto"/>
            </w:pPr>
            <w:r>
              <w:rPr>
                <w:rFonts w:ascii="Arial" w:hAnsi="Arial"/>
                <w:b w:val="0"/>
                <w:i w:val="0"/>
                <w:color w:val="0B1727"/>
                <w:sz w:val="17"/>
              </w:rPr>
              <w:t>aac-layout-expansion-reservation.webp</w:t>
            </w:r>
          </w:p>
        </w:tc>
        <w:tc>
          <w:tcPr>
            <w:tcW w:type="dxa" w:w="5760"/>
            <w:tcMar>
              <w:top w:w="90" w:type="dxa"/>
              <w:start w:w="120" w:type="dxa"/>
              <w:bottom w:w="90" w:type="dxa"/>
              <w:end w:w="120" w:type="dxa"/>
            </w:tcMar>
            <w:vAlign w:val="center"/>
          </w:tcPr>
          <w:p>
            <w:pPr>
              <w:spacing w:after="0" w:line="252" w:lineRule="auto"/>
            </w:pPr>
            <w:r>
              <w:rPr>
                <w:rFonts w:ascii="Arial" w:hAnsi="Arial"/>
                <w:b w:val="0"/>
                <w:i w:val="0"/>
                <w:color w:val="0B1727"/>
                <w:sz w:val="17"/>
              </w:rPr>
              <w:t>AAC plant layout showing reserved space for future autoclaves and expansion</w:t>
            </w:r>
          </w:p>
        </w:tc>
      </w:tr>
    </w:tbl>
    <w:p>
      <w:pPr>
        <w:widowControl/>
        <w:spacing w:after="20"/>
      </w:pPr>
    </w:p>
    <w:p>
      <w:pPr>
        <w:pStyle w:val="Heading2"/>
        <w:keepNext/>
        <w:widowControl/>
      </w:pPr>
      <w:r>
        <w:t>Structured data</w:t>
      </w:r>
    </w:p>
    <w:p>
      <w:pPr>
        <w:pStyle w:val="ListBullet"/>
        <w:widowControl/>
      </w:pPr>
      <w:r>
        <w:rPr>
          <w:rFonts w:ascii="Arial" w:hAnsi="Arial"/>
          <w:b w:val="0"/>
          <w:i w:val="0"/>
          <w:color w:val="0B1727"/>
          <w:sz w:val="21"/>
        </w:rPr>
        <w:t>Use TechArticle or Article for the visible technical guide.</w:t>
      </w:r>
    </w:p>
    <w:p>
      <w:pPr>
        <w:pStyle w:val="ListBullet"/>
        <w:widowControl/>
      </w:pPr>
      <w:r>
        <w:rPr>
          <w:rFonts w:ascii="Arial" w:hAnsi="Arial"/>
          <w:b w:val="0"/>
          <w:i w:val="0"/>
          <w:color w:val="0B1727"/>
          <w:sz w:val="21"/>
        </w:rPr>
        <w:t>Use BreadcrumbList matching the visible breadcrumb.</w:t>
      </w:r>
    </w:p>
    <w:p>
      <w:pPr>
        <w:pStyle w:val="ListBullet"/>
        <w:widowControl/>
      </w:pPr>
      <w:r>
        <w:rPr>
          <w:rFonts w:ascii="Arial" w:hAnsi="Arial"/>
          <w:b w:val="0"/>
          <w:i w:val="0"/>
          <w:color w:val="0B1727"/>
          <w:sz w:val="21"/>
        </w:rPr>
        <w:t>Use Organization sitewide with verified legal name, logo, address and contact details.</w:t>
      </w:r>
    </w:p>
    <w:p>
      <w:pPr>
        <w:pStyle w:val="ListBullet"/>
        <w:widowControl/>
      </w:pPr>
      <w:r>
        <w:rPr>
          <w:rFonts w:ascii="Arial" w:hAnsi="Arial"/>
          <w:b w:val="0"/>
          <w:i w:val="0"/>
          <w:color w:val="0B1727"/>
          <w:sz w:val="21"/>
        </w:rPr>
        <w:t>Use FAQPage only when the marked-up questions and answers are visible and identical to the page.</w:t>
      </w:r>
    </w:p>
    <w:p>
      <w:pPr>
        <w:pStyle w:val="ListBullet"/>
        <w:widowControl/>
      </w:pPr>
      <w:r>
        <w:rPr>
          <w:rFonts w:ascii="Arial" w:hAnsi="Arial"/>
          <w:b w:val="0"/>
          <w:i w:val="0"/>
          <w:color w:val="0B1727"/>
          <w:sz w:val="21"/>
        </w:rPr>
        <w:t>Add author and technical reviewer properties only after the named people are shown visibly on the page.</w:t>
      </w:r>
    </w:p>
    <w:p>
      <w:pPr>
        <w:pStyle w:val="ListBullet"/>
        <w:widowControl/>
      </w:pPr>
      <w:r>
        <w:rPr>
          <w:rFonts w:ascii="Arial" w:hAnsi="Arial"/>
          <w:b w:val="0"/>
          <w:i w:val="0"/>
          <w:color w:val="0B1727"/>
          <w:sz w:val="21"/>
        </w:rPr>
        <w:t>Add datePublished and dateModified visibly and in markup.</w:t>
      </w:r>
    </w:p>
    <w:p>
      <w:pPr>
        <w:pStyle w:val="Heading2"/>
        <w:keepNext/>
        <w:widowControl/>
      </w:pPr>
      <w:r>
        <w:t>Publication verification checklist</w:t>
      </w:r>
    </w:p>
    <w:p>
      <w:pPr>
        <w:pStyle w:val="ListBullet"/>
        <w:widowControl/>
      </w:pPr>
      <w:r>
        <w:rPr>
          <w:rFonts w:ascii="Arial" w:hAnsi="Arial"/>
          <w:b w:val="0"/>
          <w:i w:val="0"/>
          <w:color w:val="0B1727"/>
          <w:sz w:val="21"/>
        </w:rPr>
        <w:t>Insert the named technical author or reviewer before publication.</w:t>
      </w:r>
    </w:p>
    <w:p>
      <w:pPr>
        <w:pStyle w:val="ListBullet"/>
        <w:widowControl/>
      </w:pPr>
      <w:r>
        <w:rPr>
          <w:rFonts w:ascii="Arial" w:hAnsi="Arial"/>
          <w:b w:val="0"/>
          <w:i w:val="0"/>
          <w:color w:val="0B1727"/>
          <w:sz w:val="21"/>
        </w:rPr>
        <w:t>Add original annotated drawings for all four configurations.</w:t>
      </w:r>
    </w:p>
    <w:p>
      <w:pPr>
        <w:pStyle w:val="ListBullet"/>
        <w:widowControl/>
      </w:pPr>
      <w:r>
        <w:rPr>
          <w:rFonts w:ascii="Arial" w:hAnsi="Arial"/>
          <w:b w:val="0"/>
          <w:i w:val="0"/>
          <w:color w:val="0B1727"/>
          <w:sz w:val="21"/>
        </w:rPr>
        <w:t>Add one approved, documented project example when available.</w:t>
      </w:r>
    </w:p>
    <w:p>
      <w:pPr>
        <w:pStyle w:val="ListBullet"/>
        <w:widowControl/>
      </w:pPr>
      <w:r>
        <w:rPr>
          <w:rFonts w:ascii="Arial" w:hAnsi="Arial"/>
          <w:b w:val="0"/>
          <w:i w:val="0"/>
          <w:color w:val="0B1727"/>
          <w:sz w:val="21"/>
        </w:rPr>
        <w:t>Do not reintroduce fixed cycle times, cost savings or performance claims without supporting assumptions and evidence.</w:t>
      </w:r>
    </w:p>
    <w:p>
      <w:pPr>
        <w:pStyle w:val="ListBullet"/>
        <w:widowControl/>
      </w:pPr>
      <w:r>
        <w:rPr>
          <w:rFonts w:ascii="Arial" w:hAnsi="Arial"/>
          <w:b w:val="0"/>
          <w:i w:val="0"/>
          <w:color w:val="0B1727"/>
          <w:sz w:val="21"/>
        </w:rPr>
        <w:t>Confirm the exact service deliverables and exclusions in the CTA wording.</w:t>
      </w:r>
    </w:p>
    <w:p>
      <w:pPr>
        <w:pStyle w:val="ListBullet"/>
        <w:widowControl/>
      </w:pPr>
      <w:r>
        <w:rPr>
          <w:rFonts w:ascii="Arial" w:hAnsi="Arial"/>
          <w:b w:val="0"/>
          <w:i w:val="0"/>
          <w:color w:val="0B1727"/>
          <w:sz w:val="21"/>
        </w:rPr>
        <w:t>Add canonical URL, XML sitemap entry and internal links from the Design Your Plant hub.</w:t>
      </w:r>
    </w:p>
    <w:p>
      <w:pPr>
        <w:pStyle w:val="ListBullet"/>
        <w:widowControl/>
      </w:pPr>
      <w:r>
        <w:rPr>
          <w:rFonts w:ascii="Arial" w:hAnsi="Arial"/>
          <w:b w:val="0"/>
          <w:i w:val="0"/>
          <w:color w:val="0B1727"/>
          <w:sz w:val="21"/>
        </w:rPr>
        <w:t>Confirm indexability, mobile rendering, image dimensions and Core Web Vitals.</w:t>
      </w:r>
    </w:p>
    <w:sectPr w:rsidR="00FC693F" w:rsidRPr="0006063C" w:rsidSect="00034616">
      <w:headerReference w:type="default" r:id="rId9"/>
      <w:footerReference w:type="default" r:id="rId10"/>
      <w:pgSz w:w="12240" w:h="15840"/>
      <w:pgMar w:top="1123" w:right="1181" w:bottom="1037" w:left="1181" w:header="490" w:footer="49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b w:val="0"/>
        <w:i w:val="0"/>
        <w:color w:val="516273"/>
        <w:sz w:val="16"/>
      </w:rPr>
      <w:t>Publication-ready website copy  |  22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b/>
        <w:i w:val="0"/>
        <w:color w:val="516273"/>
        <w:sz w:val="17"/>
      </w:rPr>
      <w:t>LAXMI EN-FAB PVT. LTD.  |  AAC INVESTOR ACADEMY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720"/>
        </w:tabs>
        <w:ind w:left="720" w:hanging="360"/>
      </w:pPr>
    </w:lvl>
  </w:abstractNum>
  <w:num w:numId="10">
    <w:abstractNumId w:val="9"/>
  </w:num>
  <w:abstractNum w:abstractNumId="10">
    <w:multiLevelType w:val="singleLevel"/>
    <w:lvl w:ilvl="0">
      <w:start w:val="1"/>
      <w:numFmt w:val="decimal"/>
      <w:lvlText w:val="%1."/>
      <w:lvlJc w:val="left"/>
      <w:pPr>
        <w:tabs>
          <w:tab w:val="num" w:pos="720"/>
        </w:tabs>
        <w:ind w:left="720" w:hanging="360"/>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Arial" w:hAnsi="Arial"/>
      <w:color w:val="0B172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rial" w:hAnsi="Arial"/>
      <w:b/>
      <w:bCs/>
      <w:color w:val="0B1727"/>
      <w:sz w:val="36"/>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Arial" w:hAnsi="Arial"/>
      <w:b/>
      <w:bCs/>
      <w:color w:val="0C4F80"/>
      <w:sz w:val="28"/>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rial" w:hAnsi="Arial"/>
      <w:b/>
      <w:bCs/>
      <w:color w:val="0B172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ind w:left="403" w:hanging="259"/>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ind w:left="403" w:hanging="259"/>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AAC Plant Layout Design - Publication-Ready Website Page</dc:title>
  <dc:subject>SEO and AI-ready technical guide for AAC plant layout planning</dc:subject>
  <dc:creator>Laxmi En-Fab Pvt. Ltd.</dc:creator>
  <cp:keywords>AAC plant layout, AAC block plant layout, straight layout, L-shape layout, autoclave layout</cp:keywords>
  <dc:description>generated by python-docx</dc:description>
  <cp:lastModifiedBy/>
  <cp:revision>1</cp:revision>
  <dcterms:created xsi:type="dcterms:W3CDTF">2013-12-23T23:15:00Z</dcterms:created>
  <dcterms:modified xsi:type="dcterms:W3CDTF">2013-12-23T23:15:00Z</dcterms:modified>
  <cp:category/>
</cp:coreProperties>
</file>