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Pr>
      <w:r>
        <w:rPr>
          <w:rFonts w:ascii="Arial" w:hAnsi="Arial"/>
          <w:b/>
          <w:i w:val="0"/>
          <w:color w:val="0C4F80"/>
          <w:sz w:val="18"/>
        </w:rPr>
        <w:t>AAC PLANT CAPACITY SELECTION GUIDE</w:t>
      </w:r>
    </w:p>
    <w:p>
      <w:pPr>
        <w:spacing w:after="120"/>
      </w:pPr>
      <w:r>
        <w:rPr>
          <w:rFonts w:ascii="Arial" w:hAnsi="Arial"/>
          <w:b/>
          <w:i w:val="0"/>
          <w:color w:val="0B1727"/>
          <w:sz w:val="54"/>
        </w:rPr>
        <w:t>How to Choose the Right AAC Plant Batch Size and Capacity</w:t>
      </w:r>
    </w:p>
    <w:p>
      <w:pPr>
        <w:spacing w:after="360"/>
      </w:pPr>
      <w:r>
        <w:rPr>
          <w:rFonts w:ascii="Arial" w:hAnsi="Arial"/>
          <w:b w:val="0"/>
          <w:i w:val="0"/>
          <w:color w:val="566475"/>
          <w:sz w:val="26"/>
        </w:rPr>
        <w:t>Why practical output depends on the complete production system—not only on mixer volume, automation or autoclave quantity.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0B1727"/>
            <w:tcMar>
              <w:top w:w="90" w:type="dxa"/>
              <w:start w:w="110" w:type="dxa"/>
              <w:bottom w:w="90" w:type="dxa"/>
              <w:end w:w="110" w:type="dxa"/>
            </w:tcMar>
            <w:vAlign w:val="center"/>
          </w:tcPr>
          <w:p>
            <w:pPr>
              <w:spacing w:after="0"/>
            </w:pPr>
            <w:r>
              <w:rPr>
                <w:rFonts w:ascii="Arial" w:hAnsi="Arial"/>
                <w:b/>
                <w:i w:val="0"/>
                <w:color w:val="FFFFFF"/>
                <w:sz w:val="17"/>
              </w:rPr>
              <w:t>Page element</w:t>
            </w:r>
          </w:p>
        </w:tc>
        <w:tc>
          <w:tcPr>
            <w:tcW w:type="dxa" w:w="7560"/>
            <w:shd w:fill="0B1727"/>
            <w:tcMar>
              <w:top w:w="90" w:type="dxa"/>
              <w:start w:w="110" w:type="dxa"/>
              <w:bottom w:w="90" w:type="dxa"/>
              <w:end w:w="110" w:type="dxa"/>
            </w:tcMar>
            <w:vAlign w:val="center"/>
          </w:tcPr>
          <w:p>
            <w:pPr>
              <w:spacing w:after="0"/>
            </w:pPr>
            <w:r>
              <w:rPr>
                <w:rFonts w:ascii="Arial" w:hAnsi="Arial"/>
                <w:b/>
                <w:i w:val="0"/>
                <w:color w:val="FFFFFF"/>
                <w:sz w:val="17"/>
              </w:rPr>
              <w:t>Publication recommendation</w:t>
            </w:r>
          </w:p>
        </w:tc>
      </w:tr>
      <w:tr>
        <w:trPr>
          <w:cantSplit/>
        </w:trPr>
        <w:tc>
          <w:tcPr>
            <w:tcW w:type="dxa" w:w="2232"/>
            <w:tcMar>
              <w:top w:w="90" w:type="dxa"/>
              <w:start w:w="110" w:type="dxa"/>
              <w:bottom w:w="90" w:type="dxa"/>
              <w:end w:w="110" w:type="dxa"/>
            </w:tcMar>
            <w:vAlign w:val="top"/>
          </w:tcPr>
          <w:p>
            <w:pPr>
              <w:spacing w:after="0"/>
            </w:pPr>
            <w:r>
              <w:rPr>
                <w:rFonts w:ascii="Arial" w:hAnsi="Arial"/>
                <w:b w:val="0"/>
                <w:i w:val="0"/>
                <w:color w:val="0B1727"/>
                <w:sz w:val="17"/>
              </w:rPr>
              <w:t>SEO title</w:t>
            </w:r>
          </w:p>
        </w:tc>
        <w:tc>
          <w:tcPr>
            <w:tcW w:type="dxa" w:w="7560"/>
            <w:tcMar>
              <w:top w:w="90" w:type="dxa"/>
              <w:start w:w="110" w:type="dxa"/>
              <w:bottom w:w="90" w:type="dxa"/>
              <w:end w:w="110" w:type="dxa"/>
            </w:tcMar>
            <w:vAlign w:val="top"/>
          </w:tcPr>
          <w:p>
            <w:pPr>
              <w:spacing w:after="0"/>
            </w:pPr>
            <w:r>
              <w:rPr>
                <w:rFonts w:ascii="Arial" w:hAnsi="Arial"/>
                <w:b w:val="0"/>
                <w:i w:val="0"/>
                <w:color w:val="0B1727"/>
                <w:sz w:val="17"/>
              </w:rPr>
              <w:t>AAC Plant Batch Size &amp; Capacity Selection Guide</w:t>
            </w:r>
          </w:p>
        </w:tc>
      </w:tr>
      <w:tr>
        <w:trPr>
          <w:cantSplit/>
        </w:trPr>
        <w:tc>
          <w:tcPr>
            <w:tcW w:type="dxa" w:w="2232"/>
            <w:shd w:fill="F5F7F8"/>
            <w:tcMar>
              <w:top w:w="90" w:type="dxa"/>
              <w:start w:w="110" w:type="dxa"/>
              <w:bottom w:w="90" w:type="dxa"/>
              <w:end w:w="110" w:type="dxa"/>
            </w:tcMar>
            <w:vAlign w:val="top"/>
          </w:tcPr>
          <w:p>
            <w:pPr>
              <w:spacing w:after="0"/>
            </w:pPr>
            <w:r>
              <w:rPr>
                <w:rFonts w:ascii="Arial" w:hAnsi="Arial"/>
                <w:b w:val="0"/>
                <w:i w:val="0"/>
                <w:color w:val="0B1727"/>
                <w:sz w:val="17"/>
              </w:rPr>
              <w:t>Meta description</w:t>
            </w:r>
          </w:p>
        </w:tc>
        <w:tc>
          <w:tcPr>
            <w:tcW w:type="dxa" w:w="7560"/>
            <w:shd w:fill="F5F7F8"/>
            <w:tcMar>
              <w:top w:w="90" w:type="dxa"/>
              <w:start w:w="110" w:type="dxa"/>
              <w:bottom w:w="90" w:type="dxa"/>
              <w:end w:w="110" w:type="dxa"/>
            </w:tcMar>
            <w:vAlign w:val="top"/>
          </w:tcPr>
          <w:p>
            <w:pPr>
              <w:spacing w:after="0"/>
            </w:pPr>
            <w:r>
              <w:rPr>
                <w:rFonts w:ascii="Arial" w:hAnsi="Arial"/>
                <w:b w:val="0"/>
                <w:i w:val="0"/>
                <w:color w:val="0B1727"/>
                <w:sz w:val="17"/>
              </w:rPr>
              <w:t>Learn how batch size, mould cycles, automation, autoclaves and utilities determine practical AAC plant capacity and future expansion.</w:t>
            </w:r>
          </w:p>
        </w:tc>
      </w:tr>
      <w:tr>
        <w:trPr>
          <w:cantSplit/>
        </w:trPr>
        <w:tc>
          <w:tcPr>
            <w:tcW w:type="dxa" w:w="2232"/>
            <w:tcMar>
              <w:top w:w="90" w:type="dxa"/>
              <w:start w:w="110" w:type="dxa"/>
              <w:bottom w:w="90" w:type="dxa"/>
              <w:end w:w="110" w:type="dxa"/>
            </w:tcMar>
            <w:vAlign w:val="top"/>
          </w:tcPr>
          <w:p>
            <w:pPr>
              <w:spacing w:after="0"/>
            </w:pPr>
            <w:r>
              <w:rPr>
                <w:rFonts w:ascii="Arial" w:hAnsi="Arial"/>
                <w:b w:val="0"/>
                <w:i w:val="0"/>
                <w:color w:val="0B1727"/>
                <w:sz w:val="17"/>
              </w:rPr>
              <w:t>Recommended URL</w:t>
            </w:r>
          </w:p>
        </w:tc>
        <w:tc>
          <w:tcPr>
            <w:tcW w:type="dxa" w:w="7560"/>
            <w:tcMar>
              <w:top w:w="90" w:type="dxa"/>
              <w:start w:w="110" w:type="dxa"/>
              <w:bottom w:w="90" w:type="dxa"/>
              <w:end w:w="110" w:type="dxa"/>
            </w:tcMar>
            <w:vAlign w:val="top"/>
          </w:tcPr>
          <w:p>
            <w:pPr>
              <w:spacing w:after="0"/>
            </w:pPr>
            <w:r>
              <w:rPr>
                <w:rFonts w:ascii="Arial" w:hAnsi="Arial"/>
                <w:b w:val="0"/>
                <w:i w:val="0"/>
                <w:color w:val="0B1727"/>
                <w:sz w:val="17"/>
              </w:rPr>
              <w:t>/aac-plant-batch-size-capacity-selection/</w:t>
            </w:r>
          </w:p>
        </w:tc>
      </w:tr>
      <w:tr>
        <w:trPr>
          <w:cantSplit/>
        </w:trPr>
        <w:tc>
          <w:tcPr>
            <w:tcW w:type="dxa" w:w="2232"/>
            <w:shd w:fill="F5F7F8"/>
            <w:tcMar>
              <w:top w:w="90" w:type="dxa"/>
              <w:start w:w="110" w:type="dxa"/>
              <w:bottom w:w="90" w:type="dxa"/>
              <w:end w:w="110" w:type="dxa"/>
            </w:tcMar>
            <w:vAlign w:val="top"/>
          </w:tcPr>
          <w:p>
            <w:pPr>
              <w:spacing w:after="0"/>
            </w:pPr>
            <w:r>
              <w:rPr>
                <w:rFonts w:ascii="Arial" w:hAnsi="Arial"/>
                <w:b w:val="0"/>
                <w:i w:val="0"/>
                <w:color w:val="0B1727"/>
                <w:sz w:val="17"/>
              </w:rPr>
              <w:t>Primary audience</w:t>
            </w:r>
          </w:p>
        </w:tc>
        <w:tc>
          <w:tcPr>
            <w:tcW w:type="dxa" w:w="7560"/>
            <w:shd w:fill="F5F7F8"/>
            <w:tcMar>
              <w:top w:w="90" w:type="dxa"/>
              <w:start w:w="110" w:type="dxa"/>
              <w:bottom w:w="90" w:type="dxa"/>
              <w:end w:w="110" w:type="dxa"/>
            </w:tcMar>
            <w:vAlign w:val="top"/>
          </w:tcPr>
          <w:p>
            <w:pPr>
              <w:spacing w:after="0"/>
            </w:pPr>
            <w:r>
              <w:rPr>
                <w:rFonts w:ascii="Arial" w:hAnsi="Arial"/>
                <w:b w:val="0"/>
                <w:i w:val="0"/>
                <w:color w:val="0B1727"/>
                <w:sz w:val="17"/>
              </w:rPr>
              <w:t>New investors, existing AAC manufacturers, consultants, technical teams and purchase teams</w:t>
            </w:r>
          </w:p>
        </w:tc>
      </w:tr>
    </w:tbl>
    <w:p>
      <w:pPr>
        <w:spacing w:after="20"/>
      </w:pPr>
    </w:p>
    <w:tbl>
      <w:tblPr>
        <w:tblW w:type="auto" w:w="0"/>
        <w:jc w:val="center"/>
        <w:tblLayout w:type="fixed"/>
        <w:tblLook w:firstColumn="1" w:firstRow="1" w:lastColumn="0" w:lastRow="0" w:noHBand="0" w:noVBand="1" w:val="04A0"/>
      </w:tblPr>
      <w:tblGrid>
        <w:gridCol w:w="9994"/>
      </w:tblGrid>
      <w:tr>
        <w:trPr>
          <w:cantSplit/>
        </w:trPr>
        <w:tc>
          <w:tcPr>
            <w:tcW w:type="dxa" w:w="9792"/>
            <w:shd w:fill="EEF2F5"/>
            <w:tcMar>
              <w:top w:w="160" w:type="dxa"/>
              <w:start w:w="180" w:type="dxa"/>
              <w:bottom w:w="160" w:type="dxa"/>
              <w:end w:w="180" w:type="dxa"/>
            </w:tcMar>
          </w:tcPr>
          <w:p>
            <w:pPr>
              <w:spacing w:after="60"/>
            </w:pPr>
            <w:r>
              <w:rPr>
                <w:rFonts w:ascii="Arial" w:hAnsi="Arial"/>
                <w:b/>
                <w:i w:val="0"/>
                <w:color w:val="0C4F80"/>
                <w:sz w:val="17"/>
              </w:rPr>
              <w:t>DIRECT ANSWER</w:t>
            </w:r>
          </w:p>
          <w:p>
            <w:pPr>
              <w:spacing w:after="0"/>
            </w:pPr>
            <w:r>
              <w:rPr>
                <w:rFonts w:ascii="Arial" w:hAnsi="Arial"/>
                <w:b/>
                <w:i w:val="0"/>
                <w:color w:val="0B1727"/>
                <w:sz w:val="22"/>
              </w:rPr>
              <w:t>Batch size establishes the production platform of an AAC plant, but it does not determine output by itself. Sustainable production depends on the slowest integrated stage across raw-material preparation, casting, pre-curing, mould circulation, cutting, autoclaving, finished-product handling and packing.</w:t>
            </w:r>
          </w:p>
        </w:tc>
      </w:tr>
    </w:tbl>
    <w:p>
      <w:pPr>
        <w:spacing w:after="20"/>
      </w:pPr>
    </w:p>
    <w:p>
      <w:pPr>
        <w:pStyle w:val="Heading1"/>
      </w:pPr>
      <w:r>
        <w:t>Why AAC Plant Size Must Be Selected as a Complete System</w:t>
      </w:r>
    </w:p>
    <w:p>
      <w:r>
        <w:rPr>
          <w:rFonts w:ascii="Arial" w:hAnsi="Arial"/>
          <w:b w:val="0"/>
          <w:i w:val="0"/>
          <w:color w:val="0B1727"/>
          <w:sz w:val="21"/>
        </w:rPr>
        <w:t>Selecting AAC plant capacity is one of the most important decisions in a new block or panel project. A plant selected only around present-day demand may restrict future expansion. A plant selected only around an ambitious maximum figure may create unnecessary capital cost, working-capital pressure and prolonged underutilisation.</w:t>
      </w:r>
    </w:p>
    <w:p>
      <w:r>
        <w:rPr>
          <w:rFonts w:ascii="Arial" w:hAnsi="Arial"/>
          <w:b w:val="0"/>
          <w:i w:val="0"/>
          <w:color w:val="0B1727"/>
          <w:sz w:val="21"/>
        </w:rPr>
        <w:t>A frequent mistake is to compare plants only by the number of autoclaves or the stated boiler capacity. Autoclaves are essential, but they are only one part of an interdependent production line. If casting, pre-curing, cutting, cranes or packing cannot sustain the required cycle, additional autoclave volume will not by itself deliver the promised output.</w:t>
      </w:r>
    </w:p>
    <w:p>
      <w:r>
        <w:rPr>
          <w:rFonts w:ascii="Arial" w:hAnsi="Arial"/>
          <w:b w:val="0"/>
          <w:i w:val="0"/>
          <w:color w:val="0B1727"/>
          <w:sz w:val="21"/>
        </w:rPr>
        <w:t>The correct question is not simply, “How many autoclaves does the plant have?” It is, “Can every production stage sustain the required saleable output under the same operating assumptions?”</w:t>
      </w:r>
    </w:p>
    <w:p>
      <w:pPr>
        <w:pStyle w:val="Heading1"/>
      </w:pPr>
      <w:r>
        <w:t>What Is Batch Size in an AAC Plant?</w:t>
      </w:r>
    </w:p>
    <w:p>
      <w:r>
        <w:rPr>
          <w:rFonts w:ascii="Arial" w:hAnsi="Arial"/>
          <w:b w:val="0"/>
          <w:i w:val="0"/>
          <w:color w:val="0B1727"/>
          <w:sz w:val="21"/>
        </w:rPr>
        <w:t>AAC plant batch size generally refers to the designed volume of mixed slurry prepared for one casting cycle. It influences the mixer, mould system, lifting and tilting equipment, cutting geometry, crane capacity, material flow and the scale of several supporting systems.</w:t>
      </w:r>
    </w:p>
    <w:p>
      <w:r>
        <w:rPr>
          <w:rFonts w:ascii="Arial" w:hAnsi="Arial"/>
          <w:b w:val="0"/>
          <w:i w:val="0"/>
          <w:color w:val="0B1727"/>
          <w:sz w:val="21"/>
        </w:rPr>
        <w:t>However, supplier terminology must be checked carefully. Mixer gross volume, usable slurry volume, mould volume and net saleable cake volume are not automatically identical.</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0B1727"/>
            <w:tcMar>
              <w:top w:w="90" w:type="dxa"/>
              <w:start w:w="110" w:type="dxa"/>
              <w:bottom w:w="90" w:type="dxa"/>
              <w:end w:w="110" w:type="dxa"/>
            </w:tcMar>
            <w:vAlign w:val="center"/>
          </w:tcPr>
          <w:p>
            <w:pPr>
              <w:spacing w:after="0"/>
            </w:pPr>
            <w:r>
              <w:rPr>
                <w:rFonts w:ascii="Arial" w:hAnsi="Arial"/>
                <w:b/>
                <w:i w:val="0"/>
                <w:color w:val="FFFFFF"/>
                <w:sz w:val="17"/>
              </w:rPr>
              <w:t>Term</w:t>
            </w:r>
          </w:p>
        </w:tc>
        <w:tc>
          <w:tcPr>
            <w:tcW w:type="dxa" w:w="7488"/>
            <w:shd w:fill="0B1727"/>
            <w:tcMar>
              <w:top w:w="90" w:type="dxa"/>
              <w:start w:w="110" w:type="dxa"/>
              <w:bottom w:w="90" w:type="dxa"/>
              <w:end w:w="110" w:type="dxa"/>
            </w:tcMar>
            <w:vAlign w:val="center"/>
          </w:tcPr>
          <w:p>
            <w:pPr>
              <w:spacing w:after="0"/>
            </w:pPr>
            <w:r>
              <w:rPr>
                <w:rFonts w:ascii="Arial" w:hAnsi="Arial"/>
                <w:b/>
                <w:i w:val="0"/>
                <w:color w:val="FFFFFF"/>
                <w:sz w:val="17"/>
              </w:rPr>
              <w:t>What the investor should verify</w:t>
            </w:r>
          </w:p>
        </w:tc>
      </w:tr>
      <w:tr>
        <w:trPr>
          <w:cantSplit/>
        </w:trPr>
        <w:tc>
          <w:tcPr>
            <w:tcW w:type="dxa" w:w="2304"/>
            <w:tcMar>
              <w:top w:w="90" w:type="dxa"/>
              <w:start w:w="110" w:type="dxa"/>
              <w:bottom w:w="90" w:type="dxa"/>
              <w:end w:w="110" w:type="dxa"/>
            </w:tcMar>
            <w:vAlign w:val="top"/>
          </w:tcPr>
          <w:p>
            <w:pPr>
              <w:spacing w:after="0"/>
            </w:pPr>
            <w:r>
              <w:rPr>
                <w:rFonts w:ascii="Arial" w:hAnsi="Arial"/>
                <w:b w:val="0"/>
                <w:i w:val="0"/>
                <w:color w:val="0B1727"/>
                <w:sz w:val="17"/>
              </w:rPr>
              <w:t>Mixer gross volume</w:t>
            </w:r>
          </w:p>
        </w:tc>
        <w:tc>
          <w:tcPr>
            <w:tcW w:type="dxa" w:w="7488"/>
            <w:tcMar>
              <w:top w:w="90" w:type="dxa"/>
              <w:start w:w="110" w:type="dxa"/>
              <w:bottom w:w="90" w:type="dxa"/>
              <w:end w:w="110" w:type="dxa"/>
            </w:tcMar>
            <w:vAlign w:val="top"/>
          </w:tcPr>
          <w:p>
            <w:pPr>
              <w:spacing w:after="0"/>
            </w:pPr>
            <w:r>
              <w:rPr>
                <w:rFonts w:ascii="Arial" w:hAnsi="Arial"/>
                <w:b w:val="0"/>
                <w:i w:val="0"/>
                <w:color w:val="0B1727"/>
                <w:sz w:val="17"/>
              </w:rPr>
              <w:t>Total physical mixer volume; this may not equal the safe working volume.</w:t>
            </w:r>
          </w:p>
        </w:tc>
      </w:tr>
      <w:tr>
        <w:trPr>
          <w:cantSplit/>
        </w:trPr>
        <w:tc>
          <w:tcPr>
            <w:tcW w:type="dxa" w:w="2304"/>
            <w:shd w:fill="F5F7F8"/>
            <w:tcMar>
              <w:top w:w="90" w:type="dxa"/>
              <w:start w:w="110" w:type="dxa"/>
              <w:bottom w:w="90" w:type="dxa"/>
              <w:end w:w="110" w:type="dxa"/>
            </w:tcMar>
            <w:vAlign w:val="top"/>
          </w:tcPr>
          <w:p>
            <w:pPr>
              <w:spacing w:after="0"/>
            </w:pPr>
            <w:r>
              <w:rPr>
                <w:rFonts w:ascii="Arial" w:hAnsi="Arial"/>
                <w:b w:val="0"/>
                <w:i w:val="0"/>
                <w:color w:val="0B1727"/>
                <w:sz w:val="17"/>
              </w:rPr>
              <w:t>Usable batch volume</w:t>
            </w:r>
          </w:p>
        </w:tc>
        <w:tc>
          <w:tcPr>
            <w:tcW w:type="dxa" w:w="7488"/>
            <w:shd w:fill="F5F7F8"/>
            <w:tcMar>
              <w:top w:w="90" w:type="dxa"/>
              <w:start w:w="110" w:type="dxa"/>
              <w:bottom w:w="90" w:type="dxa"/>
              <w:end w:w="110" w:type="dxa"/>
            </w:tcMar>
            <w:vAlign w:val="top"/>
          </w:tcPr>
          <w:p>
            <w:pPr>
              <w:spacing w:after="0"/>
            </w:pPr>
            <w:r>
              <w:rPr>
                <w:rFonts w:ascii="Arial" w:hAnsi="Arial"/>
                <w:b w:val="0"/>
                <w:i w:val="0"/>
                <w:color w:val="0B1727"/>
                <w:sz w:val="17"/>
              </w:rPr>
              <w:t>Actual slurry volume prepared and discharged during a normal cycle.</w:t>
            </w:r>
          </w:p>
        </w:tc>
      </w:tr>
      <w:tr>
        <w:trPr>
          <w:cantSplit/>
        </w:trPr>
        <w:tc>
          <w:tcPr>
            <w:tcW w:type="dxa" w:w="2304"/>
            <w:tcMar>
              <w:top w:w="90" w:type="dxa"/>
              <w:start w:w="110" w:type="dxa"/>
              <w:bottom w:w="90" w:type="dxa"/>
              <w:end w:w="110" w:type="dxa"/>
            </w:tcMar>
            <w:vAlign w:val="top"/>
          </w:tcPr>
          <w:p>
            <w:pPr>
              <w:spacing w:after="0"/>
            </w:pPr>
            <w:r>
              <w:rPr>
                <w:rFonts w:ascii="Arial" w:hAnsi="Arial"/>
                <w:b w:val="0"/>
                <w:i w:val="0"/>
                <w:color w:val="0B1727"/>
                <w:sz w:val="17"/>
              </w:rPr>
              <w:t>Mould volume</w:t>
            </w:r>
          </w:p>
        </w:tc>
        <w:tc>
          <w:tcPr>
            <w:tcW w:type="dxa" w:w="7488"/>
            <w:tcMar>
              <w:top w:w="90" w:type="dxa"/>
              <w:start w:w="110" w:type="dxa"/>
              <w:bottom w:w="90" w:type="dxa"/>
              <w:end w:w="110" w:type="dxa"/>
            </w:tcMar>
            <w:vAlign w:val="top"/>
          </w:tcPr>
          <w:p>
            <w:pPr>
              <w:spacing w:after="0"/>
            </w:pPr>
            <w:r>
              <w:rPr>
                <w:rFonts w:ascii="Arial" w:hAnsi="Arial"/>
                <w:b w:val="0"/>
                <w:i w:val="0"/>
                <w:color w:val="0B1727"/>
                <w:sz w:val="17"/>
              </w:rPr>
              <w:t>Geometric casting volume before cutting and process losses.</w:t>
            </w:r>
          </w:p>
        </w:tc>
      </w:tr>
      <w:tr>
        <w:trPr>
          <w:cantSplit/>
        </w:trPr>
        <w:tc>
          <w:tcPr>
            <w:tcW w:type="dxa" w:w="2304"/>
            <w:shd w:fill="F5F7F8"/>
            <w:tcMar>
              <w:top w:w="90" w:type="dxa"/>
              <w:start w:w="110" w:type="dxa"/>
              <w:bottom w:w="90" w:type="dxa"/>
              <w:end w:w="110" w:type="dxa"/>
            </w:tcMar>
            <w:vAlign w:val="top"/>
          </w:tcPr>
          <w:p>
            <w:pPr>
              <w:spacing w:after="0"/>
            </w:pPr>
            <w:r>
              <w:rPr>
                <w:rFonts w:ascii="Arial" w:hAnsi="Arial"/>
                <w:b w:val="0"/>
                <w:i w:val="0"/>
                <w:color w:val="0B1727"/>
                <w:sz w:val="17"/>
              </w:rPr>
              <w:t>Net cake volume</w:t>
            </w:r>
          </w:p>
        </w:tc>
        <w:tc>
          <w:tcPr>
            <w:tcW w:type="dxa" w:w="7488"/>
            <w:shd w:fill="F5F7F8"/>
            <w:tcMar>
              <w:top w:w="90" w:type="dxa"/>
              <w:start w:w="110" w:type="dxa"/>
              <w:bottom w:w="90" w:type="dxa"/>
              <w:end w:w="110" w:type="dxa"/>
            </w:tcMar>
            <w:vAlign w:val="top"/>
          </w:tcPr>
          <w:p>
            <w:pPr>
              <w:spacing w:after="0"/>
            </w:pPr>
            <w:r>
              <w:rPr>
                <w:rFonts w:ascii="Arial" w:hAnsi="Arial"/>
                <w:b w:val="0"/>
                <w:i w:val="0"/>
                <w:color w:val="0B1727"/>
                <w:sz w:val="17"/>
              </w:rPr>
              <w:t>Volume that proceeds through cutting and curing after process allowances.</w:t>
            </w:r>
          </w:p>
        </w:tc>
      </w:tr>
      <w:tr>
        <w:trPr>
          <w:cantSplit/>
        </w:trPr>
        <w:tc>
          <w:tcPr>
            <w:tcW w:type="dxa" w:w="2304"/>
            <w:tcMar>
              <w:top w:w="90" w:type="dxa"/>
              <w:start w:w="110" w:type="dxa"/>
              <w:bottom w:w="90" w:type="dxa"/>
              <w:end w:w="110" w:type="dxa"/>
            </w:tcMar>
            <w:vAlign w:val="top"/>
          </w:tcPr>
          <w:p>
            <w:pPr>
              <w:spacing w:after="0"/>
            </w:pPr>
            <w:r>
              <w:rPr>
                <w:rFonts w:ascii="Arial" w:hAnsi="Arial"/>
                <w:b w:val="0"/>
                <w:i w:val="0"/>
                <w:color w:val="0B1727"/>
                <w:sz w:val="17"/>
              </w:rPr>
              <w:t>Saleable output</w:t>
            </w:r>
          </w:p>
        </w:tc>
        <w:tc>
          <w:tcPr>
            <w:tcW w:type="dxa" w:w="7488"/>
            <w:tcMar>
              <w:top w:w="90" w:type="dxa"/>
              <w:start w:w="110" w:type="dxa"/>
              <w:bottom w:w="90" w:type="dxa"/>
              <w:end w:w="110" w:type="dxa"/>
            </w:tcMar>
            <w:vAlign w:val="top"/>
          </w:tcPr>
          <w:p>
            <w:pPr>
              <w:spacing w:after="0"/>
            </w:pPr>
            <w:r>
              <w:rPr>
                <w:rFonts w:ascii="Arial" w:hAnsi="Arial"/>
                <w:b w:val="0"/>
                <w:i w:val="0"/>
                <w:color w:val="0B1727"/>
                <w:sz w:val="17"/>
              </w:rPr>
              <w:t>Accepted finished product after breakage, rejection and quality losses.</w:t>
            </w:r>
          </w:p>
        </w:tc>
      </w:tr>
    </w:tbl>
    <w:p>
      <w:pPr>
        <w:spacing w:after="20"/>
      </w:pPr>
    </w:p>
    <w:tbl>
      <w:tblPr>
        <w:tblW w:type="auto" w:w="0"/>
        <w:jc w:val="center"/>
        <w:tblLayout w:type="fixed"/>
        <w:tblLook w:firstColumn="1" w:firstRow="1" w:lastColumn="0" w:lastRow="0" w:noHBand="0" w:noVBand="1" w:val="04A0"/>
      </w:tblPr>
      <w:tblGrid>
        <w:gridCol w:w="9994"/>
      </w:tblGrid>
      <w:tr>
        <w:trPr>
          <w:cantSplit/>
        </w:trPr>
        <w:tc>
          <w:tcPr>
            <w:tcW w:type="dxa" w:w="9792"/>
            <w:shd w:fill="EEF2F5"/>
            <w:tcMar>
              <w:top w:w="160" w:type="dxa"/>
              <w:start w:w="180" w:type="dxa"/>
              <w:bottom w:w="160" w:type="dxa"/>
              <w:end w:w="180" w:type="dxa"/>
            </w:tcMar>
          </w:tcPr>
          <w:p>
            <w:pPr>
              <w:spacing w:after="60"/>
            </w:pPr>
            <w:r>
              <w:rPr>
                <w:rFonts w:ascii="Arial" w:hAnsi="Arial"/>
                <w:b/>
                <w:i w:val="0"/>
                <w:color w:val="0C4F80"/>
                <w:sz w:val="17"/>
              </w:rPr>
              <w:t>INVESTOR CHECK</w:t>
            </w:r>
          </w:p>
          <w:p>
            <w:pPr>
              <w:spacing w:after="0"/>
            </w:pPr>
            <w:r>
              <w:rPr>
                <w:rFonts w:ascii="Arial" w:hAnsi="Arial"/>
                <w:b/>
                <w:i w:val="0"/>
                <w:color w:val="0B1727"/>
                <w:sz w:val="22"/>
              </w:rPr>
              <w:t>Never compare two plant quotations using “batch size” alone. Ask each supplier to state the usable batch volume, mould dimensions, net cake volume and the assumptions used to convert batches into m³/day.</w:t>
            </w:r>
          </w:p>
        </w:tc>
      </w:tr>
    </w:tbl>
    <w:p>
      <w:pPr>
        <w:spacing w:after="20"/>
      </w:pPr>
    </w:p>
    <w:p>
      <w:pPr>
        <w:pStyle w:val="Heading1"/>
      </w:pPr>
      <w:r>
        <w:t>What Actually Determines Practical AAC Plant Capacity?</w:t>
      </w:r>
    </w:p>
    <w:p>
      <w:r>
        <w:rPr>
          <w:rFonts w:ascii="Arial" w:hAnsi="Arial"/>
          <w:b w:val="0"/>
          <w:i w:val="0"/>
          <w:color w:val="0B1727"/>
          <w:sz w:val="21"/>
        </w:rPr>
        <w:t>Practical capacity is controlled by the interaction of the entire line. The stage with the lowest sustainable throughput becomes the active bottleneck.</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0B1727"/>
            <w:tcMar>
              <w:top w:w="90" w:type="dxa"/>
              <w:start w:w="110" w:type="dxa"/>
              <w:bottom w:w="90" w:type="dxa"/>
              <w:end w:w="110" w:type="dxa"/>
            </w:tcMar>
            <w:vAlign w:val="center"/>
          </w:tcPr>
          <w:p>
            <w:pPr>
              <w:spacing w:after="0"/>
            </w:pPr>
            <w:r>
              <w:rPr>
                <w:rFonts w:ascii="Arial" w:hAnsi="Arial"/>
                <w:b/>
                <w:i w:val="0"/>
                <w:color w:val="FFFFFF"/>
                <w:sz w:val="16"/>
              </w:rPr>
              <w:t>Production stage</w:t>
            </w:r>
          </w:p>
        </w:tc>
        <w:tc>
          <w:tcPr>
            <w:tcW w:type="dxa" w:w="7488"/>
            <w:shd w:fill="0B1727"/>
            <w:tcMar>
              <w:top w:w="90" w:type="dxa"/>
              <w:start w:w="110" w:type="dxa"/>
              <w:bottom w:w="90" w:type="dxa"/>
              <w:end w:w="110" w:type="dxa"/>
            </w:tcMar>
            <w:vAlign w:val="center"/>
          </w:tcPr>
          <w:p>
            <w:pPr>
              <w:spacing w:after="0"/>
            </w:pPr>
            <w:r>
              <w:rPr>
                <w:rFonts w:ascii="Arial" w:hAnsi="Arial"/>
                <w:b/>
                <w:i w:val="0"/>
                <w:color w:val="FFFFFF"/>
                <w:sz w:val="16"/>
              </w:rPr>
              <w:t>Capacity questions to verify</w:t>
            </w:r>
          </w:p>
        </w:tc>
      </w:tr>
      <w:tr>
        <w:trPr>
          <w:cantSplit/>
        </w:trPr>
        <w:tc>
          <w:tcPr>
            <w:tcW w:type="dxa" w:w="2304"/>
            <w:tcMar>
              <w:top w:w="90" w:type="dxa"/>
              <w:start w:w="110" w:type="dxa"/>
              <w:bottom w:w="90" w:type="dxa"/>
              <w:end w:w="110" w:type="dxa"/>
            </w:tcMar>
            <w:vAlign w:val="top"/>
          </w:tcPr>
          <w:p>
            <w:pPr>
              <w:spacing w:after="0"/>
            </w:pPr>
            <w:r>
              <w:rPr>
                <w:rFonts w:ascii="Arial" w:hAnsi="Arial"/>
                <w:b w:val="0"/>
                <w:i w:val="0"/>
                <w:color w:val="0B1727"/>
                <w:sz w:val="16"/>
              </w:rPr>
              <w:t>Raw-material preparation</w:t>
            </w:r>
          </w:p>
        </w:tc>
        <w:tc>
          <w:tcPr>
            <w:tcW w:type="dxa" w:w="7488"/>
            <w:tcMar>
              <w:top w:w="90" w:type="dxa"/>
              <w:start w:w="110" w:type="dxa"/>
              <w:bottom w:w="90" w:type="dxa"/>
              <w:end w:w="110" w:type="dxa"/>
            </w:tcMar>
            <w:vAlign w:val="top"/>
          </w:tcPr>
          <w:p>
            <w:pPr>
              <w:spacing w:after="0"/>
            </w:pPr>
            <w:r>
              <w:rPr>
                <w:rFonts w:ascii="Arial" w:hAnsi="Arial"/>
                <w:b w:val="0"/>
                <w:i w:val="0"/>
                <w:color w:val="0B1727"/>
                <w:sz w:val="16"/>
              </w:rPr>
              <w:t>Can grinding, slurry storage, silos and dosing replenish each casting cycle consistently?</w:t>
            </w:r>
          </w:p>
        </w:tc>
      </w:tr>
      <w:tr>
        <w:trPr>
          <w:cantSplit/>
        </w:trPr>
        <w:tc>
          <w:tcPr>
            <w:tcW w:type="dxa" w:w="2304"/>
            <w:shd w:fill="F5F7F8"/>
            <w:tcMar>
              <w:top w:w="90" w:type="dxa"/>
              <w:start w:w="110" w:type="dxa"/>
              <w:bottom w:w="90" w:type="dxa"/>
              <w:end w:w="110" w:type="dxa"/>
            </w:tcMar>
            <w:vAlign w:val="top"/>
          </w:tcPr>
          <w:p>
            <w:pPr>
              <w:spacing w:after="0"/>
            </w:pPr>
            <w:r>
              <w:rPr>
                <w:rFonts w:ascii="Arial" w:hAnsi="Arial"/>
                <w:b w:val="0"/>
                <w:i w:val="0"/>
                <w:color w:val="0B1727"/>
                <w:sz w:val="16"/>
              </w:rPr>
              <w:t>Batching and pouring</w:t>
            </w:r>
          </w:p>
        </w:tc>
        <w:tc>
          <w:tcPr>
            <w:tcW w:type="dxa" w:w="7488"/>
            <w:shd w:fill="F5F7F8"/>
            <w:tcMar>
              <w:top w:w="90" w:type="dxa"/>
              <w:start w:w="110" w:type="dxa"/>
              <w:bottom w:w="90" w:type="dxa"/>
              <w:end w:w="110" w:type="dxa"/>
            </w:tcMar>
            <w:vAlign w:val="top"/>
          </w:tcPr>
          <w:p>
            <w:pPr>
              <w:spacing w:after="0"/>
            </w:pPr>
            <w:r>
              <w:rPr>
                <w:rFonts w:ascii="Arial" w:hAnsi="Arial"/>
                <w:b w:val="0"/>
                <w:i w:val="0"/>
                <w:color w:val="0B1727"/>
                <w:sz w:val="16"/>
              </w:rPr>
              <w:t>What are the usable batch volume, mixing time, discharge time and sustainable batches per hour?</w:t>
            </w:r>
          </w:p>
        </w:tc>
      </w:tr>
      <w:tr>
        <w:trPr>
          <w:cantSplit/>
        </w:trPr>
        <w:tc>
          <w:tcPr>
            <w:tcW w:type="dxa" w:w="2304"/>
            <w:tcMar>
              <w:top w:w="90" w:type="dxa"/>
              <w:start w:w="110" w:type="dxa"/>
              <w:bottom w:w="90" w:type="dxa"/>
              <w:end w:w="110" w:type="dxa"/>
            </w:tcMar>
            <w:vAlign w:val="top"/>
          </w:tcPr>
          <w:p>
            <w:pPr>
              <w:spacing w:after="0"/>
            </w:pPr>
            <w:r>
              <w:rPr>
                <w:rFonts w:ascii="Arial" w:hAnsi="Arial"/>
                <w:b w:val="0"/>
                <w:i w:val="0"/>
                <w:color w:val="0B1727"/>
                <w:sz w:val="16"/>
              </w:rPr>
              <w:t>Mould circulation</w:t>
            </w:r>
          </w:p>
        </w:tc>
        <w:tc>
          <w:tcPr>
            <w:tcW w:type="dxa" w:w="7488"/>
            <w:tcMar>
              <w:top w:w="90" w:type="dxa"/>
              <w:start w:w="110" w:type="dxa"/>
              <w:bottom w:w="90" w:type="dxa"/>
              <w:end w:w="110" w:type="dxa"/>
            </w:tcMar>
            <w:vAlign w:val="top"/>
          </w:tcPr>
          <w:p>
            <w:pPr>
              <w:spacing w:after="0"/>
            </w:pPr>
            <w:r>
              <w:rPr>
                <w:rFonts w:ascii="Arial" w:hAnsi="Arial"/>
                <w:b w:val="0"/>
                <w:i w:val="0"/>
                <w:color w:val="0B1727"/>
                <w:sz w:val="16"/>
              </w:rPr>
              <w:t>How many moulds are required at the stated pre-curing time and casting frequency?</w:t>
            </w:r>
          </w:p>
        </w:tc>
      </w:tr>
      <w:tr>
        <w:trPr>
          <w:cantSplit/>
        </w:trPr>
        <w:tc>
          <w:tcPr>
            <w:tcW w:type="dxa" w:w="2304"/>
            <w:shd w:fill="F5F7F8"/>
            <w:tcMar>
              <w:top w:w="90" w:type="dxa"/>
              <w:start w:w="110" w:type="dxa"/>
              <w:bottom w:w="90" w:type="dxa"/>
              <w:end w:w="110" w:type="dxa"/>
            </w:tcMar>
            <w:vAlign w:val="top"/>
          </w:tcPr>
          <w:p>
            <w:pPr>
              <w:spacing w:after="0"/>
            </w:pPr>
            <w:r>
              <w:rPr>
                <w:rFonts w:ascii="Arial" w:hAnsi="Arial"/>
                <w:b w:val="0"/>
                <w:i w:val="0"/>
                <w:color w:val="0B1727"/>
                <w:sz w:val="16"/>
              </w:rPr>
              <w:t>Pre-curing</w:t>
            </w:r>
          </w:p>
        </w:tc>
        <w:tc>
          <w:tcPr>
            <w:tcW w:type="dxa" w:w="7488"/>
            <w:shd w:fill="F5F7F8"/>
            <w:tcMar>
              <w:top w:w="90" w:type="dxa"/>
              <w:start w:w="110" w:type="dxa"/>
              <w:bottom w:w="90" w:type="dxa"/>
              <w:end w:w="110" w:type="dxa"/>
            </w:tcMar>
            <w:vAlign w:val="top"/>
          </w:tcPr>
          <w:p>
            <w:pPr>
              <w:spacing w:after="0"/>
            </w:pPr>
            <w:r>
              <w:rPr>
                <w:rFonts w:ascii="Arial" w:hAnsi="Arial"/>
                <w:b w:val="0"/>
                <w:i w:val="0"/>
                <w:color w:val="0B1727"/>
                <w:sz w:val="16"/>
              </w:rPr>
              <w:t>How do temperature, raw materials, cake strength and seasonal conditions affect release time?</w:t>
            </w:r>
          </w:p>
        </w:tc>
      </w:tr>
      <w:tr>
        <w:trPr>
          <w:cantSplit/>
        </w:trPr>
        <w:tc>
          <w:tcPr>
            <w:tcW w:type="dxa" w:w="2304"/>
            <w:tcMar>
              <w:top w:w="90" w:type="dxa"/>
              <w:start w:w="110" w:type="dxa"/>
              <w:bottom w:w="90" w:type="dxa"/>
              <w:end w:w="110" w:type="dxa"/>
            </w:tcMar>
            <w:vAlign w:val="top"/>
          </w:tcPr>
          <w:p>
            <w:pPr>
              <w:spacing w:after="0"/>
            </w:pPr>
            <w:r>
              <w:rPr>
                <w:rFonts w:ascii="Arial" w:hAnsi="Arial"/>
                <w:b w:val="0"/>
                <w:i w:val="0"/>
                <w:color w:val="0B1727"/>
                <w:sz w:val="16"/>
              </w:rPr>
              <w:t>Tilting and cutting</w:t>
            </w:r>
          </w:p>
        </w:tc>
        <w:tc>
          <w:tcPr>
            <w:tcW w:type="dxa" w:w="7488"/>
            <w:tcMar>
              <w:top w:w="90" w:type="dxa"/>
              <w:start w:w="110" w:type="dxa"/>
              <w:bottom w:w="90" w:type="dxa"/>
              <w:end w:w="110" w:type="dxa"/>
            </w:tcMar>
            <w:vAlign w:val="top"/>
          </w:tcPr>
          <w:p>
            <w:pPr>
              <w:spacing w:after="0"/>
            </w:pPr>
            <w:r>
              <w:rPr>
                <w:rFonts w:ascii="Arial" w:hAnsi="Arial"/>
                <w:b w:val="0"/>
                <w:i w:val="0"/>
                <w:color w:val="0B1727"/>
                <w:sz w:val="16"/>
              </w:rPr>
              <w:t>Can the cutting line and cranes process each cake without creating a queue?</w:t>
            </w:r>
          </w:p>
        </w:tc>
      </w:tr>
      <w:tr>
        <w:trPr>
          <w:cantSplit/>
        </w:trPr>
        <w:tc>
          <w:tcPr>
            <w:tcW w:type="dxa" w:w="2304"/>
            <w:shd w:fill="F5F7F8"/>
            <w:tcMar>
              <w:top w:w="90" w:type="dxa"/>
              <w:start w:w="110" w:type="dxa"/>
              <w:bottom w:w="90" w:type="dxa"/>
              <w:end w:w="110" w:type="dxa"/>
            </w:tcMar>
            <w:vAlign w:val="top"/>
          </w:tcPr>
          <w:p>
            <w:pPr>
              <w:spacing w:after="0"/>
            </w:pPr>
            <w:r>
              <w:rPr>
                <w:rFonts w:ascii="Arial" w:hAnsi="Arial"/>
                <w:b w:val="0"/>
                <w:i w:val="0"/>
                <w:color w:val="0B1727"/>
                <w:sz w:val="16"/>
              </w:rPr>
              <w:t>Autoclaving</w:t>
            </w:r>
          </w:p>
        </w:tc>
        <w:tc>
          <w:tcPr>
            <w:tcW w:type="dxa" w:w="7488"/>
            <w:shd w:fill="F5F7F8"/>
            <w:tcMar>
              <w:top w:w="90" w:type="dxa"/>
              <w:start w:w="110" w:type="dxa"/>
              <w:bottom w:w="90" w:type="dxa"/>
              <w:end w:w="110" w:type="dxa"/>
            </w:tcMar>
            <w:vAlign w:val="top"/>
          </w:tcPr>
          <w:p>
            <w:pPr>
              <w:spacing w:after="0"/>
            </w:pPr>
            <w:r>
              <w:rPr>
                <w:rFonts w:ascii="Arial" w:hAnsi="Arial"/>
                <w:b w:val="0"/>
                <w:i w:val="0"/>
                <w:color w:val="0B1727"/>
                <w:sz w:val="16"/>
              </w:rPr>
              <w:t>What are the loading pattern, car capacity, cycle duration, door arrangement and turnaround time?</w:t>
            </w:r>
          </w:p>
        </w:tc>
      </w:tr>
      <w:tr>
        <w:trPr>
          <w:cantSplit/>
        </w:trPr>
        <w:tc>
          <w:tcPr>
            <w:tcW w:type="dxa" w:w="2304"/>
            <w:tcMar>
              <w:top w:w="90" w:type="dxa"/>
              <w:start w:w="110" w:type="dxa"/>
              <w:bottom w:w="90" w:type="dxa"/>
              <w:end w:w="110" w:type="dxa"/>
            </w:tcMar>
            <w:vAlign w:val="top"/>
          </w:tcPr>
          <w:p>
            <w:pPr>
              <w:spacing w:after="0"/>
            </w:pPr>
            <w:r>
              <w:rPr>
                <w:rFonts w:ascii="Arial" w:hAnsi="Arial"/>
                <w:b w:val="0"/>
                <w:i w:val="0"/>
                <w:color w:val="0B1727"/>
                <w:sz w:val="16"/>
              </w:rPr>
              <w:t>Steam system</w:t>
            </w:r>
          </w:p>
        </w:tc>
        <w:tc>
          <w:tcPr>
            <w:tcW w:type="dxa" w:w="7488"/>
            <w:tcMar>
              <w:top w:w="90" w:type="dxa"/>
              <w:start w:w="110" w:type="dxa"/>
              <w:bottom w:w="90" w:type="dxa"/>
              <w:end w:w="110" w:type="dxa"/>
            </w:tcMar>
            <w:vAlign w:val="top"/>
          </w:tcPr>
          <w:p>
            <w:pPr>
              <w:spacing w:after="0"/>
            </w:pPr>
            <w:r>
              <w:rPr>
                <w:rFonts w:ascii="Arial" w:hAnsi="Arial"/>
                <w:b w:val="0"/>
                <w:i w:val="0"/>
                <w:color w:val="0B1727"/>
                <w:sz w:val="16"/>
              </w:rPr>
              <w:t>Can the boiler, headers, valves, condensate and steam-transfer strategy serve the required cycle?</w:t>
            </w:r>
          </w:p>
        </w:tc>
      </w:tr>
      <w:tr>
        <w:trPr>
          <w:cantSplit/>
        </w:trPr>
        <w:tc>
          <w:tcPr>
            <w:tcW w:type="dxa" w:w="2304"/>
            <w:shd w:fill="F5F7F8"/>
            <w:tcMar>
              <w:top w:w="90" w:type="dxa"/>
              <w:start w:w="110" w:type="dxa"/>
              <w:bottom w:w="90" w:type="dxa"/>
              <w:end w:w="110" w:type="dxa"/>
            </w:tcMar>
            <w:vAlign w:val="top"/>
          </w:tcPr>
          <w:p>
            <w:pPr>
              <w:spacing w:after="0"/>
            </w:pPr>
            <w:r>
              <w:rPr>
                <w:rFonts w:ascii="Arial" w:hAnsi="Arial"/>
                <w:b w:val="0"/>
                <w:i w:val="0"/>
                <w:color w:val="0B1727"/>
                <w:sz w:val="16"/>
              </w:rPr>
              <w:t>Separation and packing</w:t>
            </w:r>
          </w:p>
        </w:tc>
        <w:tc>
          <w:tcPr>
            <w:tcW w:type="dxa" w:w="7488"/>
            <w:shd w:fill="F5F7F8"/>
            <w:tcMar>
              <w:top w:w="90" w:type="dxa"/>
              <w:start w:w="110" w:type="dxa"/>
              <w:bottom w:w="90" w:type="dxa"/>
              <w:end w:w="110" w:type="dxa"/>
            </w:tcMar>
            <w:vAlign w:val="top"/>
          </w:tcPr>
          <w:p>
            <w:pPr>
              <w:spacing w:after="0"/>
            </w:pPr>
            <w:r>
              <w:rPr>
                <w:rFonts w:ascii="Arial" w:hAnsi="Arial"/>
                <w:b w:val="0"/>
                <w:i w:val="0"/>
                <w:color w:val="0B1727"/>
                <w:sz w:val="16"/>
              </w:rPr>
              <w:t>Can finished blocks or panels be separated, handled, palletised and dispatched at line speed?</w:t>
            </w:r>
          </w:p>
        </w:tc>
      </w:tr>
    </w:tbl>
    <w:p>
      <w:pPr>
        <w:spacing w:after="20"/>
      </w:pPr>
    </w:p>
    <w:p>
      <w:pPr>
        <w:pStyle w:val="Heading1"/>
      </w:pPr>
      <w:r>
        <w:t>How to Calculate AAC Plant Output</w:t>
      </w:r>
    </w:p>
    <w:p>
      <w:r>
        <w:rPr>
          <w:rFonts w:ascii="Arial" w:hAnsi="Arial"/>
          <w:b w:val="0"/>
          <w:i w:val="0"/>
          <w:color w:val="0B1727"/>
          <w:sz w:val="21"/>
        </w:rPr>
        <w:t>A useful capacity discussion begins with transparent inputs rather than a single headline figure.</w:t>
      </w:r>
    </w:p>
    <w:tbl>
      <w:tblPr>
        <w:tblW w:type="auto" w:w="0"/>
        <w:jc w:val="center"/>
        <w:tblLayout w:type="fixed"/>
        <w:tblLook w:firstColumn="1" w:firstRow="1" w:lastColumn="0" w:lastRow="0" w:noHBand="0" w:noVBand="1" w:val="04A0"/>
      </w:tblPr>
      <w:tblGrid>
        <w:gridCol w:w="9994"/>
      </w:tblGrid>
      <w:tr>
        <w:trPr>
          <w:cantSplit/>
        </w:trPr>
        <w:tc>
          <w:tcPr>
            <w:tcW w:type="dxa" w:w="9792"/>
            <w:shd w:fill="EEF2F5"/>
            <w:tcMar>
              <w:top w:w="160" w:type="dxa"/>
              <w:start w:w="180" w:type="dxa"/>
              <w:bottom w:w="160" w:type="dxa"/>
              <w:end w:w="180" w:type="dxa"/>
            </w:tcMar>
          </w:tcPr>
          <w:p>
            <w:pPr>
              <w:spacing w:after="60"/>
            </w:pPr>
            <w:r>
              <w:rPr>
                <w:rFonts w:ascii="Arial" w:hAnsi="Arial"/>
                <w:b/>
                <w:i w:val="0"/>
                <w:color w:val="0C4F80"/>
                <w:sz w:val="17"/>
              </w:rPr>
              <w:t>PLANNING FORMULA</w:t>
            </w:r>
          </w:p>
          <w:p>
            <w:pPr>
              <w:spacing w:after="0"/>
            </w:pPr>
            <w:r>
              <w:rPr>
                <w:rFonts w:ascii="Arial" w:hAnsi="Arial"/>
                <w:b/>
                <w:i w:val="0"/>
                <w:color w:val="0B1727"/>
                <w:sz w:val="22"/>
              </w:rPr>
              <w:t>Gross casting output = usable volume per batch × sustainable completed batches per hour × scheduled casting hours. Practical saleable output must then account for line utilisation, planned and unplanned downtime, product mix, cutting losses, breakage and quality rejection.</w:t>
            </w:r>
          </w:p>
        </w:tc>
      </w:tr>
    </w:tbl>
    <w:p>
      <w:pPr>
        <w:spacing w:after="20"/>
      </w:pPr>
    </w:p>
    <w:p>
      <w:r>
        <w:rPr>
          <w:rFonts w:ascii="Arial" w:hAnsi="Arial"/>
          <w:b w:val="0"/>
          <w:i w:val="0"/>
          <w:color w:val="0B1727"/>
          <w:sz w:val="21"/>
        </w:rPr>
        <w:t>This formula is a planning framework—not a production guarantee. The calculated casting output must also be checked against the sustainable capacities of pre-curing, mould circulation, cutting, autoclaving and packing. The lowest verified throughput becomes the practical system limit.</w:t>
      </w:r>
    </w:p>
    <w:p>
      <w:pPr>
        <w:pStyle w:val="Heading2"/>
      </w:pPr>
      <w:r>
        <w:t>Illustrative Capacity-Verification Example</w:t>
      </w:r>
    </w:p>
    <w:p>
      <w:r>
        <w:rPr>
          <w:rFonts w:ascii="Arial" w:hAnsi="Arial"/>
          <w:b w:val="0"/>
          <w:i w:val="0"/>
          <w:color w:val="0B1727"/>
          <w:sz w:val="21"/>
        </w:rPr>
        <w:t>Assume a proposed line is quoted at a particular daily output. Before accepting the figure, the investor should request the following calculation sheet:</w:t>
      </w:r>
    </w:p>
    <w:p>
      <w:pPr>
        <w:pStyle w:val="ListNumber"/>
        <w:spacing w:after="80"/>
        <w:ind w:left="360" w:hanging="230"/>
      </w:pPr>
      <w:r>
        <w:rPr>
          <w:rFonts w:ascii="Arial" w:hAnsi="Arial"/>
          <w:b w:val="0"/>
          <w:i w:val="0"/>
          <w:color w:val="0B1727"/>
          <w:sz w:val="21"/>
        </w:rPr>
        <w:t>Usable slurry and net cake volume per casting cycle.</w:t>
      </w:r>
    </w:p>
    <w:p>
      <w:pPr>
        <w:pStyle w:val="ListNumber"/>
        <w:spacing w:after="80"/>
        <w:ind w:left="360" w:hanging="230"/>
      </w:pPr>
      <w:r>
        <w:rPr>
          <w:rFonts w:ascii="Arial" w:hAnsi="Arial"/>
          <w:b w:val="0"/>
          <w:i w:val="0"/>
          <w:color w:val="0B1727"/>
          <w:sz w:val="21"/>
        </w:rPr>
        <w:t>Sustainable casting cycles per hour—not only the fastest observed cycle.</w:t>
      </w:r>
    </w:p>
    <w:p>
      <w:pPr>
        <w:pStyle w:val="ListNumber"/>
        <w:spacing w:after="80"/>
        <w:ind w:left="360" w:hanging="230"/>
      </w:pPr>
      <w:r>
        <w:rPr>
          <w:rFonts w:ascii="Arial" w:hAnsi="Arial"/>
          <w:b w:val="0"/>
          <w:i w:val="0"/>
          <w:color w:val="0B1727"/>
          <w:sz w:val="21"/>
        </w:rPr>
        <w:t>Scheduled casting hours and number of operating shifts.</w:t>
      </w:r>
    </w:p>
    <w:p>
      <w:pPr>
        <w:pStyle w:val="ListNumber"/>
        <w:spacing w:after="80"/>
        <w:ind w:left="360" w:hanging="230"/>
      </w:pPr>
      <w:r>
        <w:rPr>
          <w:rFonts w:ascii="Arial" w:hAnsi="Arial"/>
          <w:b w:val="0"/>
          <w:i w:val="0"/>
          <w:color w:val="0B1727"/>
          <w:sz w:val="21"/>
        </w:rPr>
        <w:t>Number of moulds required at the stated pre-curing duration.</w:t>
      </w:r>
    </w:p>
    <w:p>
      <w:pPr>
        <w:pStyle w:val="ListNumber"/>
        <w:spacing w:after="80"/>
        <w:ind w:left="360" w:hanging="230"/>
      </w:pPr>
      <w:r>
        <w:rPr>
          <w:rFonts w:ascii="Arial" w:hAnsi="Arial"/>
          <w:b w:val="0"/>
          <w:i w:val="0"/>
          <w:color w:val="0B1727"/>
          <w:sz w:val="21"/>
        </w:rPr>
        <w:t>Cutting-line, crane and transfer cycle capacities.</w:t>
      </w:r>
    </w:p>
    <w:p>
      <w:pPr>
        <w:pStyle w:val="ListNumber"/>
        <w:spacing w:after="80"/>
        <w:ind w:left="360" w:hanging="230"/>
      </w:pPr>
      <w:r>
        <w:rPr>
          <w:rFonts w:ascii="Arial" w:hAnsi="Arial"/>
          <w:b w:val="0"/>
          <w:i w:val="0"/>
          <w:color w:val="0B1727"/>
          <w:sz w:val="21"/>
        </w:rPr>
        <w:t>Autoclave loading volume, curing cycle and daily loading plan.</w:t>
      </w:r>
    </w:p>
    <w:p>
      <w:pPr>
        <w:pStyle w:val="ListNumber"/>
        <w:spacing w:after="80"/>
        <w:ind w:left="360" w:hanging="230"/>
      </w:pPr>
      <w:r>
        <w:rPr>
          <w:rFonts w:ascii="Arial" w:hAnsi="Arial"/>
          <w:b w:val="0"/>
          <w:i w:val="0"/>
          <w:color w:val="0B1727"/>
          <w:sz w:val="21"/>
        </w:rPr>
        <w:t>Packing capacity and finished-goods movement plan.</w:t>
      </w:r>
    </w:p>
    <w:p>
      <w:pPr>
        <w:pStyle w:val="ListNumber"/>
        <w:spacing w:after="80"/>
        <w:ind w:left="360" w:hanging="230"/>
      </w:pPr>
      <w:r>
        <w:rPr>
          <w:rFonts w:ascii="Arial" w:hAnsi="Arial"/>
          <w:b w:val="0"/>
          <w:i w:val="0"/>
          <w:color w:val="0B1727"/>
          <w:sz w:val="21"/>
        </w:rPr>
        <w:t>Utilisation, maintenance, breakage and rejection allowances.</w:t>
      </w:r>
    </w:p>
    <w:p>
      <w:r>
        <w:rPr>
          <w:rFonts w:ascii="Arial" w:hAnsi="Arial"/>
          <w:b w:val="0"/>
          <w:i w:val="0"/>
          <w:color w:val="0B1727"/>
          <w:sz w:val="21"/>
        </w:rPr>
        <w:t>If any one of these stages cannot sustain the proposed flow, the headline capacity should be revised or the constrained system should be redesigned.</w:t>
      </w:r>
    </w:p>
    <w:p>
      <w:pPr>
        <w:pStyle w:val="Heading1"/>
      </w:pPr>
      <w:r>
        <w:t>Installed, Rated and Saleable Capacity Are Not the Same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0B1727"/>
            <w:tcMar>
              <w:top w:w="90" w:type="dxa"/>
              <w:start w:w="110" w:type="dxa"/>
              <w:bottom w:w="90" w:type="dxa"/>
              <w:end w:w="110" w:type="dxa"/>
            </w:tcMar>
            <w:vAlign w:val="center"/>
          </w:tcPr>
          <w:p>
            <w:pPr>
              <w:spacing w:after="0"/>
            </w:pPr>
            <w:r>
              <w:rPr>
                <w:rFonts w:ascii="Arial" w:hAnsi="Arial"/>
                <w:b/>
                <w:i w:val="0"/>
                <w:color w:val="FFFFFF"/>
                <w:sz w:val="17"/>
              </w:rPr>
              <w:t>Capacity term</w:t>
            </w:r>
          </w:p>
        </w:tc>
        <w:tc>
          <w:tcPr>
            <w:tcW w:type="dxa" w:w="7416"/>
            <w:shd w:fill="0B1727"/>
            <w:tcMar>
              <w:top w:w="90" w:type="dxa"/>
              <w:start w:w="110" w:type="dxa"/>
              <w:bottom w:w="90" w:type="dxa"/>
              <w:end w:w="110" w:type="dxa"/>
            </w:tcMar>
            <w:vAlign w:val="center"/>
          </w:tcPr>
          <w:p>
            <w:pPr>
              <w:spacing w:after="0"/>
            </w:pPr>
            <w:r>
              <w:rPr>
                <w:rFonts w:ascii="Arial" w:hAnsi="Arial"/>
                <w:b/>
                <w:i w:val="0"/>
                <w:color w:val="FFFFFF"/>
                <w:sz w:val="17"/>
              </w:rPr>
              <w:t>Recommended meaning</w:t>
            </w:r>
          </w:p>
        </w:tc>
      </w:tr>
      <w:tr>
        <w:trPr>
          <w:cantSplit/>
        </w:trPr>
        <w:tc>
          <w:tcPr>
            <w:tcW w:type="dxa" w:w="2376"/>
            <w:tcMar>
              <w:top w:w="90" w:type="dxa"/>
              <w:start w:w="110" w:type="dxa"/>
              <w:bottom w:w="90" w:type="dxa"/>
              <w:end w:w="110" w:type="dxa"/>
            </w:tcMar>
            <w:vAlign w:val="top"/>
          </w:tcPr>
          <w:p>
            <w:pPr>
              <w:spacing w:after="0"/>
            </w:pPr>
            <w:r>
              <w:rPr>
                <w:rFonts w:ascii="Arial" w:hAnsi="Arial"/>
                <w:b w:val="0"/>
                <w:i w:val="0"/>
                <w:color w:val="0B1727"/>
                <w:sz w:val="17"/>
              </w:rPr>
              <w:t>Installed capacity</w:t>
            </w:r>
          </w:p>
        </w:tc>
        <w:tc>
          <w:tcPr>
            <w:tcW w:type="dxa" w:w="7416"/>
            <w:tcMar>
              <w:top w:w="90" w:type="dxa"/>
              <w:start w:w="110" w:type="dxa"/>
              <w:bottom w:w="90" w:type="dxa"/>
              <w:end w:w="110" w:type="dxa"/>
            </w:tcMar>
            <w:vAlign w:val="top"/>
          </w:tcPr>
          <w:p>
            <w:pPr>
              <w:spacing w:after="0"/>
            </w:pPr>
            <w:r>
              <w:rPr>
                <w:rFonts w:ascii="Arial" w:hAnsi="Arial"/>
                <w:b w:val="0"/>
                <w:i w:val="0"/>
                <w:color w:val="0B1727"/>
                <w:sz w:val="17"/>
              </w:rPr>
              <w:t>The nominal configuration of the installed equipment and systems.</w:t>
            </w:r>
          </w:p>
        </w:tc>
      </w:tr>
      <w:tr>
        <w:trPr>
          <w:cantSplit/>
        </w:trPr>
        <w:tc>
          <w:tcPr>
            <w:tcW w:type="dxa" w:w="2376"/>
            <w:shd w:fill="F5F7F8"/>
            <w:tcMar>
              <w:top w:w="90" w:type="dxa"/>
              <w:start w:w="110" w:type="dxa"/>
              <w:bottom w:w="90" w:type="dxa"/>
              <w:end w:w="110" w:type="dxa"/>
            </w:tcMar>
            <w:vAlign w:val="top"/>
          </w:tcPr>
          <w:p>
            <w:pPr>
              <w:spacing w:after="0"/>
            </w:pPr>
            <w:r>
              <w:rPr>
                <w:rFonts w:ascii="Arial" w:hAnsi="Arial"/>
                <w:b w:val="0"/>
                <w:i w:val="0"/>
                <w:color w:val="0B1727"/>
                <w:sz w:val="17"/>
              </w:rPr>
              <w:t>Design or rated capacity</w:t>
            </w:r>
          </w:p>
        </w:tc>
        <w:tc>
          <w:tcPr>
            <w:tcW w:type="dxa" w:w="7416"/>
            <w:shd w:fill="F5F7F8"/>
            <w:tcMar>
              <w:top w:w="90" w:type="dxa"/>
              <w:start w:w="110" w:type="dxa"/>
              <w:bottom w:w="90" w:type="dxa"/>
              <w:end w:w="110" w:type="dxa"/>
            </w:tcMar>
            <w:vAlign w:val="top"/>
          </w:tcPr>
          <w:p>
            <w:pPr>
              <w:spacing w:after="0"/>
            </w:pPr>
            <w:r>
              <w:rPr>
                <w:rFonts w:ascii="Arial" w:hAnsi="Arial"/>
                <w:b w:val="0"/>
                <w:i w:val="0"/>
                <w:color w:val="0B1727"/>
                <w:sz w:val="17"/>
              </w:rPr>
              <w:t>Output calculated under stated design assumptions.</w:t>
            </w:r>
          </w:p>
        </w:tc>
      </w:tr>
      <w:tr>
        <w:trPr>
          <w:cantSplit/>
        </w:trPr>
        <w:tc>
          <w:tcPr>
            <w:tcW w:type="dxa" w:w="2376"/>
            <w:tcMar>
              <w:top w:w="90" w:type="dxa"/>
              <w:start w:w="110" w:type="dxa"/>
              <w:bottom w:w="90" w:type="dxa"/>
              <w:end w:w="110" w:type="dxa"/>
            </w:tcMar>
            <w:vAlign w:val="top"/>
          </w:tcPr>
          <w:p>
            <w:pPr>
              <w:spacing w:after="0"/>
            </w:pPr>
            <w:r>
              <w:rPr>
                <w:rFonts w:ascii="Arial" w:hAnsi="Arial"/>
                <w:b w:val="0"/>
                <w:i w:val="0"/>
                <w:color w:val="0B1727"/>
                <w:sz w:val="17"/>
              </w:rPr>
              <w:t>Achievable capacity</w:t>
            </w:r>
          </w:p>
        </w:tc>
        <w:tc>
          <w:tcPr>
            <w:tcW w:type="dxa" w:w="7416"/>
            <w:tcMar>
              <w:top w:w="90" w:type="dxa"/>
              <w:start w:w="110" w:type="dxa"/>
              <w:bottom w:w="90" w:type="dxa"/>
              <w:end w:w="110" w:type="dxa"/>
            </w:tcMar>
            <w:vAlign w:val="top"/>
          </w:tcPr>
          <w:p>
            <w:pPr>
              <w:spacing w:after="0"/>
            </w:pPr>
            <w:r>
              <w:rPr>
                <w:rFonts w:ascii="Arial" w:hAnsi="Arial"/>
                <w:b w:val="0"/>
                <w:i w:val="0"/>
                <w:color w:val="0B1727"/>
                <w:sz w:val="17"/>
              </w:rPr>
              <w:t>Output that can be sustained with the actual raw materials, team, utilities and operating conditions.</w:t>
            </w:r>
          </w:p>
        </w:tc>
      </w:tr>
      <w:tr>
        <w:trPr>
          <w:cantSplit/>
        </w:trPr>
        <w:tc>
          <w:tcPr>
            <w:tcW w:type="dxa" w:w="2376"/>
            <w:shd w:fill="F5F7F8"/>
            <w:tcMar>
              <w:top w:w="90" w:type="dxa"/>
              <w:start w:w="110" w:type="dxa"/>
              <w:bottom w:w="90" w:type="dxa"/>
              <w:end w:w="110" w:type="dxa"/>
            </w:tcMar>
            <w:vAlign w:val="top"/>
          </w:tcPr>
          <w:p>
            <w:pPr>
              <w:spacing w:after="0"/>
            </w:pPr>
            <w:r>
              <w:rPr>
                <w:rFonts w:ascii="Arial" w:hAnsi="Arial"/>
                <w:b w:val="0"/>
                <w:i w:val="0"/>
                <w:color w:val="0B1727"/>
                <w:sz w:val="17"/>
              </w:rPr>
              <w:t>Saleable capacity</w:t>
            </w:r>
          </w:p>
        </w:tc>
        <w:tc>
          <w:tcPr>
            <w:tcW w:type="dxa" w:w="7416"/>
            <w:shd w:fill="F5F7F8"/>
            <w:tcMar>
              <w:top w:w="90" w:type="dxa"/>
              <w:start w:w="110" w:type="dxa"/>
              <w:bottom w:w="90" w:type="dxa"/>
              <w:end w:w="110" w:type="dxa"/>
            </w:tcMar>
            <w:vAlign w:val="top"/>
          </w:tcPr>
          <w:p>
            <w:pPr>
              <w:spacing w:after="0"/>
            </w:pPr>
            <w:r>
              <w:rPr>
                <w:rFonts w:ascii="Arial" w:hAnsi="Arial"/>
                <w:b w:val="0"/>
                <w:i w:val="0"/>
                <w:color w:val="0B1727"/>
                <w:sz w:val="17"/>
              </w:rPr>
              <w:t>Accepted finished product available for dispatch after production losses and quality rejection.</w:t>
            </w:r>
          </w:p>
        </w:tc>
      </w:tr>
    </w:tbl>
    <w:p>
      <w:pPr>
        <w:spacing w:after="20"/>
      </w:pPr>
    </w:p>
    <w:p>
      <w:r>
        <w:rPr>
          <w:rFonts w:ascii="Arial" w:hAnsi="Arial"/>
          <w:b w:val="0"/>
          <w:i w:val="0"/>
          <w:color w:val="0B1727"/>
          <w:sz w:val="21"/>
        </w:rPr>
        <w:t>Quotations should identify which definition is being used. A maximum theoretical casting figure should not be presented as guaranteed daily saleable output.</w:t>
      </w:r>
    </w:p>
    <w:p>
      <w:pPr>
        <w:pStyle w:val="Heading1"/>
      </w:pPr>
      <w:r>
        <w:t>Indicative AAC Batch Platforms and Capacity Ranges</w:t>
      </w:r>
    </w:p>
    <w:p>
      <w:r>
        <w:rPr>
          <w:rFonts w:ascii="Arial" w:hAnsi="Arial"/>
          <w:b w:val="0"/>
          <w:i w:val="0"/>
          <w:color w:val="0B1727"/>
          <w:sz w:val="21"/>
        </w:rPr>
        <w:t>Laxmi En-Fab uses the following company-supplied ranges as an initial capacity-planning reference. They are not universal guarantees. Final output depends on the approved process design, product mix, mould and autoclave configuration, operating hours, utilities, raw materials, staffing, maintenance and agreed performance conditions.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84"/>
            <w:shd w:fill="0B1727"/>
            <w:tcMar>
              <w:top w:w="90" w:type="dxa"/>
              <w:start w:w="110" w:type="dxa"/>
              <w:bottom w:w="90" w:type="dxa"/>
              <w:end w:w="110" w:type="dxa"/>
            </w:tcMar>
            <w:vAlign w:val="center"/>
          </w:tcPr>
          <w:p>
            <w:pPr>
              <w:spacing w:after="0"/>
            </w:pPr>
            <w:r>
              <w:rPr>
                <w:rFonts w:ascii="Arial" w:hAnsi="Arial"/>
                <w:b/>
                <w:i w:val="0"/>
                <w:color w:val="FFFFFF"/>
                <w:sz w:val="16"/>
              </w:rPr>
              <w:t>Batch platform</w:t>
            </w:r>
          </w:p>
        </w:tc>
        <w:tc>
          <w:tcPr>
            <w:tcW w:type="dxa" w:w="2448"/>
            <w:shd w:fill="0B1727"/>
            <w:tcMar>
              <w:top w:w="90" w:type="dxa"/>
              <w:start w:w="110" w:type="dxa"/>
              <w:bottom w:w="90" w:type="dxa"/>
              <w:end w:w="110" w:type="dxa"/>
            </w:tcMar>
            <w:vAlign w:val="center"/>
          </w:tcPr>
          <w:p>
            <w:pPr>
              <w:spacing w:after="0"/>
            </w:pPr>
            <w:r>
              <w:rPr>
                <w:rFonts w:ascii="Arial" w:hAnsi="Arial"/>
                <w:b/>
                <w:i w:val="0"/>
                <w:color w:val="FFFFFF"/>
                <w:sz w:val="16"/>
              </w:rPr>
              <w:t>Viable starting capacity</w:t>
            </w:r>
          </w:p>
        </w:tc>
        <w:tc>
          <w:tcPr>
            <w:tcW w:type="dxa" w:w="2880"/>
            <w:shd w:fill="0B1727"/>
            <w:tcMar>
              <w:top w:w="90" w:type="dxa"/>
              <w:start w:w="110" w:type="dxa"/>
              <w:bottom w:w="90" w:type="dxa"/>
              <w:end w:w="110" w:type="dxa"/>
            </w:tcMar>
            <w:vAlign w:val="center"/>
          </w:tcPr>
          <w:p>
            <w:pPr>
              <w:spacing w:after="0"/>
            </w:pPr>
            <w:r>
              <w:rPr>
                <w:rFonts w:ascii="Arial" w:hAnsi="Arial"/>
                <w:b/>
                <w:i w:val="0"/>
                <w:color w:val="FFFFFF"/>
                <w:sz w:val="16"/>
              </w:rPr>
              <w:t>Semi-automatic planning range</w:t>
            </w:r>
          </w:p>
        </w:tc>
        <w:tc>
          <w:tcPr>
            <w:tcW w:type="dxa" w:w="2880"/>
            <w:shd w:fill="0B1727"/>
            <w:tcMar>
              <w:top w:w="90" w:type="dxa"/>
              <w:start w:w="110" w:type="dxa"/>
              <w:bottom w:w="90" w:type="dxa"/>
              <w:end w:w="110" w:type="dxa"/>
            </w:tcMar>
            <w:vAlign w:val="center"/>
          </w:tcPr>
          <w:p>
            <w:pPr>
              <w:spacing w:after="0"/>
            </w:pPr>
            <w:r>
              <w:rPr>
                <w:rFonts w:ascii="Arial" w:hAnsi="Arial"/>
                <w:b/>
                <w:i w:val="0"/>
                <w:color w:val="FFFFFF"/>
                <w:sz w:val="16"/>
              </w:rPr>
              <w:t>Fully automatic planning range</w:t>
            </w:r>
          </w:p>
        </w:tc>
      </w:tr>
      <w:tr>
        <w:trPr>
          <w:cantSplit/>
        </w:trPr>
        <w:tc>
          <w:tcPr>
            <w:tcW w:type="dxa" w:w="1584"/>
            <w:tcMar>
              <w:top w:w="90" w:type="dxa"/>
              <w:start w:w="110" w:type="dxa"/>
              <w:bottom w:w="90" w:type="dxa"/>
              <w:end w:w="110" w:type="dxa"/>
            </w:tcMar>
            <w:vAlign w:val="top"/>
          </w:tcPr>
          <w:p>
            <w:pPr>
              <w:spacing w:after="0"/>
            </w:pPr>
            <w:r>
              <w:rPr>
                <w:rFonts w:ascii="Arial" w:hAnsi="Arial"/>
                <w:b w:val="0"/>
                <w:i w:val="0"/>
                <w:color w:val="0B1727"/>
                <w:sz w:val="16"/>
              </w:rPr>
              <w:t>1.0 m³</w:t>
            </w:r>
          </w:p>
        </w:tc>
        <w:tc>
          <w:tcPr>
            <w:tcW w:type="dxa" w:w="2448"/>
            <w:tcMar>
              <w:top w:w="90" w:type="dxa"/>
              <w:start w:w="110" w:type="dxa"/>
              <w:bottom w:w="90" w:type="dxa"/>
              <w:end w:w="110" w:type="dxa"/>
            </w:tcMar>
            <w:vAlign w:val="top"/>
          </w:tcPr>
          <w:p>
            <w:pPr>
              <w:spacing w:after="0"/>
            </w:pPr>
            <w:r>
              <w:rPr>
                <w:rFonts w:ascii="Arial" w:hAnsi="Arial"/>
                <w:b w:val="0"/>
                <w:i w:val="0"/>
                <w:color w:val="0B1727"/>
                <w:sz w:val="16"/>
              </w:rPr>
              <w:t>About 100 m³/day</w:t>
            </w:r>
          </w:p>
        </w:tc>
        <w:tc>
          <w:tcPr>
            <w:tcW w:type="dxa" w:w="2880"/>
            <w:tcMar>
              <w:top w:w="90" w:type="dxa"/>
              <w:start w:w="110" w:type="dxa"/>
              <w:bottom w:w="90" w:type="dxa"/>
              <w:end w:w="110" w:type="dxa"/>
            </w:tcMar>
            <w:vAlign w:val="top"/>
          </w:tcPr>
          <w:p>
            <w:pPr>
              <w:spacing w:after="0"/>
            </w:pPr>
            <w:r>
              <w:rPr>
                <w:rFonts w:ascii="Arial" w:hAnsi="Arial"/>
                <w:b w:val="0"/>
                <w:i w:val="0"/>
                <w:color w:val="0B1727"/>
                <w:sz w:val="16"/>
              </w:rPr>
              <w:t>125–150 m³/day</w:t>
            </w:r>
          </w:p>
        </w:tc>
        <w:tc>
          <w:tcPr>
            <w:tcW w:type="dxa" w:w="2880"/>
            <w:tcMar>
              <w:top w:w="90" w:type="dxa"/>
              <w:start w:w="110" w:type="dxa"/>
              <w:bottom w:w="90" w:type="dxa"/>
              <w:end w:w="110" w:type="dxa"/>
            </w:tcMar>
            <w:vAlign w:val="top"/>
          </w:tcPr>
          <w:p>
            <w:pPr>
              <w:spacing w:after="0"/>
            </w:pPr>
            <w:r>
              <w:rPr>
                <w:rFonts w:ascii="Arial" w:hAnsi="Arial"/>
                <w:b w:val="0"/>
                <w:i w:val="0"/>
                <w:color w:val="0B1727"/>
                <w:sz w:val="16"/>
              </w:rPr>
              <w:t>125–150 m³/day</w:t>
            </w:r>
          </w:p>
        </w:tc>
      </w:tr>
      <w:tr>
        <w:trPr>
          <w:cantSplit/>
        </w:trPr>
        <w:tc>
          <w:tcPr>
            <w:tcW w:type="dxa" w:w="1584"/>
            <w:shd w:fill="F5F7F8"/>
            <w:tcMar>
              <w:top w:w="90" w:type="dxa"/>
              <w:start w:w="110" w:type="dxa"/>
              <w:bottom w:w="90" w:type="dxa"/>
              <w:end w:w="110" w:type="dxa"/>
            </w:tcMar>
            <w:vAlign w:val="top"/>
          </w:tcPr>
          <w:p>
            <w:pPr>
              <w:spacing w:after="0"/>
            </w:pPr>
            <w:r>
              <w:rPr>
                <w:rFonts w:ascii="Arial" w:hAnsi="Arial"/>
                <w:b w:val="0"/>
                <w:i w:val="0"/>
                <w:color w:val="0B1727"/>
                <w:sz w:val="16"/>
              </w:rPr>
              <w:t>3.0 m³</w:t>
            </w:r>
          </w:p>
        </w:tc>
        <w:tc>
          <w:tcPr>
            <w:tcW w:type="dxa" w:w="2448"/>
            <w:shd w:fill="F5F7F8"/>
            <w:tcMar>
              <w:top w:w="90" w:type="dxa"/>
              <w:start w:w="110" w:type="dxa"/>
              <w:bottom w:w="90" w:type="dxa"/>
              <w:end w:w="110" w:type="dxa"/>
            </w:tcMar>
            <w:vAlign w:val="top"/>
          </w:tcPr>
          <w:p>
            <w:pPr>
              <w:spacing w:after="0"/>
            </w:pPr>
            <w:r>
              <w:rPr>
                <w:rFonts w:ascii="Arial" w:hAnsi="Arial"/>
                <w:b w:val="0"/>
                <w:i w:val="0"/>
                <w:color w:val="0B1727"/>
                <w:sz w:val="16"/>
              </w:rPr>
              <w:t>About 200–250 m³/day</w:t>
            </w:r>
          </w:p>
        </w:tc>
        <w:tc>
          <w:tcPr>
            <w:tcW w:type="dxa" w:w="2880"/>
            <w:shd w:fill="F5F7F8"/>
            <w:tcMar>
              <w:top w:w="90" w:type="dxa"/>
              <w:start w:w="110" w:type="dxa"/>
              <w:bottom w:w="90" w:type="dxa"/>
              <w:end w:w="110" w:type="dxa"/>
            </w:tcMar>
            <w:vAlign w:val="top"/>
          </w:tcPr>
          <w:p>
            <w:pPr>
              <w:spacing w:after="0"/>
            </w:pPr>
            <w:r>
              <w:rPr>
                <w:rFonts w:ascii="Arial" w:hAnsi="Arial"/>
                <w:b w:val="0"/>
                <w:i w:val="0"/>
                <w:color w:val="0B1727"/>
                <w:sz w:val="16"/>
              </w:rPr>
              <w:t>600–700 m³/day</w:t>
            </w:r>
          </w:p>
        </w:tc>
        <w:tc>
          <w:tcPr>
            <w:tcW w:type="dxa" w:w="2880"/>
            <w:shd w:fill="F5F7F8"/>
            <w:tcMar>
              <w:top w:w="90" w:type="dxa"/>
              <w:start w:w="110" w:type="dxa"/>
              <w:bottom w:w="90" w:type="dxa"/>
              <w:end w:w="110" w:type="dxa"/>
            </w:tcMar>
            <w:vAlign w:val="top"/>
          </w:tcPr>
          <w:p>
            <w:pPr>
              <w:spacing w:after="0"/>
            </w:pPr>
            <w:r>
              <w:rPr>
                <w:rFonts w:ascii="Arial" w:hAnsi="Arial"/>
                <w:b w:val="0"/>
                <w:i w:val="0"/>
                <w:color w:val="0B1727"/>
                <w:sz w:val="16"/>
              </w:rPr>
              <w:t>Up to 900 m³/day</w:t>
            </w:r>
          </w:p>
        </w:tc>
      </w:tr>
      <w:tr>
        <w:trPr>
          <w:cantSplit/>
        </w:trPr>
        <w:tc>
          <w:tcPr>
            <w:tcW w:type="dxa" w:w="1584"/>
            <w:tcMar>
              <w:top w:w="90" w:type="dxa"/>
              <w:start w:w="110" w:type="dxa"/>
              <w:bottom w:w="90" w:type="dxa"/>
              <w:end w:w="110" w:type="dxa"/>
            </w:tcMar>
            <w:vAlign w:val="top"/>
          </w:tcPr>
          <w:p>
            <w:pPr>
              <w:spacing w:after="0"/>
            </w:pPr>
            <w:r>
              <w:rPr>
                <w:rFonts w:ascii="Arial" w:hAnsi="Arial"/>
                <w:b w:val="0"/>
                <w:i w:val="0"/>
                <w:color w:val="0B1727"/>
                <w:sz w:val="16"/>
              </w:rPr>
              <w:t>3.45 m³</w:t>
            </w:r>
          </w:p>
        </w:tc>
        <w:tc>
          <w:tcPr>
            <w:tcW w:type="dxa" w:w="2448"/>
            <w:tcMar>
              <w:top w:w="90" w:type="dxa"/>
              <w:start w:w="110" w:type="dxa"/>
              <w:bottom w:w="90" w:type="dxa"/>
              <w:end w:w="110" w:type="dxa"/>
            </w:tcMar>
            <w:vAlign w:val="top"/>
          </w:tcPr>
          <w:p>
            <w:pPr>
              <w:spacing w:after="0"/>
            </w:pPr>
            <w:r>
              <w:rPr>
                <w:rFonts w:ascii="Arial" w:hAnsi="Arial"/>
                <w:b w:val="0"/>
                <w:i w:val="0"/>
                <w:color w:val="0B1727"/>
                <w:sz w:val="16"/>
              </w:rPr>
              <w:t>About 400–500 m³/day</w:t>
            </w:r>
          </w:p>
        </w:tc>
        <w:tc>
          <w:tcPr>
            <w:tcW w:type="dxa" w:w="2880"/>
            <w:tcMar>
              <w:top w:w="90" w:type="dxa"/>
              <w:start w:w="110" w:type="dxa"/>
              <w:bottom w:w="90" w:type="dxa"/>
              <w:end w:w="110" w:type="dxa"/>
            </w:tcMar>
            <w:vAlign w:val="top"/>
          </w:tcPr>
          <w:p>
            <w:pPr>
              <w:spacing w:after="0"/>
            </w:pPr>
            <w:r>
              <w:rPr>
                <w:rFonts w:ascii="Arial" w:hAnsi="Arial"/>
                <w:b w:val="0"/>
                <w:i w:val="0"/>
                <w:color w:val="0B1727"/>
                <w:sz w:val="16"/>
              </w:rPr>
              <w:t>800–900 m³/day</w:t>
            </w:r>
          </w:p>
        </w:tc>
        <w:tc>
          <w:tcPr>
            <w:tcW w:type="dxa" w:w="2880"/>
            <w:tcMar>
              <w:top w:w="90" w:type="dxa"/>
              <w:start w:w="110" w:type="dxa"/>
              <w:bottom w:w="90" w:type="dxa"/>
              <w:end w:w="110" w:type="dxa"/>
            </w:tcMar>
            <w:vAlign w:val="top"/>
          </w:tcPr>
          <w:p>
            <w:pPr>
              <w:spacing w:after="0"/>
            </w:pPr>
            <w:r>
              <w:rPr>
                <w:rFonts w:ascii="Arial" w:hAnsi="Arial"/>
                <w:b w:val="0"/>
                <w:i w:val="0"/>
                <w:color w:val="0B1727"/>
                <w:sz w:val="16"/>
              </w:rPr>
              <w:t>1,000–1,100 m³/day</w:t>
            </w:r>
          </w:p>
        </w:tc>
      </w:tr>
      <w:tr>
        <w:trPr>
          <w:cantSplit/>
        </w:trPr>
        <w:tc>
          <w:tcPr>
            <w:tcW w:type="dxa" w:w="1584"/>
            <w:shd w:fill="F5F7F8"/>
            <w:tcMar>
              <w:top w:w="90" w:type="dxa"/>
              <w:start w:w="110" w:type="dxa"/>
              <w:bottom w:w="90" w:type="dxa"/>
              <w:end w:w="110" w:type="dxa"/>
            </w:tcMar>
            <w:vAlign w:val="top"/>
          </w:tcPr>
          <w:p>
            <w:pPr>
              <w:spacing w:after="0"/>
            </w:pPr>
            <w:r>
              <w:rPr>
                <w:rFonts w:ascii="Arial" w:hAnsi="Arial"/>
                <w:b w:val="0"/>
                <w:i w:val="0"/>
                <w:color w:val="0B1727"/>
                <w:sz w:val="16"/>
              </w:rPr>
              <w:t>4.32 m³</w:t>
            </w:r>
          </w:p>
        </w:tc>
        <w:tc>
          <w:tcPr>
            <w:tcW w:type="dxa" w:w="2448"/>
            <w:shd w:fill="F5F7F8"/>
            <w:tcMar>
              <w:top w:w="90" w:type="dxa"/>
              <w:start w:w="110" w:type="dxa"/>
              <w:bottom w:w="90" w:type="dxa"/>
              <w:end w:w="110" w:type="dxa"/>
            </w:tcMar>
            <w:vAlign w:val="top"/>
          </w:tcPr>
          <w:p>
            <w:pPr>
              <w:spacing w:after="0"/>
            </w:pPr>
            <w:r>
              <w:rPr>
                <w:rFonts w:ascii="Arial" w:hAnsi="Arial"/>
                <w:b w:val="0"/>
                <w:i w:val="0"/>
                <w:color w:val="0B1727"/>
                <w:sz w:val="16"/>
              </w:rPr>
              <w:t>About 700–800 m³/day</w:t>
            </w:r>
          </w:p>
        </w:tc>
        <w:tc>
          <w:tcPr>
            <w:tcW w:type="dxa" w:w="2880"/>
            <w:shd w:fill="F5F7F8"/>
            <w:tcMar>
              <w:top w:w="90" w:type="dxa"/>
              <w:start w:w="110" w:type="dxa"/>
              <w:bottom w:w="90" w:type="dxa"/>
              <w:end w:w="110" w:type="dxa"/>
            </w:tcMar>
            <w:vAlign w:val="top"/>
          </w:tcPr>
          <w:p>
            <w:pPr>
              <w:spacing w:after="0"/>
            </w:pPr>
            <w:r>
              <w:rPr>
                <w:rFonts w:ascii="Arial" w:hAnsi="Arial"/>
                <w:b w:val="0"/>
                <w:i w:val="0"/>
                <w:color w:val="0B1727"/>
                <w:sz w:val="16"/>
              </w:rPr>
              <w:t>Around 1,200 m³/day</w:t>
            </w:r>
          </w:p>
        </w:tc>
        <w:tc>
          <w:tcPr>
            <w:tcW w:type="dxa" w:w="2880"/>
            <w:shd w:fill="F5F7F8"/>
            <w:tcMar>
              <w:top w:w="90" w:type="dxa"/>
              <w:start w:w="110" w:type="dxa"/>
              <w:bottom w:w="90" w:type="dxa"/>
              <w:end w:w="110" w:type="dxa"/>
            </w:tcMar>
            <w:vAlign w:val="top"/>
          </w:tcPr>
          <w:p>
            <w:pPr>
              <w:spacing w:after="0"/>
            </w:pPr>
            <w:r>
              <w:rPr>
                <w:rFonts w:ascii="Arial" w:hAnsi="Arial"/>
                <w:b w:val="0"/>
                <w:i w:val="0"/>
                <w:color w:val="0B1727"/>
                <w:sz w:val="16"/>
              </w:rPr>
              <w:t>1,500–1,700 m³/day</w:t>
            </w:r>
          </w:p>
        </w:tc>
      </w:tr>
    </w:tbl>
    <w:p>
      <w:pPr>
        <w:spacing w:after="20"/>
      </w:pPr>
    </w:p>
    <w:tbl>
      <w:tblPr>
        <w:tblW w:type="auto" w:w="0"/>
        <w:jc w:val="center"/>
        <w:tblLayout w:type="fixed"/>
        <w:tblLook w:firstColumn="1" w:firstRow="1" w:lastColumn="0" w:lastRow="0" w:noHBand="0" w:noVBand="1" w:val="04A0"/>
      </w:tblPr>
      <w:tblGrid>
        <w:gridCol w:w="9994"/>
      </w:tblGrid>
      <w:tr>
        <w:trPr>
          <w:cantSplit/>
        </w:trPr>
        <w:tc>
          <w:tcPr>
            <w:tcW w:type="dxa" w:w="9792"/>
            <w:shd w:fill="FFF4D6"/>
            <w:tcMar>
              <w:top w:w="160" w:type="dxa"/>
              <w:start w:w="180" w:type="dxa"/>
              <w:bottom w:w="160" w:type="dxa"/>
              <w:end w:w="180" w:type="dxa"/>
            </w:tcMar>
          </w:tcPr>
          <w:p>
            <w:pPr>
              <w:spacing w:after="60"/>
            </w:pPr>
            <w:r>
              <w:rPr>
                <w:rFonts w:ascii="Arial" w:hAnsi="Arial"/>
                <w:b/>
                <w:i w:val="0"/>
                <w:color w:val="0C4F80"/>
                <w:sz w:val="17"/>
              </w:rPr>
              <w:t>IMPORTANT LIMITATION</w:t>
            </w:r>
          </w:p>
          <w:p>
            <w:pPr>
              <w:spacing w:after="0"/>
            </w:pPr>
            <w:r>
              <w:rPr>
                <w:rFonts w:ascii="Arial" w:hAnsi="Arial"/>
                <w:b/>
                <w:i w:val="0"/>
                <w:color w:val="0B1727"/>
                <w:sz w:val="22"/>
              </w:rPr>
              <w:t>These ranges must be supported in every proposal by a project-specific calculation showing shifts, casting cycles, mould circulation, autoclave loading, utilities, utilisation and saleable-output assumptions.</w:t>
            </w:r>
          </w:p>
        </w:tc>
      </w:tr>
    </w:tbl>
    <w:p>
      <w:pPr>
        <w:spacing w:after="20"/>
      </w:pPr>
    </w:p>
    <w:p>
      <w:pPr>
        <w:pStyle w:val="Heading1"/>
      </w:pPr>
      <w:r>
        <w:t>Can a Larger Batch Platform Start at Lower Capacity?</w:t>
      </w:r>
    </w:p>
    <w:p>
      <w:r>
        <w:rPr>
          <w:rFonts w:ascii="Arial" w:hAnsi="Arial"/>
          <w:b w:val="0"/>
          <w:i w:val="0"/>
          <w:color w:val="0B1727"/>
          <w:sz w:val="21"/>
        </w:rPr>
        <w:t>In many projects, yes—but only when phased operation is engineered from the beginning. A larger platform can sometimes begin with fewer autoclaves or a lower production schedule while land, foundations, utility routes and material-flow provisions are reserved for future phases.</w:t>
      </w:r>
    </w:p>
    <w:p>
      <w:r>
        <w:rPr>
          <w:rFonts w:ascii="Arial" w:hAnsi="Arial"/>
          <w:b w:val="0"/>
          <w:i w:val="0"/>
          <w:color w:val="0B1727"/>
          <w:sz w:val="21"/>
        </w:rPr>
        <w:t>This approach can reduce the risk of replacing the main process platform later. It does not mean every component can be postponed or enlarged easily. The Phase 1 design must identify which systems are installed initially, which are sized for the future, and which can be added without prolonged shutdown or major civil modification.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96"/>
            <w:shd w:fill="0B1727"/>
            <w:tcMar>
              <w:top w:w="90" w:type="dxa"/>
              <w:start w:w="110" w:type="dxa"/>
              <w:bottom w:w="90" w:type="dxa"/>
              <w:end w:w="110" w:type="dxa"/>
            </w:tcMar>
            <w:vAlign w:val="center"/>
          </w:tcPr>
          <w:p>
            <w:pPr>
              <w:spacing w:after="0"/>
            </w:pPr>
            <w:r>
              <w:rPr>
                <w:rFonts w:ascii="Arial" w:hAnsi="Arial"/>
                <w:b/>
                <w:i w:val="0"/>
                <w:color w:val="FFFFFF"/>
                <w:sz w:val="16"/>
              </w:rPr>
              <w:t>Plan in Phase 1</w:t>
            </w:r>
          </w:p>
        </w:tc>
        <w:tc>
          <w:tcPr>
            <w:tcW w:type="dxa" w:w="4896"/>
            <w:shd w:fill="0B1727"/>
            <w:tcMar>
              <w:top w:w="90" w:type="dxa"/>
              <w:start w:w="110" w:type="dxa"/>
              <w:bottom w:w="90" w:type="dxa"/>
              <w:end w:w="110" w:type="dxa"/>
            </w:tcMar>
            <w:vAlign w:val="center"/>
          </w:tcPr>
          <w:p>
            <w:pPr>
              <w:spacing w:after="0"/>
            </w:pPr>
            <w:r>
              <w:rPr>
                <w:rFonts w:ascii="Arial" w:hAnsi="Arial"/>
                <w:b/>
                <w:i w:val="0"/>
                <w:color w:val="FFFFFF"/>
                <w:sz w:val="16"/>
              </w:rPr>
              <w:t>May be added or expanded later, subject to design</w:t>
            </w:r>
          </w:p>
        </w:tc>
      </w:tr>
      <w:tr>
        <w:trPr>
          <w:cantSplit/>
        </w:trPr>
        <w:tc>
          <w:tcPr>
            <w:tcW w:type="dxa" w:w="4896"/>
            <w:tcMar>
              <w:top w:w="90" w:type="dxa"/>
              <w:start w:w="110" w:type="dxa"/>
              <w:bottom w:w="90" w:type="dxa"/>
              <w:end w:w="110" w:type="dxa"/>
            </w:tcMar>
            <w:vAlign w:val="top"/>
          </w:tcPr>
          <w:p>
            <w:pPr>
              <w:spacing w:after="0"/>
            </w:pPr>
            <w:r>
              <w:rPr>
                <w:rFonts w:ascii="Arial" w:hAnsi="Arial"/>
                <w:b w:val="0"/>
                <w:i w:val="0"/>
                <w:color w:val="0B1727"/>
                <w:sz w:val="16"/>
              </w:rPr>
              <w:t>Batch/mould platform and principal cake geometry</w:t>
            </w:r>
          </w:p>
        </w:tc>
        <w:tc>
          <w:tcPr>
            <w:tcW w:type="dxa" w:w="4896"/>
            <w:tcMar>
              <w:top w:w="90" w:type="dxa"/>
              <w:start w:w="110" w:type="dxa"/>
              <w:bottom w:w="90" w:type="dxa"/>
              <w:end w:w="110" w:type="dxa"/>
            </w:tcMar>
            <w:vAlign w:val="top"/>
          </w:tcPr>
          <w:p>
            <w:pPr>
              <w:spacing w:after="0"/>
            </w:pPr>
            <w:r>
              <w:rPr>
                <w:rFonts w:ascii="Arial" w:hAnsi="Arial"/>
                <w:b w:val="0"/>
                <w:i w:val="0"/>
                <w:color w:val="0B1727"/>
                <w:sz w:val="16"/>
              </w:rPr>
              <w:t>Additional autoclaves and cars</w:t>
            </w:r>
          </w:p>
        </w:tc>
      </w:tr>
      <w:tr>
        <w:trPr>
          <w:cantSplit/>
        </w:trPr>
        <w:tc>
          <w:tcPr>
            <w:tcW w:type="dxa" w:w="4896"/>
            <w:shd w:fill="F5F7F8"/>
            <w:tcMar>
              <w:top w:w="90" w:type="dxa"/>
              <w:start w:w="110" w:type="dxa"/>
              <w:bottom w:w="90" w:type="dxa"/>
              <w:end w:w="110" w:type="dxa"/>
            </w:tcMar>
            <w:vAlign w:val="top"/>
          </w:tcPr>
          <w:p>
            <w:pPr>
              <w:spacing w:after="0"/>
            </w:pPr>
            <w:r>
              <w:rPr>
                <w:rFonts w:ascii="Arial" w:hAnsi="Arial"/>
                <w:b w:val="0"/>
                <w:i w:val="0"/>
                <w:color w:val="0B1727"/>
                <w:sz w:val="16"/>
              </w:rPr>
              <w:t>Layout, traffic routes and expansion space</w:t>
            </w:r>
          </w:p>
        </w:tc>
        <w:tc>
          <w:tcPr>
            <w:tcW w:type="dxa" w:w="4896"/>
            <w:shd w:fill="F5F7F8"/>
            <w:tcMar>
              <w:top w:w="90" w:type="dxa"/>
              <w:start w:w="110" w:type="dxa"/>
              <w:bottom w:w="90" w:type="dxa"/>
              <w:end w:w="110" w:type="dxa"/>
            </w:tcMar>
            <w:vAlign w:val="top"/>
          </w:tcPr>
          <w:p>
            <w:pPr>
              <w:spacing w:after="0"/>
            </w:pPr>
            <w:r>
              <w:rPr>
                <w:rFonts w:ascii="Arial" w:hAnsi="Arial"/>
                <w:b w:val="0"/>
                <w:i w:val="0"/>
                <w:color w:val="0B1727"/>
                <w:sz w:val="16"/>
              </w:rPr>
              <w:t>Boiler or steam-system capacity</w:t>
            </w:r>
          </w:p>
        </w:tc>
      </w:tr>
      <w:tr>
        <w:trPr>
          <w:cantSplit/>
        </w:trPr>
        <w:tc>
          <w:tcPr>
            <w:tcW w:type="dxa" w:w="4896"/>
            <w:tcMar>
              <w:top w:w="90" w:type="dxa"/>
              <w:start w:w="110" w:type="dxa"/>
              <w:bottom w:w="90" w:type="dxa"/>
              <w:end w:w="110" w:type="dxa"/>
            </w:tcMar>
            <w:vAlign w:val="top"/>
          </w:tcPr>
          <w:p>
            <w:pPr>
              <w:spacing w:after="0"/>
            </w:pPr>
            <w:r>
              <w:rPr>
                <w:rFonts w:ascii="Arial" w:hAnsi="Arial"/>
                <w:b w:val="0"/>
                <w:i w:val="0"/>
                <w:color w:val="0B1727"/>
                <w:sz w:val="16"/>
              </w:rPr>
              <w:t>Major foundations and building clearances</w:t>
            </w:r>
          </w:p>
        </w:tc>
        <w:tc>
          <w:tcPr>
            <w:tcW w:type="dxa" w:w="4896"/>
            <w:tcMar>
              <w:top w:w="90" w:type="dxa"/>
              <w:start w:w="110" w:type="dxa"/>
              <w:bottom w:w="90" w:type="dxa"/>
              <w:end w:w="110" w:type="dxa"/>
            </w:tcMar>
            <w:vAlign w:val="top"/>
          </w:tcPr>
          <w:p>
            <w:pPr>
              <w:spacing w:after="0"/>
            </w:pPr>
            <w:r>
              <w:rPr>
                <w:rFonts w:ascii="Arial" w:hAnsi="Arial"/>
                <w:b w:val="0"/>
                <w:i w:val="0"/>
                <w:color w:val="0B1727"/>
                <w:sz w:val="16"/>
              </w:rPr>
              <w:t>Mould inventory and handling equipment</w:t>
            </w:r>
          </w:p>
        </w:tc>
      </w:tr>
      <w:tr>
        <w:trPr>
          <w:cantSplit/>
        </w:trPr>
        <w:tc>
          <w:tcPr>
            <w:tcW w:type="dxa" w:w="4896"/>
            <w:shd w:fill="F5F7F8"/>
            <w:tcMar>
              <w:top w:w="90" w:type="dxa"/>
              <w:start w:w="110" w:type="dxa"/>
              <w:bottom w:w="90" w:type="dxa"/>
              <w:end w:w="110" w:type="dxa"/>
            </w:tcMar>
            <w:vAlign w:val="top"/>
          </w:tcPr>
          <w:p>
            <w:pPr>
              <w:spacing w:after="0"/>
            </w:pPr>
            <w:r>
              <w:rPr>
                <w:rFonts w:ascii="Arial" w:hAnsi="Arial"/>
                <w:b w:val="0"/>
                <w:i w:val="0"/>
                <w:color w:val="0B1727"/>
                <w:sz w:val="16"/>
              </w:rPr>
              <w:t>Electrical rooms, cable routes and utility corridors</w:t>
            </w:r>
          </w:p>
        </w:tc>
        <w:tc>
          <w:tcPr>
            <w:tcW w:type="dxa" w:w="4896"/>
            <w:shd w:fill="F5F7F8"/>
            <w:tcMar>
              <w:top w:w="90" w:type="dxa"/>
              <w:start w:w="110" w:type="dxa"/>
              <w:bottom w:w="90" w:type="dxa"/>
              <w:end w:w="110" w:type="dxa"/>
            </w:tcMar>
            <w:vAlign w:val="top"/>
          </w:tcPr>
          <w:p>
            <w:pPr>
              <w:spacing w:after="0"/>
            </w:pPr>
            <w:r>
              <w:rPr>
                <w:rFonts w:ascii="Arial" w:hAnsi="Arial"/>
                <w:b w:val="0"/>
                <w:i w:val="0"/>
                <w:color w:val="0B1727"/>
                <w:sz w:val="16"/>
              </w:rPr>
              <w:t>Packing modules and finished-goods handling</w:t>
            </w:r>
          </w:p>
        </w:tc>
      </w:tr>
      <w:tr>
        <w:trPr>
          <w:cantSplit/>
        </w:trPr>
        <w:tc>
          <w:tcPr>
            <w:tcW w:type="dxa" w:w="4896"/>
            <w:tcMar>
              <w:top w:w="90" w:type="dxa"/>
              <w:start w:w="110" w:type="dxa"/>
              <w:bottom w:w="90" w:type="dxa"/>
              <w:end w:w="110" w:type="dxa"/>
            </w:tcMar>
            <w:vAlign w:val="top"/>
          </w:tcPr>
          <w:p>
            <w:pPr>
              <w:spacing w:after="0"/>
            </w:pPr>
            <w:r>
              <w:rPr>
                <w:rFonts w:ascii="Arial" w:hAnsi="Arial"/>
                <w:b w:val="0"/>
                <w:i w:val="0"/>
                <w:color w:val="0B1727"/>
                <w:sz w:val="16"/>
              </w:rPr>
              <w:t>Cutting philosophy and main material flow</w:t>
            </w:r>
          </w:p>
        </w:tc>
        <w:tc>
          <w:tcPr>
            <w:tcW w:type="dxa" w:w="4896"/>
            <w:tcMar>
              <w:top w:w="90" w:type="dxa"/>
              <w:start w:w="110" w:type="dxa"/>
              <w:bottom w:w="90" w:type="dxa"/>
              <w:end w:w="110" w:type="dxa"/>
            </w:tcMar>
            <w:vAlign w:val="top"/>
          </w:tcPr>
          <w:p>
            <w:pPr>
              <w:spacing w:after="0"/>
            </w:pPr>
            <w:r>
              <w:rPr>
                <w:rFonts w:ascii="Arial" w:hAnsi="Arial"/>
                <w:b w:val="0"/>
                <w:i w:val="0"/>
                <w:color w:val="0B1727"/>
                <w:sz w:val="16"/>
              </w:rPr>
              <w:t>Automation functions and production-data systems</w:t>
            </w:r>
          </w:p>
        </w:tc>
      </w:tr>
    </w:tbl>
    <w:p>
      <w:pPr>
        <w:spacing w:after="20"/>
      </w:pPr>
    </w:p>
    <w:p>
      <w:pPr>
        <w:pStyle w:val="Heading1"/>
      </w:pPr>
      <w:r>
        <w:t>Why Additional Autoclaves Do Not Always Increase Production</w:t>
      </w:r>
    </w:p>
    <w:p>
      <w:r>
        <w:rPr>
          <w:rFonts w:ascii="Arial" w:hAnsi="Arial"/>
          <w:b w:val="0"/>
          <w:i w:val="0"/>
          <w:color w:val="0B1727"/>
          <w:sz w:val="21"/>
        </w:rPr>
        <w:t>Adding autoclaves can increase output when autoclaving is the active bottleneck and the rest of the line has verified spare capacity. It will not solve a restriction in slurry preparation, casting frequency, pre-curing, mould circulation, cutting, crane movement or packing.</w:t>
      </w:r>
    </w:p>
    <w:p>
      <w:r>
        <w:rPr>
          <w:rFonts w:ascii="Arial" w:hAnsi="Arial"/>
          <w:b w:val="0"/>
          <w:i w:val="0"/>
          <w:color w:val="0B1727"/>
          <w:sz w:val="21"/>
        </w:rPr>
        <w:t>Before adding an autoclave, an existing manufacturer should complete a bottleneck audit using actual production timestamps. The audit should compare sustainable throughput at each stage and identify where queues, idle time or starvation occur.</w:t>
      </w:r>
    </w:p>
    <w:tbl>
      <w:tblPr>
        <w:tblW w:type="auto" w:w="0"/>
        <w:jc w:val="center"/>
        <w:tblLayout w:type="fixed"/>
        <w:tblLook w:firstColumn="1" w:firstRow="1" w:lastColumn="0" w:lastRow="0" w:noHBand="0" w:noVBand="1" w:val="04A0"/>
      </w:tblPr>
      <w:tblGrid>
        <w:gridCol w:w="9994"/>
      </w:tblGrid>
      <w:tr>
        <w:trPr>
          <w:cantSplit/>
        </w:trPr>
        <w:tc>
          <w:tcPr>
            <w:tcW w:type="dxa" w:w="9792"/>
            <w:shd w:fill="EEF2F5"/>
            <w:tcMar>
              <w:top w:w="160" w:type="dxa"/>
              <w:start w:w="180" w:type="dxa"/>
              <w:bottom w:w="160" w:type="dxa"/>
              <w:end w:w="180" w:type="dxa"/>
            </w:tcMar>
          </w:tcPr>
          <w:p>
            <w:pPr>
              <w:spacing w:after="60"/>
            </w:pPr>
            <w:r>
              <w:rPr>
                <w:rFonts w:ascii="Arial" w:hAnsi="Arial"/>
                <w:b/>
                <w:i w:val="0"/>
                <w:color w:val="0C4F80"/>
                <w:sz w:val="17"/>
              </w:rPr>
              <w:t>DECISION RULE</w:t>
            </w:r>
          </w:p>
          <w:p>
            <w:pPr>
              <w:spacing w:after="0"/>
            </w:pPr>
            <w:r>
              <w:rPr>
                <w:rFonts w:ascii="Arial" w:hAnsi="Arial"/>
                <w:b/>
                <w:i w:val="0"/>
                <w:color w:val="0B1727"/>
                <w:sz w:val="22"/>
              </w:rPr>
              <w:t>Expand the constrained process—not simply the most visible machine.</w:t>
            </w:r>
          </w:p>
        </w:tc>
      </w:tr>
    </w:tbl>
    <w:p>
      <w:pPr>
        <w:spacing w:after="20"/>
      </w:pPr>
    </w:p>
    <w:p>
      <w:pPr>
        <w:pStyle w:val="Heading1"/>
      </w:pPr>
      <w:r>
        <w:t>Semi-Automatic vs Fully Automatic AAC Plant Capacity</w:t>
      </w:r>
    </w:p>
    <w:p>
      <w:r>
        <w:rPr>
          <w:rFonts w:ascii="Arial" w:hAnsi="Arial"/>
          <w:b w:val="0"/>
          <w:i w:val="0"/>
          <w:color w:val="0B1727"/>
          <w:sz w:val="21"/>
        </w:rPr>
        <w:t>Automation can improve cycle consistency, coordination and equipment utilisation, but “fully automatic” is not a sufficient capacity specification. Suppliers may use the same label for very different scopes.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0B1727"/>
            <w:tcMar>
              <w:top w:w="90" w:type="dxa"/>
              <w:start w:w="110" w:type="dxa"/>
              <w:bottom w:w="90" w:type="dxa"/>
              <w:end w:w="110" w:type="dxa"/>
            </w:tcMar>
            <w:vAlign w:val="center"/>
          </w:tcPr>
          <w:p>
            <w:pPr>
              <w:spacing w:after="0"/>
            </w:pPr>
            <w:r>
              <w:rPr>
                <w:rFonts w:ascii="Arial" w:hAnsi="Arial"/>
                <w:b/>
                <w:i w:val="0"/>
                <w:color w:val="FFFFFF"/>
                <w:sz w:val="16"/>
              </w:rPr>
              <w:t>Evaluation point</w:t>
            </w:r>
          </w:p>
        </w:tc>
        <w:tc>
          <w:tcPr>
            <w:tcW w:type="dxa" w:w="3960"/>
            <w:shd w:fill="0B1727"/>
            <w:tcMar>
              <w:top w:w="90" w:type="dxa"/>
              <w:start w:w="110" w:type="dxa"/>
              <w:bottom w:w="90" w:type="dxa"/>
              <w:end w:w="110" w:type="dxa"/>
            </w:tcMar>
            <w:vAlign w:val="center"/>
          </w:tcPr>
          <w:p>
            <w:pPr>
              <w:spacing w:after="0"/>
            </w:pPr>
            <w:r>
              <w:rPr>
                <w:rFonts w:ascii="Arial" w:hAnsi="Arial"/>
                <w:b/>
                <w:i w:val="0"/>
                <w:color w:val="FFFFFF"/>
                <w:sz w:val="16"/>
              </w:rPr>
              <w:t>Semi-automatic configuration</w:t>
            </w:r>
          </w:p>
        </w:tc>
        <w:tc>
          <w:tcPr>
            <w:tcW w:type="dxa" w:w="3960"/>
            <w:shd w:fill="0B1727"/>
            <w:tcMar>
              <w:top w:w="90" w:type="dxa"/>
              <w:start w:w="110" w:type="dxa"/>
              <w:bottom w:w="90" w:type="dxa"/>
              <w:end w:w="110" w:type="dxa"/>
            </w:tcMar>
            <w:vAlign w:val="center"/>
          </w:tcPr>
          <w:p>
            <w:pPr>
              <w:spacing w:after="0"/>
            </w:pPr>
            <w:r>
              <w:rPr>
                <w:rFonts w:ascii="Arial" w:hAnsi="Arial"/>
                <w:b/>
                <w:i w:val="0"/>
                <w:color w:val="FFFFFF"/>
                <w:sz w:val="16"/>
              </w:rPr>
              <w:t>Fully automatic configuration</w:t>
            </w:r>
          </w:p>
        </w:tc>
      </w:tr>
      <w:tr>
        <w:trPr>
          <w:cantSplit/>
        </w:trPr>
        <w:tc>
          <w:tcPr>
            <w:tcW w:type="dxa" w:w="1872"/>
            <w:tcMar>
              <w:top w:w="90" w:type="dxa"/>
              <w:start w:w="110" w:type="dxa"/>
              <w:bottom w:w="90" w:type="dxa"/>
              <w:end w:w="110" w:type="dxa"/>
            </w:tcMar>
            <w:vAlign w:val="top"/>
          </w:tcPr>
          <w:p>
            <w:pPr>
              <w:spacing w:after="0"/>
            </w:pPr>
            <w:r>
              <w:rPr>
                <w:rFonts w:ascii="Arial" w:hAnsi="Arial"/>
                <w:b w:val="0"/>
                <w:i w:val="0"/>
                <w:color w:val="0B1727"/>
                <w:sz w:val="16"/>
              </w:rPr>
              <w:t>Material movement</w:t>
            </w:r>
          </w:p>
        </w:tc>
        <w:tc>
          <w:tcPr>
            <w:tcW w:type="dxa" w:w="3960"/>
            <w:tcMar>
              <w:top w:w="90" w:type="dxa"/>
              <w:start w:w="110" w:type="dxa"/>
              <w:bottom w:w="90" w:type="dxa"/>
              <w:end w:w="110" w:type="dxa"/>
            </w:tcMar>
            <w:vAlign w:val="top"/>
          </w:tcPr>
          <w:p>
            <w:pPr>
              <w:spacing w:after="0"/>
            </w:pPr>
            <w:r>
              <w:rPr>
                <w:rFonts w:ascii="Arial" w:hAnsi="Arial"/>
                <w:b w:val="0"/>
                <w:i w:val="0"/>
                <w:color w:val="0B1727"/>
                <w:sz w:val="16"/>
              </w:rPr>
              <w:t>More operator-dependent transfers or confirmations</w:t>
            </w:r>
          </w:p>
        </w:tc>
        <w:tc>
          <w:tcPr>
            <w:tcW w:type="dxa" w:w="3960"/>
            <w:tcMar>
              <w:top w:w="90" w:type="dxa"/>
              <w:start w:w="110" w:type="dxa"/>
              <w:bottom w:w="90" w:type="dxa"/>
              <w:end w:w="110" w:type="dxa"/>
            </w:tcMar>
            <w:vAlign w:val="top"/>
          </w:tcPr>
          <w:p>
            <w:pPr>
              <w:spacing w:after="0"/>
            </w:pPr>
            <w:r>
              <w:rPr>
                <w:rFonts w:ascii="Arial" w:hAnsi="Arial"/>
                <w:b w:val="0"/>
                <w:i w:val="0"/>
                <w:color w:val="0B1727"/>
                <w:sz w:val="16"/>
              </w:rPr>
              <w:t>More interlinked and sequenced transfers</w:t>
            </w:r>
          </w:p>
        </w:tc>
      </w:tr>
      <w:tr>
        <w:trPr>
          <w:cantSplit/>
        </w:trPr>
        <w:tc>
          <w:tcPr>
            <w:tcW w:type="dxa" w:w="1872"/>
            <w:shd w:fill="F5F7F8"/>
            <w:tcMar>
              <w:top w:w="90" w:type="dxa"/>
              <w:start w:w="110" w:type="dxa"/>
              <w:bottom w:w="90" w:type="dxa"/>
              <w:end w:w="110" w:type="dxa"/>
            </w:tcMar>
            <w:vAlign w:val="top"/>
          </w:tcPr>
          <w:p>
            <w:pPr>
              <w:spacing w:after="0"/>
            </w:pPr>
            <w:r>
              <w:rPr>
                <w:rFonts w:ascii="Arial" w:hAnsi="Arial"/>
                <w:b w:val="0"/>
                <w:i w:val="0"/>
                <w:color w:val="0B1727"/>
                <w:sz w:val="16"/>
              </w:rPr>
              <w:t>Cycle coordination</w:t>
            </w:r>
          </w:p>
        </w:tc>
        <w:tc>
          <w:tcPr>
            <w:tcW w:type="dxa" w:w="3960"/>
            <w:shd w:fill="F5F7F8"/>
            <w:tcMar>
              <w:top w:w="90" w:type="dxa"/>
              <w:start w:w="110" w:type="dxa"/>
              <w:bottom w:w="90" w:type="dxa"/>
              <w:end w:w="110" w:type="dxa"/>
            </w:tcMar>
            <w:vAlign w:val="top"/>
          </w:tcPr>
          <w:p>
            <w:pPr>
              <w:spacing w:after="0"/>
            </w:pPr>
            <w:r>
              <w:rPr>
                <w:rFonts w:ascii="Arial" w:hAnsi="Arial"/>
                <w:b w:val="0"/>
                <w:i w:val="0"/>
                <w:color w:val="0B1727"/>
                <w:sz w:val="16"/>
              </w:rPr>
              <w:t>Greater dependence on operator timing</w:t>
            </w:r>
          </w:p>
        </w:tc>
        <w:tc>
          <w:tcPr>
            <w:tcW w:type="dxa" w:w="3960"/>
            <w:shd w:fill="F5F7F8"/>
            <w:tcMar>
              <w:top w:w="90" w:type="dxa"/>
              <w:start w:w="110" w:type="dxa"/>
              <w:bottom w:w="90" w:type="dxa"/>
              <w:end w:w="110" w:type="dxa"/>
            </w:tcMar>
            <w:vAlign w:val="top"/>
          </w:tcPr>
          <w:p>
            <w:pPr>
              <w:spacing w:after="0"/>
            </w:pPr>
            <w:r>
              <w:rPr>
                <w:rFonts w:ascii="Arial" w:hAnsi="Arial"/>
                <w:b w:val="0"/>
                <w:i w:val="0"/>
                <w:color w:val="0B1727"/>
                <w:sz w:val="16"/>
              </w:rPr>
              <w:t>PLC-controlled sequencing can reduce avoidable waiting</w:t>
            </w:r>
          </w:p>
        </w:tc>
      </w:tr>
      <w:tr>
        <w:trPr>
          <w:cantSplit/>
        </w:trPr>
        <w:tc>
          <w:tcPr>
            <w:tcW w:type="dxa" w:w="1872"/>
            <w:tcMar>
              <w:top w:w="90" w:type="dxa"/>
              <w:start w:w="110" w:type="dxa"/>
              <w:bottom w:w="90" w:type="dxa"/>
              <w:end w:w="110" w:type="dxa"/>
            </w:tcMar>
            <w:vAlign w:val="top"/>
          </w:tcPr>
          <w:p>
            <w:pPr>
              <w:spacing w:after="0"/>
            </w:pPr>
            <w:r>
              <w:rPr>
                <w:rFonts w:ascii="Arial" w:hAnsi="Arial"/>
                <w:b w:val="0"/>
                <w:i w:val="0"/>
                <w:color w:val="0B1727"/>
                <w:sz w:val="16"/>
              </w:rPr>
              <w:t>Data visibility</w:t>
            </w:r>
          </w:p>
        </w:tc>
        <w:tc>
          <w:tcPr>
            <w:tcW w:type="dxa" w:w="3960"/>
            <w:tcMar>
              <w:top w:w="90" w:type="dxa"/>
              <w:start w:w="110" w:type="dxa"/>
              <w:bottom w:w="90" w:type="dxa"/>
              <w:end w:w="110" w:type="dxa"/>
            </w:tcMar>
            <w:vAlign w:val="top"/>
          </w:tcPr>
          <w:p>
            <w:pPr>
              <w:spacing w:after="0"/>
            </w:pPr>
            <w:r>
              <w:rPr>
                <w:rFonts w:ascii="Arial" w:hAnsi="Arial"/>
                <w:b w:val="0"/>
                <w:i w:val="0"/>
                <w:color w:val="0B1727"/>
                <w:sz w:val="16"/>
              </w:rPr>
              <w:t>May rely more on manual records</w:t>
            </w:r>
          </w:p>
        </w:tc>
        <w:tc>
          <w:tcPr>
            <w:tcW w:type="dxa" w:w="3960"/>
            <w:tcMar>
              <w:top w:w="90" w:type="dxa"/>
              <w:start w:w="110" w:type="dxa"/>
              <w:bottom w:w="90" w:type="dxa"/>
              <w:end w:w="110" w:type="dxa"/>
            </w:tcMar>
            <w:vAlign w:val="top"/>
          </w:tcPr>
          <w:p>
            <w:pPr>
              <w:spacing w:after="0"/>
            </w:pPr>
            <w:r>
              <w:rPr>
                <w:rFonts w:ascii="Arial" w:hAnsi="Arial"/>
                <w:b w:val="0"/>
                <w:i w:val="0"/>
                <w:color w:val="0B1727"/>
                <w:sz w:val="16"/>
              </w:rPr>
              <w:t>Can provide alarms, trends, interlocks and production data</w:t>
            </w:r>
          </w:p>
        </w:tc>
      </w:tr>
      <w:tr>
        <w:trPr>
          <w:cantSplit/>
        </w:trPr>
        <w:tc>
          <w:tcPr>
            <w:tcW w:type="dxa" w:w="1872"/>
            <w:shd w:fill="F5F7F8"/>
            <w:tcMar>
              <w:top w:w="90" w:type="dxa"/>
              <w:start w:w="110" w:type="dxa"/>
              <w:bottom w:w="90" w:type="dxa"/>
              <w:end w:w="110" w:type="dxa"/>
            </w:tcMar>
            <w:vAlign w:val="top"/>
          </w:tcPr>
          <w:p>
            <w:pPr>
              <w:spacing w:after="0"/>
            </w:pPr>
            <w:r>
              <w:rPr>
                <w:rFonts w:ascii="Arial" w:hAnsi="Arial"/>
                <w:b w:val="0"/>
                <w:i w:val="0"/>
                <w:color w:val="0B1727"/>
                <w:sz w:val="16"/>
              </w:rPr>
              <w:t>Staffing</w:t>
            </w:r>
          </w:p>
        </w:tc>
        <w:tc>
          <w:tcPr>
            <w:tcW w:type="dxa" w:w="3960"/>
            <w:shd w:fill="F5F7F8"/>
            <w:tcMar>
              <w:top w:w="90" w:type="dxa"/>
              <w:start w:w="110" w:type="dxa"/>
              <w:bottom w:w="90" w:type="dxa"/>
              <w:end w:w="110" w:type="dxa"/>
            </w:tcMar>
            <w:vAlign w:val="top"/>
          </w:tcPr>
          <w:p>
            <w:pPr>
              <w:spacing w:after="0"/>
            </w:pPr>
            <w:r>
              <w:rPr>
                <w:rFonts w:ascii="Arial" w:hAnsi="Arial"/>
                <w:b w:val="0"/>
                <w:i w:val="0"/>
                <w:color w:val="0B1727"/>
                <w:sz w:val="16"/>
              </w:rPr>
              <w:t>Requires capable operators and supervision</w:t>
            </w:r>
          </w:p>
        </w:tc>
        <w:tc>
          <w:tcPr>
            <w:tcW w:type="dxa" w:w="3960"/>
            <w:shd w:fill="F5F7F8"/>
            <w:tcMar>
              <w:top w:w="90" w:type="dxa"/>
              <w:start w:w="110" w:type="dxa"/>
              <w:bottom w:w="90" w:type="dxa"/>
              <w:end w:w="110" w:type="dxa"/>
            </w:tcMar>
            <w:vAlign w:val="top"/>
          </w:tcPr>
          <w:p>
            <w:pPr>
              <w:spacing w:after="0"/>
            </w:pPr>
            <w:r>
              <w:rPr>
                <w:rFonts w:ascii="Arial" w:hAnsi="Arial"/>
                <w:b w:val="0"/>
                <w:i w:val="0"/>
                <w:color w:val="0B1727"/>
                <w:sz w:val="16"/>
              </w:rPr>
              <w:t>Still requires trained supervision, instrumentation and maintenance support</w:t>
            </w:r>
          </w:p>
        </w:tc>
      </w:tr>
      <w:tr>
        <w:trPr>
          <w:cantSplit/>
        </w:trPr>
        <w:tc>
          <w:tcPr>
            <w:tcW w:type="dxa" w:w="1872"/>
            <w:tcMar>
              <w:top w:w="90" w:type="dxa"/>
              <w:start w:w="110" w:type="dxa"/>
              <w:bottom w:w="90" w:type="dxa"/>
              <w:end w:w="110" w:type="dxa"/>
            </w:tcMar>
            <w:vAlign w:val="top"/>
          </w:tcPr>
          <w:p>
            <w:pPr>
              <w:spacing w:after="0"/>
            </w:pPr>
            <w:r>
              <w:rPr>
                <w:rFonts w:ascii="Arial" w:hAnsi="Arial"/>
                <w:b w:val="0"/>
                <w:i w:val="0"/>
                <w:color w:val="0B1727"/>
                <w:sz w:val="16"/>
              </w:rPr>
              <w:t>Capacity effect</w:t>
            </w:r>
          </w:p>
        </w:tc>
        <w:tc>
          <w:tcPr>
            <w:tcW w:type="dxa" w:w="3960"/>
            <w:tcMar>
              <w:top w:w="90" w:type="dxa"/>
              <w:start w:w="110" w:type="dxa"/>
              <w:bottom w:w="90" w:type="dxa"/>
              <w:end w:w="110" w:type="dxa"/>
            </w:tcMar>
            <w:vAlign w:val="top"/>
          </w:tcPr>
          <w:p>
            <w:pPr>
              <w:spacing w:after="0"/>
            </w:pPr>
            <w:r>
              <w:rPr>
                <w:rFonts w:ascii="Arial" w:hAnsi="Arial"/>
                <w:b w:val="0"/>
                <w:i w:val="0"/>
                <w:color w:val="0B1727"/>
                <w:sz w:val="16"/>
              </w:rPr>
              <w:t>Depends on manual coordination and line balance</w:t>
            </w:r>
          </w:p>
        </w:tc>
        <w:tc>
          <w:tcPr>
            <w:tcW w:type="dxa" w:w="3960"/>
            <w:tcMar>
              <w:top w:w="90" w:type="dxa"/>
              <w:start w:w="110" w:type="dxa"/>
              <w:bottom w:w="90" w:type="dxa"/>
              <w:end w:w="110" w:type="dxa"/>
            </w:tcMar>
            <w:vAlign w:val="top"/>
          </w:tcPr>
          <w:p>
            <w:pPr>
              <w:spacing w:after="0"/>
            </w:pPr>
            <w:r>
              <w:rPr>
                <w:rFonts w:ascii="Arial" w:hAnsi="Arial"/>
                <w:b w:val="0"/>
                <w:i w:val="0"/>
                <w:color w:val="0B1727"/>
                <w:sz w:val="16"/>
              </w:rPr>
              <w:t>Higher output is possible only if automation removes the active constraint</w:t>
            </w:r>
          </w:p>
        </w:tc>
      </w:tr>
      <w:tr>
        <w:trPr>
          <w:cantSplit/>
        </w:trPr>
        <w:tc>
          <w:tcPr>
            <w:tcW w:type="dxa" w:w="1872"/>
            <w:shd w:fill="F5F7F8"/>
            <w:tcMar>
              <w:top w:w="90" w:type="dxa"/>
              <w:start w:w="110" w:type="dxa"/>
              <w:bottom w:w="90" w:type="dxa"/>
              <w:end w:w="110" w:type="dxa"/>
            </w:tcMar>
            <w:vAlign w:val="top"/>
          </w:tcPr>
          <w:p>
            <w:pPr>
              <w:spacing w:after="0"/>
            </w:pPr>
            <w:r>
              <w:rPr>
                <w:rFonts w:ascii="Arial" w:hAnsi="Arial"/>
                <w:b w:val="0"/>
                <w:i w:val="0"/>
                <w:color w:val="0B1727"/>
                <w:sz w:val="16"/>
              </w:rPr>
              <w:t>Investor verification</w:t>
            </w:r>
          </w:p>
        </w:tc>
        <w:tc>
          <w:tcPr>
            <w:tcW w:type="dxa" w:w="3960"/>
            <w:shd w:fill="F5F7F8"/>
            <w:tcMar>
              <w:top w:w="90" w:type="dxa"/>
              <w:start w:w="110" w:type="dxa"/>
              <w:bottom w:w="90" w:type="dxa"/>
              <w:end w:w="110" w:type="dxa"/>
            </w:tcMar>
            <w:vAlign w:val="top"/>
          </w:tcPr>
          <w:p>
            <w:pPr>
              <w:spacing w:after="0"/>
            </w:pPr>
            <w:r>
              <w:rPr>
                <w:rFonts w:ascii="Arial" w:hAnsi="Arial"/>
                <w:b w:val="0"/>
                <w:i w:val="0"/>
                <w:color w:val="0B1727"/>
                <w:sz w:val="16"/>
              </w:rPr>
              <w:t>Confirm cycle responsibility and staffing</w:t>
            </w:r>
          </w:p>
        </w:tc>
        <w:tc>
          <w:tcPr>
            <w:tcW w:type="dxa" w:w="3960"/>
            <w:shd w:fill="F5F7F8"/>
            <w:tcMar>
              <w:top w:w="90" w:type="dxa"/>
              <w:start w:w="110" w:type="dxa"/>
              <w:bottom w:w="90" w:type="dxa"/>
              <w:end w:w="110" w:type="dxa"/>
            </w:tcMar>
            <w:vAlign w:val="top"/>
          </w:tcPr>
          <w:p>
            <w:pPr>
              <w:spacing w:after="0"/>
            </w:pPr>
            <w:r>
              <w:rPr>
                <w:rFonts w:ascii="Arial" w:hAnsi="Arial"/>
                <w:b w:val="0"/>
                <w:i w:val="0"/>
                <w:color w:val="0B1727"/>
                <w:sz w:val="16"/>
              </w:rPr>
              <w:t>Confirm exactly which machines and transfers are interlinked</w:t>
            </w:r>
          </w:p>
        </w:tc>
      </w:tr>
    </w:tbl>
    <w:p>
      <w:pPr>
        <w:spacing w:after="20"/>
      </w:pPr>
    </w:p>
    <w:p>
      <w:pPr>
        <w:pStyle w:val="Heading1"/>
      </w:pPr>
      <w:r>
        <w:t>How to Select the Right AAC Plant Size</w:t>
      </w:r>
    </w:p>
    <w:p>
      <w:r>
        <w:rPr>
          <w:rFonts w:ascii="Arial" w:hAnsi="Arial"/>
          <w:b w:val="0"/>
          <w:i w:val="0"/>
          <w:color w:val="0B1727"/>
          <w:sz w:val="21"/>
        </w:rPr>
        <w:t>The correct batch platform should balance market opportunity, investment capacity and long-term engineering constraints.</w:t>
      </w:r>
    </w:p>
    <w:p>
      <w:pPr>
        <w:pStyle w:val="ListBullet"/>
        <w:spacing w:after="60"/>
        <w:ind w:left="317" w:hanging="202"/>
      </w:pPr>
      <w:r>
        <w:rPr>
          <w:rFonts w:ascii="Arial" w:hAnsi="Arial"/>
          <w:b w:val="0"/>
          <w:i w:val="0"/>
          <w:color w:val="0B1727"/>
          <w:sz w:val="21"/>
        </w:rPr>
        <w:t>Define realistic saleable demand for the start-up phase, stabilised operation and future expansion.</w:t>
      </w:r>
    </w:p>
    <w:p>
      <w:pPr>
        <w:pStyle w:val="ListBullet"/>
        <w:spacing w:after="60"/>
        <w:ind w:left="317" w:hanging="202"/>
      </w:pPr>
      <w:r>
        <w:rPr>
          <w:rFonts w:ascii="Arial" w:hAnsi="Arial"/>
          <w:b w:val="0"/>
          <w:i w:val="0"/>
          <w:color w:val="0B1727"/>
          <w:sz w:val="21"/>
        </w:rPr>
        <w:t>Decide the product mix: blocks, panels, lintels, multiple densities or mixed production.</w:t>
      </w:r>
    </w:p>
    <w:p>
      <w:pPr>
        <w:pStyle w:val="ListBullet"/>
        <w:spacing w:after="60"/>
        <w:ind w:left="317" w:hanging="202"/>
      </w:pPr>
      <w:r>
        <w:rPr>
          <w:rFonts w:ascii="Arial" w:hAnsi="Arial"/>
          <w:b w:val="0"/>
          <w:i w:val="0"/>
          <w:color w:val="0B1727"/>
          <w:sz w:val="21"/>
        </w:rPr>
        <w:t>Set operating assumptions: shifts, casting hours, planned maintenance and seasonal working conditions.</w:t>
      </w:r>
    </w:p>
    <w:p>
      <w:pPr>
        <w:pStyle w:val="ListBullet"/>
        <w:spacing w:after="60"/>
        <w:ind w:left="317" w:hanging="202"/>
      </w:pPr>
      <w:r>
        <w:rPr>
          <w:rFonts w:ascii="Arial" w:hAnsi="Arial"/>
          <w:b w:val="0"/>
          <w:i w:val="0"/>
          <w:color w:val="0B1727"/>
          <w:sz w:val="21"/>
        </w:rPr>
        <w:t>Evaluate land, building, power, water, steam, fuel and raw-material infrastructure.</w:t>
      </w:r>
    </w:p>
    <w:p>
      <w:pPr>
        <w:pStyle w:val="ListBullet"/>
        <w:spacing w:after="60"/>
        <w:ind w:left="317" w:hanging="202"/>
      </w:pPr>
      <w:r>
        <w:rPr>
          <w:rFonts w:ascii="Arial" w:hAnsi="Arial"/>
          <w:b w:val="0"/>
          <w:i w:val="0"/>
          <w:color w:val="0B1727"/>
          <w:sz w:val="21"/>
        </w:rPr>
        <w:t>Compare semi-automatic, fully automatic and intelligently phased configurations by actual scope.</w:t>
      </w:r>
    </w:p>
    <w:p>
      <w:pPr>
        <w:pStyle w:val="ListBullet"/>
        <w:spacing w:after="60"/>
        <w:ind w:left="317" w:hanging="202"/>
      </w:pPr>
      <w:r>
        <w:rPr>
          <w:rFonts w:ascii="Arial" w:hAnsi="Arial"/>
          <w:b w:val="0"/>
          <w:i w:val="0"/>
          <w:color w:val="0B1727"/>
          <w:sz w:val="21"/>
        </w:rPr>
        <w:t>Calculate mould circulation, cutting throughput, autoclave loading and finished-product handling.</w:t>
      </w:r>
    </w:p>
    <w:p>
      <w:pPr>
        <w:pStyle w:val="ListBullet"/>
        <w:spacing w:after="60"/>
        <w:ind w:left="317" w:hanging="202"/>
      </w:pPr>
      <w:r>
        <w:rPr>
          <w:rFonts w:ascii="Arial" w:hAnsi="Arial"/>
          <w:b w:val="0"/>
          <w:i w:val="0"/>
          <w:color w:val="0B1727"/>
          <w:sz w:val="21"/>
        </w:rPr>
        <w:t>Review working capital and the financial effect of underutilised capacity.</w:t>
      </w:r>
    </w:p>
    <w:p>
      <w:pPr>
        <w:pStyle w:val="ListBullet"/>
        <w:spacing w:after="60"/>
        <w:ind w:left="317" w:hanging="202"/>
      </w:pPr>
      <w:r>
        <w:rPr>
          <w:rFonts w:ascii="Arial" w:hAnsi="Arial"/>
          <w:b w:val="0"/>
          <w:i w:val="0"/>
          <w:color w:val="0B1727"/>
          <w:sz w:val="21"/>
        </w:rPr>
        <w:t>Select a platform with a documented expansion boundary—not an undefined promise that everything can be upgraded later.</w:t>
      </w:r>
    </w:p>
    <w:p>
      <w:pPr>
        <w:pStyle w:val="Heading1"/>
      </w:pPr>
      <w:r>
        <w:t>Common Capacity-Selection Mistakes</w:t>
      </w:r>
    </w:p>
    <w:p>
      <w:pPr>
        <w:pStyle w:val="ListBullet"/>
        <w:spacing w:after="60"/>
        <w:ind w:left="317" w:hanging="202"/>
      </w:pPr>
      <w:r>
        <w:rPr>
          <w:rFonts w:ascii="Arial" w:hAnsi="Arial"/>
          <w:b w:val="0"/>
          <w:i w:val="0"/>
          <w:color w:val="0B1727"/>
          <w:sz w:val="21"/>
        </w:rPr>
        <w:t>Selecting capacity only from the number of autoclaves.</w:t>
      </w:r>
    </w:p>
    <w:p>
      <w:pPr>
        <w:pStyle w:val="ListBullet"/>
        <w:spacing w:after="60"/>
        <w:ind w:left="317" w:hanging="202"/>
      </w:pPr>
      <w:r>
        <w:rPr>
          <w:rFonts w:ascii="Arial" w:hAnsi="Arial"/>
          <w:b w:val="0"/>
          <w:i w:val="0"/>
          <w:color w:val="0B1727"/>
          <w:sz w:val="21"/>
        </w:rPr>
        <w:t>Treating mixer gross volume as guaranteed saleable cake volume.</w:t>
      </w:r>
    </w:p>
    <w:p>
      <w:pPr>
        <w:pStyle w:val="ListBullet"/>
        <w:spacing w:after="60"/>
        <w:ind w:left="317" w:hanging="202"/>
      </w:pPr>
      <w:r>
        <w:rPr>
          <w:rFonts w:ascii="Arial" w:hAnsi="Arial"/>
          <w:b w:val="0"/>
          <w:i w:val="0"/>
          <w:color w:val="0B1727"/>
          <w:sz w:val="21"/>
        </w:rPr>
        <w:t>Comparing quotations that use different shifts, utilisation or product assumptions.</w:t>
      </w:r>
    </w:p>
    <w:p>
      <w:pPr>
        <w:pStyle w:val="ListBullet"/>
        <w:spacing w:after="60"/>
        <w:ind w:left="317" w:hanging="202"/>
      </w:pPr>
      <w:r>
        <w:rPr>
          <w:rFonts w:ascii="Arial" w:hAnsi="Arial"/>
          <w:b w:val="0"/>
          <w:i w:val="0"/>
          <w:color w:val="0B1727"/>
          <w:sz w:val="21"/>
        </w:rPr>
        <w:t>Choosing a smaller platform only to reduce initial machinery cost.</w:t>
      </w:r>
    </w:p>
    <w:p>
      <w:pPr>
        <w:pStyle w:val="ListBullet"/>
        <w:spacing w:after="60"/>
        <w:ind w:left="317" w:hanging="202"/>
      </w:pPr>
      <w:r>
        <w:rPr>
          <w:rFonts w:ascii="Arial" w:hAnsi="Arial"/>
          <w:b w:val="0"/>
          <w:i w:val="0"/>
          <w:color w:val="0B1727"/>
          <w:sz w:val="21"/>
        </w:rPr>
        <w:t>Choosing an oversized platform without sufficient demand or working capital.</w:t>
      </w:r>
    </w:p>
    <w:p>
      <w:pPr>
        <w:pStyle w:val="ListBullet"/>
        <w:spacing w:after="60"/>
        <w:ind w:left="317" w:hanging="202"/>
      </w:pPr>
      <w:r>
        <w:rPr>
          <w:rFonts w:ascii="Arial" w:hAnsi="Arial"/>
          <w:b w:val="0"/>
          <w:i w:val="0"/>
          <w:color w:val="0B1727"/>
          <w:sz w:val="21"/>
        </w:rPr>
        <w:t>Assuming every machine, foundation and building can be upgraded later.</w:t>
      </w:r>
    </w:p>
    <w:p>
      <w:pPr>
        <w:pStyle w:val="ListBullet"/>
        <w:spacing w:after="60"/>
        <w:ind w:left="317" w:hanging="202"/>
      </w:pPr>
      <w:r>
        <w:rPr>
          <w:rFonts w:ascii="Arial" w:hAnsi="Arial"/>
          <w:b w:val="0"/>
          <w:i w:val="0"/>
          <w:color w:val="0B1727"/>
          <w:sz w:val="21"/>
        </w:rPr>
        <w:t>Ignoring pre-curing time and the number of moulds required in circulation.</w:t>
      </w:r>
    </w:p>
    <w:p>
      <w:pPr>
        <w:pStyle w:val="ListBullet"/>
        <w:spacing w:after="60"/>
        <w:ind w:left="317" w:hanging="202"/>
      </w:pPr>
      <w:r>
        <w:rPr>
          <w:rFonts w:ascii="Arial" w:hAnsi="Arial"/>
          <w:b w:val="0"/>
          <w:i w:val="0"/>
          <w:color w:val="0B1727"/>
          <w:sz w:val="21"/>
        </w:rPr>
        <w:t>Accepting “fully automatic” without a machine-by-machine automation scope.</w:t>
      </w:r>
    </w:p>
    <w:p>
      <w:pPr>
        <w:pStyle w:val="ListBullet"/>
        <w:spacing w:after="60"/>
        <w:ind w:left="317" w:hanging="202"/>
      </w:pPr>
      <w:r>
        <w:rPr>
          <w:rFonts w:ascii="Arial" w:hAnsi="Arial"/>
          <w:b w:val="0"/>
          <w:i w:val="0"/>
          <w:color w:val="0B1727"/>
          <w:sz w:val="21"/>
        </w:rPr>
        <w:t>Ignoring packing, dispatch and finished-goods storage constraints.</w:t>
      </w:r>
    </w:p>
    <w:p>
      <w:pPr>
        <w:pStyle w:val="ListBullet"/>
        <w:spacing w:after="60"/>
        <w:ind w:left="317" w:hanging="202"/>
      </w:pPr>
      <w:r>
        <w:rPr>
          <w:rFonts w:ascii="Arial" w:hAnsi="Arial"/>
          <w:b w:val="0"/>
          <w:i w:val="0"/>
          <w:color w:val="0B1727"/>
          <w:sz w:val="21"/>
        </w:rPr>
        <w:t>Treating theoretical output as guaranteed daily saleable production.</w:t>
      </w:r>
    </w:p>
    <w:p>
      <w:pPr>
        <w:pStyle w:val="Heading1"/>
      </w:pPr>
      <w:r>
        <w:t>Checklist: How to Verify a Supplier’s Capacity Claim</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464"/>
            <w:shd w:fill="0B1727"/>
            <w:tcMar>
              <w:top w:w="90" w:type="dxa"/>
              <w:start w:w="110" w:type="dxa"/>
              <w:bottom w:w="90" w:type="dxa"/>
              <w:end w:w="110" w:type="dxa"/>
            </w:tcMar>
            <w:vAlign w:val="center"/>
          </w:tcPr>
          <w:p>
            <w:pPr>
              <w:spacing w:after="0"/>
            </w:pPr>
            <w:r>
              <w:rPr>
                <w:rFonts w:ascii="Arial" w:hAnsi="Arial"/>
                <w:b/>
                <w:i w:val="0"/>
                <w:color w:val="FFFFFF"/>
                <w:sz w:val="16"/>
              </w:rPr>
              <w:t>Ask the supplier to provide</w:t>
            </w:r>
          </w:p>
        </w:tc>
        <w:tc>
          <w:tcPr>
            <w:tcW w:type="dxa" w:w="5328"/>
            <w:shd w:fill="0B1727"/>
            <w:tcMar>
              <w:top w:w="90" w:type="dxa"/>
              <w:start w:w="110" w:type="dxa"/>
              <w:bottom w:w="90" w:type="dxa"/>
              <w:end w:w="110" w:type="dxa"/>
            </w:tcMar>
            <w:vAlign w:val="center"/>
          </w:tcPr>
          <w:p>
            <w:pPr>
              <w:spacing w:after="0"/>
            </w:pPr>
            <w:r>
              <w:rPr>
                <w:rFonts w:ascii="Arial" w:hAnsi="Arial"/>
                <w:b/>
                <w:i w:val="0"/>
                <w:color w:val="FFFFFF"/>
                <w:sz w:val="16"/>
              </w:rPr>
              <w:t>Why it matters</w:t>
            </w:r>
          </w:p>
        </w:tc>
      </w:tr>
      <w:tr>
        <w:trPr>
          <w:cantSplit/>
        </w:trPr>
        <w:tc>
          <w:tcPr>
            <w:tcW w:type="dxa" w:w="4464"/>
            <w:tcMar>
              <w:top w:w="90" w:type="dxa"/>
              <w:start w:w="110" w:type="dxa"/>
              <w:bottom w:w="90" w:type="dxa"/>
              <w:end w:w="110" w:type="dxa"/>
            </w:tcMar>
            <w:vAlign w:val="top"/>
          </w:tcPr>
          <w:p>
            <w:pPr>
              <w:spacing w:after="0"/>
            </w:pPr>
            <w:r>
              <w:rPr>
                <w:rFonts w:ascii="Arial" w:hAnsi="Arial"/>
                <w:b w:val="0"/>
                <w:i w:val="0"/>
                <w:color w:val="0B1727"/>
                <w:sz w:val="16"/>
              </w:rPr>
              <w:t>Usable batch volume and mould dimensions</w:t>
            </w:r>
          </w:p>
        </w:tc>
        <w:tc>
          <w:tcPr>
            <w:tcW w:type="dxa" w:w="5328"/>
            <w:tcMar>
              <w:top w:w="90" w:type="dxa"/>
              <w:start w:w="110" w:type="dxa"/>
              <w:bottom w:w="90" w:type="dxa"/>
              <w:end w:w="110" w:type="dxa"/>
            </w:tcMar>
            <w:vAlign w:val="top"/>
          </w:tcPr>
          <w:p>
            <w:pPr>
              <w:spacing w:after="0"/>
            </w:pPr>
            <w:r>
              <w:rPr>
                <w:rFonts w:ascii="Arial" w:hAnsi="Arial"/>
                <w:b w:val="0"/>
                <w:i w:val="0"/>
                <w:color w:val="0B1727"/>
                <w:sz w:val="16"/>
              </w:rPr>
              <w:t>Confirms what one casting cycle actually represents.</w:t>
            </w:r>
          </w:p>
        </w:tc>
      </w:tr>
      <w:tr>
        <w:trPr>
          <w:cantSplit/>
        </w:trPr>
        <w:tc>
          <w:tcPr>
            <w:tcW w:type="dxa" w:w="4464"/>
            <w:shd w:fill="F5F7F8"/>
            <w:tcMar>
              <w:top w:w="90" w:type="dxa"/>
              <w:start w:w="110" w:type="dxa"/>
              <w:bottom w:w="90" w:type="dxa"/>
              <w:end w:w="110" w:type="dxa"/>
            </w:tcMar>
            <w:vAlign w:val="top"/>
          </w:tcPr>
          <w:p>
            <w:pPr>
              <w:spacing w:after="0"/>
            </w:pPr>
            <w:r>
              <w:rPr>
                <w:rFonts w:ascii="Arial" w:hAnsi="Arial"/>
                <w:b w:val="0"/>
                <w:i w:val="0"/>
                <w:color w:val="0B1727"/>
                <w:sz w:val="16"/>
              </w:rPr>
              <w:t>Sustainable batches per hour</w:t>
            </w:r>
          </w:p>
        </w:tc>
        <w:tc>
          <w:tcPr>
            <w:tcW w:type="dxa" w:w="5328"/>
            <w:shd w:fill="F5F7F8"/>
            <w:tcMar>
              <w:top w:w="90" w:type="dxa"/>
              <w:start w:w="110" w:type="dxa"/>
              <w:bottom w:w="90" w:type="dxa"/>
              <w:end w:w="110" w:type="dxa"/>
            </w:tcMar>
            <w:vAlign w:val="top"/>
          </w:tcPr>
          <w:p>
            <w:pPr>
              <w:spacing w:after="0"/>
            </w:pPr>
            <w:r>
              <w:rPr>
                <w:rFonts w:ascii="Arial" w:hAnsi="Arial"/>
                <w:b w:val="0"/>
                <w:i w:val="0"/>
                <w:color w:val="0B1727"/>
                <w:sz w:val="16"/>
              </w:rPr>
              <w:t>Separates normal production from an isolated fastest cycle.</w:t>
            </w:r>
          </w:p>
        </w:tc>
      </w:tr>
      <w:tr>
        <w:trPr>
          <w:cantSplit/>
        </w:trPr>
        <w:tc>
          <w:tcPr>
            <w:tcW w:type="dxa" w:w="4464"/>
            <w:tcMar>
              <w:top w:w="90" w:type="dxa"/>
              <w:start w:w="110" w:type="dxa"/>
              <w:bottom w:w="90" w:type="dxa"/>
              <w:end w:w="110" w:type="dxa"/>
            </w:tcMar>
            <w:vAlign w:val="top"/>
          </w:tcPr>
          <w:p>
            <w:pPr>
              <w:spacing w:after="0"/>
            </w:pPr>
            <w:r>
              <w:rPr>
                <w:rFonts w:ascii="Arial" w:hAnsi="Arial"/>
                <w:b w:val="0"/>
                <w:i w:val="0"/>
                <w:color w:val="0B1727"/>
                <w:sz w:val="16"/>
              </w:rPr>
              <w:t>Shifts and casting hours</w:t>
            </w:r>
          </w:p>
        </w:tc>
        <w:tc>
          <w:tcPr>
            <w:tcW w:type="dxa" w:w="5328"/>
            <w:tcMar>
              <w:top w:w="90" w:type="dxa"/>
              <w:start w:w="110" w:type="dxa"/>
              <w:bottom w:w="90" w:type="dxa"/>
              <w:end w:w="110" w:type="dxa"/>
            </w:tcMar>
            <w:vAlign w:val="top"/>
          </w:tcPr>
          <w:p>
            <w:pPr>
              <w:spacing w:after="0"/>
            </w:pPr>
            <w:r>
              <w:rPr>
                <w:rFonts w:ascii="Arial" w:hAnsi="Arial"/>
                <w:b w:val="0"/>
                <w:i w:val="0"/>
                <w:color w:val="0B1727"/>
                <w:sz w:val="16"/>
              </w:rPr>
              <w:t>Makes the daily output calculation comparable.</w:t>
            </w:r>
          </w:p>
        </w:tc>
      </w:tr>
      <w:tr>
        <w:trPr>
          <w:cantSplit/>
        </w:trPr>
        <w:tc>
          <w:tcPr>
            <w:tcW w:type="dxa" w:w="4464"/>
            <w:shd w:fill="F5F7F8"/>
            <w:tcMar>
              <w:top w:w="90" w:type="dxa"/>
              <w:start w:w="110" w:type="dxa"/>
              <w:bottom w:w="90" w:type="dxa"/>
              <w:end w:w="110" w:type="dxa"/>
            </w:tcMar>
            <w:vAlign w:val="top"/>
          </w:tcPr>
          <w:p>
            <w:pPr>
              <w:spacing w:after="0"/>
            </w:pPr>
            <w:r>
              <w:rPr>
                <w:rFonts w:ascii="Arial" w:hAnsi="Arial"/>
                <w:b w:val="0"/>
                <w:i w:val="0"/>
                <w:color w:val="0B1727"/>
                <w:sz w:val="16"/>
              </w:rPr>
              <w:t>Mould quantity and pre-curing assumption</w:t>
            </w:r>
          </w:p>
        </w:tc>
        <w:tc>
          <w:tcPr>
            <w:tcW w:type="dxa" w:w="5328"/>
            <w:shd w:fill="F5F7F8"/>
            <w:tcMar>
              <w:top w:w="90" w:type="dxa"/>
              <w:start w:w="110" w:type="dxa"/>
              <w:bottom w:w="90" w:type="dxa"/>
              <w:end w:w="110" w:type="dxa"/>
            </w:tcMar>
            <w:vAlign w:val="top"/>
          </w:tcPr>
          <w:p>
            <w:pPr>
              <w:spacing w:after="0"/>
            </w:pPr>
            <w:r>
              <w:rPr>
                <w:rFonts w:ascii="Arial" w:hAnsi="Arial"/>
                <w:b w:val="0"/>
                <w:i w:val="0"/>
                <w:color w:val="0B1727"/>
                <w:sz w:val="16"/>
              </w:rPr>
              <w:t>Tests whether mould circulation can sustain casting.</w:t>
            </w:r>
          </w:p>
        </w:tc>
      </w:tr>
      <w:tr>
        <w:trPr>
          <w:cantSplit/>
        </w:trPr>
        <w:tc>
          <w:tcPr>
            <w:tcW w:type="dxa" w:w="4464"/>
            <w:tcMar>
              <w:top w:w="90" w:type="dxa"/>
              <w:start w:w="110" w:type="dxa"/>
              <w:bottom w:w="90" w:type="dxa"/>
              <w:end w:w="110" w:type="dxa"/>
            </w:tcMar>
            <w:vAlign w:val="top"/>
          </w:tcPr>
          <w:p>
            <w:pPr>
              <w:spacing w:after="0"/>
            </w:pPr>
            <w:r>
              <w:rPr>
                <w:rFonts w:ascii="Arial" w:hAnsi="Arial"/>
                <w:b w:val="0"/>
                <w:i w:val="0"/>
                <w:color w:val="0B1727"/>
                <w:sz w:val="16"/>
              </w:rPr>
              <w:t>Cutting and crane cycle calculation</w:t>
            </w:r>
          </w:p>
        </w:tc>
        <w:tc>
          <w:tcPr>
            <w:tcW w:type="dxa" w:w="5328"/>
            <w:tcMar>
              <w:top w:w="90" w:type="dxa"/>
              <w:start w:w="110" w:type="dxa"/>
              <w:bottom w:w="90" w:type="dxa"/>
              <w:end w:w="110" w:type="dxa"/>
            </w:tcMar>
            <w:vAlign w:val="top"/>
          </w:tcPr>
          <w:p>
            <w:pPr>
              <w:spacing w:after="0"/>
            </w:pPr>
            <w:r>
              <w:rPr>
                <w:rFonts w:ascii="Arial" w:hAnsi="Arial"/>
                <w:b w:val="0"/>
                <w:i w:val="0"/>
                <w:color w:val="0B1727"/>
                <w:sz w:val="16"/>
              </w:rPr>
              <w:t>Identifies upstream queues and handling limits.</w:t>
            </w:r>
          </w:p>
        </w:tc>
      </w:tr>
      <w:tr>
        <w:trPr>
          <w:cantSplit/>
        </w:trPr>
        <w:tc>
          <w:tcPr>
            <w:tcW w:type="dxa" w:w="4464"/>
            <w:shd w:fill="F5F7F8"/>
            <w:tcMar>
              <w:top w:w="90" w:type="dxa"/>
              <w:start w:w="110" w:type="dxa"/>
              <w:bottom w:w="90" w:type="dxa"/>
              <w:end w:w="110" w:type="dxa"/>
            </w:tcMar>
            <w:vAlign w:val="top"/>
          </w:tcPr>
          <w:p>
            <w:pPr>
              <w:spacing w:after="0"/>
            </w:pPr>
            <w:r>
              <w:rPr>
                <w:rFonts w:ascii="Arial" w:hAnsi="Arial"/>
                <w:b w:val="0"/>
                <w:i w:val="0"/>
                <w:color w:val="0B1727"/>
                <w:sz w:val="16"/>
              </w:rPr>
              <w:t>Autoclave loading and curing schedule</w:t>
            </w:r>
          </w:p>
        </w:tc>
        <w:tc>
          <w:tcPr>
            <w:tcW w:type="dxa" w:w="5328"/>
            <w:shd w:fill="F5F7F8"/>
            <w:tcMar>
              <w:top w:w="90" w:type="dxa"/>
              <w:start w:w="110" w:type="dxa"/>
              <w:bottom w:w="90" w:type="dxa"/>
              <w:end w:w="110" w:type="dxa"/>
            </w:tcMar>
            <w:vAlign w:val="top"/>
          </w:tcPr>
          <w:p>
            <w:pPr>
              <w:spacing w:after="0"/>
            </w:pPr>
            <w:r>
              <w:rPr>
                <w:rFonts w:ascii="Arial" w:hAnsi="Arial"/>
                <w:b w:val="0"/>
                <w:i w:val="0"/>
                <w:color w:val="0B1727"/>
                <w:sz w:val="16"/>
              </w:rPr>
              <w:t>Verifies curing throughput rather than autoclave count alone.</w:t>
            </w:r>
          </w:p>
        </w:tc>
      </w:tr>
      <w:tr>
        <w:trPr>
          <w:cantSplit/>
        </w:trPr>
        <w:tc>
          <w:tcPr>
            <w:tcW w:type="dxa" w:w="4464"/>
            <w:tcMar>
              <w:top w:w="90" w:type="dxa"/>
              <w:start w:w="110" w:type="dxa"/>
              <w:bottom w:w="90" w:type="dxa"/>
              <w:end w:w="110" w:type="dxa"/>
            </w:tcMar>
            <w:vAlign w:val="top"/>
          </w:tcPr>
          <w:p>
            <w:pPr>
              <w:spacing w:after="0"/>
            </w:pPr>
            <w:r>
              <w:rPr>
                <w:rFonts w:ascii="Arial" w:hAnsi="Arial"/>
                <w:b w:val="0"/>
                <w:i w:val="0"/>
                <w:color w:val="0B1727"/>
                <w:sz w:val="16"/>
              </w:rPr>
              <w:t>Boiler and steam balance</w:t>
            </w:r>
          </w:p>
        </w:tc>
        <w:tc>
          <w:tcPr>
            <w:tcW w:type="dxa" w:w="5328"/>
            <w:tcMar>
              <w:top w:w="90" w:type="dxa"/>
              <w:start w:w="110" w:type="dxa"/>
              <w:bottom w:w="90" w:type="dxa"/>
              <w:end w:w="110" w:type="dxa"/>
            </w:tcMar>
            <w:vAlign w:val="top"/>
          </w:tcPr>
          <w:p>
            <w:pPr>
              <w:spacing w:after="0"/>
            </w:pPr>
            <w:r>
              <w:rPr>
                <w:rFonts w:ascii="Arial" w:hAnsi="Arial"/>
                <w:b w:val="0"/>
                <w:i w:val="0"/>
                <w:color w:val="0B1727"/>
                <w:sz w:val="16"/>
              </w:rPr>
              <w:t>Confirms that the steam system supports the loading plan.</w:t>
            </w:r>
          </w:p>
        </w:tc>
      </w:tr>
      <w:tr>
        <w:trPr>
          <w:cantSplit/>
        </w:trPr>
        <w:tc>
          <w:tcPr>
            <w:tcW w:type="dxa" w:w="4464"/>
            <w:shd w:fill="F5F7F8"/>
            <w:tcMar>
              <w:top w:w="90" w:type="dxa"/>
              <w:start w:w="110" w:type="dxa"/>
              <w:bottom w:w="90" w:type="dxa"/>
              <w:end w:w="110" w:type="dxa"/>
            </w:tcMar>
            <w:vAlign w:val="top"/>
          </w:tcPr>
          <w:p>
            <w:pPr>
              <w:spacing w:after="0"/>
            </w:pPr>
            <w:r>
              <w:rPr>
                <w:rFonts w:ascii="Arial" w:hAnsi="Arial"/>
                <w:b w:val="0"/>
                <w:i w:val="0"/>
                <w:color w:val="0B1727"/>
                <w:sz w:val="16"/>
              </w:rPr>
              <w:t>Packing and dispatch capacity</w:t>
            </w:r>
          </w:p>
        </w:tc>
        <w:tc>
          <w:tcPr>
            <w:tcW w:type="dxa" w:w="5328"/>
            <w:shd w:fill="F5F7F8"/>
            <w:tcMar>
              <w:top w:w="90" w:type="dxa"/>
              <w:start w:w="110" w:type="dxa"/>
              <w:bottom w:w="90" w:type="dxa"/>
              <w:end w:w="110" w:type="dxa"/>
            </w:tcMar>
            <w:vAlign w:val="top"/>
          </w:tcPr>
          <w:p>
            <w:pPr>
              <w:spacing w:after="0"/>
            </w:pPr>
            <w:r>
              <w:rPr>
                <w:rFonts w:ascii="Arial" w:hAnsi="Arial"/>
                <w:b w:val="0"/>
                <w:i w:val="0"/>
                <w:color w:val="0B1727"/>
                <w:sz w:val="16"/>
              </w:rPr>
              <w:t>Checks whether finished product can leave the line at the required rate.</w:t>
            </w:r>
          </w:p>
        </w:tc>
      </w:tr>
      <w:tr>
        <w:trPr>
          <w:cantSplit/>
        </w:trPr>
        <w:tc>
          <w:tcPr>
            <w:tcW w:type="dxa" w:w="4464"/>
            <w:tcMar>
              <w:top w:w="90" w:type="dxa"/>
              <w:start w:w="110" w:type="dxa"/>
              <w:bottom w:w="90" w:type="dxa"/>
              <w:end w:w="110" w:type="dxa"/>
            </w:tcMar>
            <w:vAlign w:val="top"/>
          </w:tcPr>
          <w:p>
            <w:pPr>
              <w:spacing w:after="0"/>
            </w:pPr>
            <w:r>
              <w:rPr>
                <w:rFonts w:ascii="Arial" w:hAnsi="Arial"/>
                <w:b w:val="0"/>
                <w:i w:val="0"/>
                <w:color w:val="0B1727"/>
                <w:sz w:val="16"/>
              </w:rPr>
              <w:t>Utilisation and rejection assumptions</w:t>
            </w:r>
          </w:p>
        </w:tc>
        <w:tc>
          <w:tcPr>
            <w:tcW w:type="dxa" w:w="5328"/>
            <w:tcMar>
              <w:top w:w="90" w:type="dxa"/>
              <w:start w:w="110" w:type="dxa"/>
              <w:bottom w:w="90" w:type="dxa"/>
              <w:end w:w="110" w:type="dxa"/>
            </w:tcMar>
            <w:vAlign w:val="top"/>
          </w:tcPr>
          <w:p>
            <w:pPr>
              <w:spacing w:after="0"/>
            </w:pPr>
            <w:r>
              <w:rPr>
                <w:rFonts w:ascii="Arial" w:hAnsi="Arial"/>
                <w:b w:val="0"/>
                <w:i w:val="0"/>
                <w:color w:val="0B1727"/>
                <w:sz w:val="16"/>
              </w:rPr>
              <w:t>Converts design output into a realistic saleable figure.</w:t>
            </w:r>
          </w:p>
        </w:tc>
      </w:tr>
      <w:tr>
        <w:trPr>
          <w:cantSplit/>
        </w:trPr>
        <w:tc>
          <w:tcPr>
            <w:tcW w:type="dxa" w:w="4464"/>
            <w:shd w:fill="F5F7F8"/>
            <w:tcMar>
              <w:top w:w="90" w:type="dxa"/>
              <w:start w:w="110" w:type="dxa"/>
              <w:bottom w:w="90" w:type="dxa"/>
              <w:end w:w="110" w:type="dxa"/>
            </w:tcMar>
            <w:vAlign w:val="top"/>
          </w:tcPr>
          <w:p>
            <w:pPr>
              <w:spacing w:after="0"/>
            </w:pPr>
            <w:r>
              <w:rPr>
                <w:rFonts w:ascii="Arial" w:hAnsi="Arial"/>
                <w:b w:val="0"/>
                <w:i w:val="0"/>
                <w:color w:val="0B1727"/>
                <w:sz w:val="16"/>
              </w:rPr>
              <w:t>Performance-test conditions</w:t>
            </w:r>
          </w:p>
        </w:tc>
        <w:tc>
          <w:tcPr>
            <w:tcW w:type="dxa" w:w="5328"/>
            <w:shd w:fill="F5F7F8"/>
            <w:tcMar>
              <w:top w:w="90" w:type="dxa"/>
              <w:start w:w="110" w:type="dxa"/>
              <w:bottom w:w="90" w:type="dxa"/>
              <w:end w:w="110" w:type="dxa"/>
            </w:tcMar>
            <w:vAlign w:val="top"/>
          </w:tcPr>
          <w:p>
            <w:pPr>
              <w:spacing w:after="0"/>
            </w:pPr>
            <w:r>
              <w:rPr>
                <w:rFonts w:ascii="Arial" w:hAnsi="Arial"/>
                <w:b w:val="0"/>
                <w:i w:val="0"/>
                <w:color w:val="0B1727"/>
                <w:sz w:val="16"/>
              </w:rPr>
              <w:t>Defines how commissioned output will be measured and accepted.</w:t>
            </w:r>
          </w:p>
        </w:tc>
      </w:tr>
    </w:tbl>
    <w:p>
      <w:pPr>
        <w:spacing w:after="20"/>
      </w:pPr>
    </w:p>
    <w:p>
      <w:pPr>
        <w:pStyle w:val="Heading1"/>
      </w:pPr>
      <w:r>
        <w:t>How Laxmi En-Fab Approaches Capacity Planning</w:t>
      </w:r>
    </w:p>
    <w:p>
      <w:r>
        <w:rPr>
          <w:rFonts w:ascii="Arial" w:hAnsi="Arial"/>
          <w:b w:val="0"/>
          <w:i w:val="0"/>
          <w:color w:val="0B1727"/>
          <w:sz w:val="21"/>
        </w:rPr>
        <w:t>Laxmi En-Fab evaluates AAC plant capacity as an integrated production system. The capacity-planning discussion should connect the target output with the selected batch platform, material preparation, mould circulation, cutting cycle, autoclave plan, steam system, automation scope, packing arrangement and future expansion strategy.</w:t>
      </w:r>
    </w:p>
    <w:p>
      <w:r>
        <w:rPr>
          <w:rFonts w:ascii="Arial" w:hAnsi="Arial"/>
          <w:b w:val="0"/>
          <w:i w:val="0"/>
          <w:color w:val="0B1727"/>
          <w:sz w:val="21"/>
        </w:rPr>
        <w:t>For a meaningful review, the project team should provide the proposed location, raw-material route, target product mix, initial and future output, operating plan, available land, utility conditions and preferred automation level. The resulting recommendation should identify both the proposed configuration and its stated assumptions.</w:t>
      </w:r>
    </w:p>
    <w:tbl>
      <w:tblPr>
        <w:tblW w:type="auto" w:w="0"/>
        <w:jc w:val="center"/>
        <w:tblLayout w:type="fixed"/>
        <w:tblLook w:firstColumn="1" w:firstRow="1" w:lastColumn="0" w:lastRow="0" w:noHBand="0" w:noVBand="1" w:val="04A0"/>
      </w:tblPr>
      <w:tblGrid>
        <w:gridCol w:w="9994"/>
      </w:tblGrid>
      <w:tr>
        <w:trPr>
          <w:cantSplit/>
        </w:trPr>
        <w:tc>
          <w:tcPr>
            <w:tcW w:type="dxa" w:w="9792"/>
            <w:shd w:fill="EEF2F5"/>
            <w:tcMar>
              <w:top w:w="160" w:type="dxa"/>
              <w:start w:w="180" w:type="dxa"/>
              <w:bottom w:w="160" w:type="dxa"/>
              <w:end w:w="180" w:type="dxa"/>
            </w:tcMar>
          </w:tcPr>
          <w:p>
            <w:pPr>
              <w:spacing w:after="60"/>
            </w:pPr>
            <w:r>
              <w:rPr>
                <w:rFonts w:ascii="Arial" w:hAnsi="Arial"/>
                <w:b/>
                <w:i w:val="0"/>
                <w:color w:val="0C4F80"/>
                <w:sz w:val="17"/>
              </w:rPr>
              <w:t>PRIMARY ACTION</w:t>
            </w:r>
          </w:p>
          <w:p>
            <w:pPr>
              <w:spacing w:after="0"/>
            </w:pPr>
            <w:r>
              <w:rPr>
                <w:rFonts w:ascii="Arial" w:hAnsi="Arial"/>
                <w:b/>
                <w:i w:val="0"/>
                <w:color w:val="0B1727"/>
                <w:sz w:val="22"/>
              </w:rPr>
              <w:t>Request an AAC Capacity Configuration Review: share your target output, operating plan and expansion objective so the engineering team can recommend a suitable batch platform and identify likely capacity constraints.</w:t>
            </w:r>
          </w:p>
        </w:tc>
      </w:tr>
    </w:tbl>
    <w:p>
      <w:pPr>
        <w:spacing w:after="20"/>
      </w:pPr>
    </w:p>
    <w:p>
      <w:pPr>
        <w:pStyle w:val="Heading1"/>
      </w:pPr>
      <w:r>
        <w:t>Frequently Asked Questions</w:t>
      </w:r>
    </w:p>
    <w:p>
      <w:pPr>
        <w:pStyle w:val="Heading2"/>
      </w:pPr>
      <w:r>
        <w:t>Is AAC plant batch size the same as mould size?</w:t>
      </w:r>
    </w:p>
    <w:p>
      <w:r>
        <w:rPr>
          <w:rFonts w:ascii="Arial" w:hAnsi="Arial"/>
          <w:b w:val="0"/>
          <w:i w:val="0"/>
          <w:color w:val="0B1727"/>
          <w:sz w:val="21"/>
        </w:rPr>
        <w:t>Not necessarily. The supplier should separately state mixer gross volume, usable slurry volume, mould volume and net cake volume.</w:t>
      </w:r>
    </w:p>
    <w:p>
      <w:pPr>
        <w:pStyle w:val="Heading2"/>
      </w:pPr>
      <w:r>
        <w:t>Does AAC plant capacity depend only on autoclaves?</w:t>
      </w:r>
    </w:p>
    <w:p>
      <w:r>
        <w:rPr>
          <w:rFonts w:ascii="Arial" w:hAnsi="Arial"/>
          <w:b w:val="0"/>
          <w:i w:val="0"/>
          <w:color w:val="0B1727"/>
          <w:sz w:val="21"/>
        </w:rPr>
        <w:t>No. Autoclaves are one part of the line. Practical output is limited by the slowest sustainable stage across preparation, casting, pre-curing, cutting, autoclaving and packing.</w:t>
      </w:r>
    </w:p>
    <w:p>
      <w:pPr>
        <w:pStyle w:val="Heading2"/>
      </w:pPr>
      <w:r>
        <w:t>Can production be increased by adding more autoclaves?</w:t>
      </w:r>
    </w:p>
    <w:p>
      <w:r>
        <w:rPr>
          <w:rFonts w:ascii="Arial" w:hAnsi="Arial"/>
          <w:b w:val="0"/>
          <w:i w:val="0"/>
          <w:color w:val="0B1727"/>
          <w:sz w:val="21"/>
        </w:rPr>
        <w:t>Yes, when autoclaving is the verified bottleneck and other systems have spare capacity. Additional autoclaves will not correct a limitation elsewhere in the line.</w:t>
      </w:r>
    </w:p>
    <w:p>
      <w:pPr>
        <w:pStyle w:val="Heading2"/>
      </w:pPr>
      <w:r>
        <w:t>Can a 4.32 m³ batch platform begin at a lower capacity?</w:t>
      </w:r>
    </w:p>
    <w:p>
      <w:r>
        <w:rPr>
          <w:rFonts w:ascii="Arial" w:hAnsi="Arial"/>
          <w:b w:val="0"/>
          <w:i w:val="0"/>
          <w:color w:val="0B1727"/>
          <w:sz w:val="21"/>
        </w:rPr>
        <w:t>It may be possible through phased engineering, provided the initial layout, main platform, utilities and future expansion provisions are properly planned.</w:t>
      </w:r>
    </w:p>
    <w:p>
      <w:pPr>
        <w:pStyle w:val="Heading2"/>
      </w:pPr>
      <w:r>
        <w:t>Does a fully automatic plant always produce more?</w:t>
      </w:r>
    </w:p>
    <w:p>
      <w:r>
        <w:rPr>
          <w:rFonts w:ascii="Arial" w:hAnsi="Arial"/>
          <w:b w:val="0"/>
          <w:i w:val="0"/>
          <w:color w:val="0B1727"/>
          <w:sz w:val="21"/>
        </w:rPr>
        <w:t>No. Automation improves output only when it reduces the active constraint and the remaining systems can sustain the faster flow.</w:t>
      </w:r>
    </w:p>
    <w:p>
      <w:pPr>
        <w:pStyle w:val="Heading2"/>
      </w:pPr>
      <w:r>
        <w:t>How many moulds does an AAC plant need?</w:t>
      </w:r>
    </w:p>
    <w:p>
      <w:r>
        <w:rPr>
          <w:rFonts w:ascii="Arial" w:hAnsi="Arial"/>
          <w:b w:val="0"/>
          <w:i w:val="0"/>
          <w:color w:val="0B1727"/>
          <w:sz w:val="21"/>
        </w:rPr>
        <w:t>The requirement depends on casting frequency, pre-curing duration, handling cycle, maintenance reserve and production schedule. It should be calculated for the specific project.</w:t>
      </w:r>
    </w:p>
    <w:p>
      <w:pPr>
        <w:pStyle w:val="Heading2"/>
      </w:pPr>
      <w:r>
        <w:t>Does panel production affect capacity?</w:t>
      </w:r>
    </w:p>
    <w:p>
      <w:r>
        <w:rPr>
          <w:rFonts w:ascii="Arial" w:hAnsi="Arial"/>
          <w:b w:val="0"/>
          <w:i w:val="0"/>
          <w:color w:val="0B1727"/>
          <w:sz w:val="21"/>
        </w:rPr>
        <w:t>It can. Product dimensions, reinforcement preparation, cutting, handling, curing and packing requirements may change the sustainable production plan.</w:t>
      </w:r>
    </w:p>
    <w:p>
      <w:pPr>
        <w:pStyle w:val="Heading2"/>
      </w:pPr>
      <w:r>
        <w:t>What capacity should be written in a machinery contract?</w:t>
      </w:r>
    </w:p>
    <w:p>
      <w:r>
        <w:rPr>
          <w:rFonts w:ascii="Arial" w:hAnsi="Arial"/>
          <w:b w:val="0"/>
          <w:i w:val="0"/>
          <w:color w:val="0B1727"/>
          <w:sz w:val="21"/>
        </w:rPr>
        <w:t>The contract should define the capacity term, product, quality parameters, operating hours, utilities, raw materials, staffing, test duration, permitted downtime and acceptance method.</w:t>
      </w:r>
    </w:p>
    <w:p>
      <w:pPr>
        <w:pStyle w:val="Heading1"/>
      </w:pPr>
      <w:r>
        <w:t>Plan Capacity with Defined Assumptions</w:t>
      </w:r>
    </w:p>
    <w:p>
      <w:r>
        <w:rPr>
          <w:rFonts w:ascii="Arial" w:hAnsi="Arial"/>
          <w:b w:val="0"/>
          <w:i w:val="0"/>
          <w:color w:val="0B1727"/>
          <w:sz w:val="21"/>
        </w:rPr>
        <w:t>The right AAC plant size is not the largest figure in a quotation. It is the configuration that can deliver the required saleable output, operate reliably within available resources and expand without avoidable redesign.</w:t>
      </w:r>
    </w:p>
    <w:p>
      <w:r>
        <w:rPr>
          <w:rFonts w:ascii="Arial" w:hAnsi="Arial"/>
          <w:b w:val="0"/>
          <w:i w:val="0"/>
          <w:color w:val="0B1727"/>
          <w:sz w:val="21"/>
        </w:rPr>
        <w:t>Batch size is the foundation of the production platform, but capacity must be validated as a complete system. Investors should insist on transparent calculations, consistent operating assumptions and a defined performance-verification method before finalising the plant.</w:t>
      </w:r>
    </w:p>
    <w:tbl>
      <w:tblPr>
        <w:tblW w:type="auto" w:w="0"/>
        <w:jc w:val="center"/>
        <w:tblLayout w:type="fixed"/>
        <w:tblLook w:firstColumn="1" w:firstRow="1" w:lastColumn="0" w:lastRow="0" w:noHBand="0" w:noVBand="1" w:val="04A0"/>
      </w:tblPr>
      <w:tblGrid>
        <w:gridCol w:w="9994"/>
      </w:tblGrid>
      <w:tr>
        <w:trPr>
          <w:cantSplit/>
        </w:trPr>
        <w:tc>
          <w:tcPr>
            <w:tcW w:type="dxa" w:w="9792"/>
            <w:shd w:fill="EEF2F5"/>
            <w:tcMar>
              <w:top w:w="160" w:type="dxa"/>
              <w:start w:w="180" w:type="dxa"/>
              <w:bottom w:w="160" w:type="dxa"/>
              <w:end w:w="180" w:type="dxa"/>
            </w:tcMar>
          </w:tcPr>
          <w:p>
            <w:pPr>
              <w:spacing w:after="60"/>
            </w:pPr>
            <w:r>
              <w:rPr>
                <w:rFonts w:ascii="Arial" w:hAnsi="Arial"/>
                <w:b/>
                <w:i w:val="0"/>
                <w:color w:val="0C4F80"/>
                <w:sz w:val="17"/>
              </w:rPr>
              <w:t>PRIMARY CTA</w:t>
            </w:r>
          </w:p>
          <w:p>
            <w:pPr>
              <w:spacing w:after="0"/>
            </w:pPr>
            <w:r>
              <w:rPr>
                <w:rFonts w:ascii="Arial" w:hAnsi="Arial"/>
                <w:b/>
                <w:i w:val="0"/>
                <w:color w:val="0B1727"/>
                <w:sz w:val="22"/>
              </w:rPr>
              <w:t>Plan Your AAC Plant Capacity with Confidence — Contact Laxmi En-Fab Pvt. Ltd. for a project-specific batch-size, capacity and expansion review.</w:t>
            </w:r>
          </w:p>
        </w:tc>
      </w:tr>
    </w:tbl>
    <w:p>
      <w:pPr>
        <w:spacing w:after="20"/>
      </w:pPr>
    </w:p>
    <w:p>
      <w:r>
        <w:rPr>
          <w:rFonts w:ascii="Arial" w:hAnsi="Arial"/>
          <w:b w:val="0"/>
          <w:i w:val="0"/>
          <w:color w:val="0B1727"/>
          <w:sz w:val="21"/>
        </w:rPr>
        <w:t>Lower-commitment CTA: Download the AAC Plant Capacity Comparison Checklist and use it while evaluating supplier quotations.</w:t>
      </w:r>
    </w:p>
    <w:p>
      <w:pPr>
        <w:pStyle w:val="Heading1"/>
      </w:pPr>
      <w:r>
        <w:t>Recommended Internal Links</w:t>
      </w:r>
    </w:p>
    <w:p>
      <w:pPr>
        <w:pStyle w:val="ListBullet"/>
        <w:spacing w:after="60"/>
        <w:ind w:left="317" w:hanging="202"/>
      </w:pPr>
      <w:r>
        <w:rPr>
          <w:rFonts w:ascii="Arial" w:hAnsi="Arial"/>
          <w:b w:val="0"/>
          <w:i w:val="0"/>
          <w:color w:val="0B1727"/>
          <w:sz w:val="21"/>
        </w:rPr>
        <w:t>AAC Plant Capacity Selection</w:t>
      </w:r>
    </w:p>
    <w:p>
      <w:pPr>
        <w:pStyle w:val="ListBullet"/>
        <w:spacing w:after="60"/>
        <w:ind w:left="317" w:hanging="202"/>
      </w:pPr>
      <w:r>
        <w:rPr>
          <w:rFonts w:ascii="Arial" w:hAnsi="Arial"/>
          <w:b w:val="0"/>
          <w:i w:val="0"/>
          <w:color w:val="0B1727"/>
          <w:sz w:val="21"/>
        </w:rPr>
        <w:t>AAC Plant Layout and Land Requirement</w:t>
      </w:r>
    </w:p>
    <w:p>
      <w:pPr>
        <w:pStyle w:val="ListBullet"/>
        <w:spacing w:after="60"/>
        <w:ind w:left="317" w:hanging="202"/>
      </w:pPr>
      <w:r>
        <w:rPr>
          <w:rFonts w:ascii="Arial" w:hAnsi="Arial"/>
          <w:b w:val="0"/>
          <w:i w:val="0"/>
          <w:color w:val="0B1727"/>
          <w:sz w:val="21"/>
        </w:rPr>
        <w:t>Semi-Automatic vs Fully Automatic AAC Plants</w:t>
      </w:r>
    </w:p>
    <w:p>
      <w:pPr>
        <w:pStyle w:val="ListBullet"/>
        <w:spacing w:after="60"/>
        <w:ind w:left="317" w:hanging="202"/>
      </w:pPr>
      <w:r>
        <w:rPr>
          <w:rFonts w:ascii="Arial" w:hAnsi="Arial"/>
          <w:b w:val="0"/>
          <w:i w:val="0"/>
          <w:color w:val="0B1727"/>
          <w:sz w:val="21"/>
        </w:rPr>
        <w:t>AAC Autoclave Planning and Loading</w:t>
      </w:r>
    </w:p>
    <w:p>
      <w:pPr>
        <w:pStyle w:val="ListBullet"/>
        <w:spacing w:after="60"/>
        <w:ind w:left="317" w:hanging="202"/>
      </w:pPr>
      <w:r>
        <w:rPr>
          <w:rFonts w:ascii="Arial" w:hAnsi="Arial"/>
          <w:b w:val="0"/>
          <w:i w:val="0"/>
          <w:color w:val="0B1727"/>
          <w:sz w:val="21"/>
        </w:rPr>
        <w:t>Boiler and Steam Requirement for AAC Plants</w:t>
      </w:r>
    </w:p>
    <w:p>
      <w:pPr>
        <w:pStyle w:val="ListBullet"/>
        <w:spacing w:after="60"/>
        <w:ind w:left="317" w:hanging="202"/>
      </w:pPr>
      <w:r>
        <w:rPr>
          <w:rFonts w:ascii="Arial" w:hAnsi="Arial"/>
          <w:b w:val="0"/>
          <w:i w:val="0"/>
          <w:color w:val="0B1727"/>
          <w:sz w:val="21"/>
        </w:rPr>
        <w:t>AAC Plant Project Cost and Working Capital</w:t>
      </w:r>
    </w:p>
    <w:p>
      <w:pPr>
        <w:pStyle w:val="ListBullet"/>
        <w:spacing w:after="60"/>
        <w:ind w:left="317" w:hanging="202"/>
      </w:pPr>
      <w:r>
        <w:rPr>
          <w:rFonts w:ascii="Arial" w:hAnsi="Arial"/>
          <w:b w:val="0"/>
          <w:i w:val="0"/>
          <w:color w:val="0B1727"/>
          <w:sz w:val="21"/>
        </w:rPr>
        <w:t>AAC Plant Expansion and Performance Improvement</w:t>
      </w:r>
    </w:p>
    <w:p>
      <w:pPr>
        <w:pStyle w:val="Heading1"/>
      </w:pPr>
      <w:r>
        <w:t>Source and Editorial Notes</w:t>
      </w:r>
    </w:p>
    <w:p>
      <w:r>
        <w:rPr>
          <w:rFonts w:ascii="Arial" w:hAnsi="Arial"/>
          <w:b w:val="0"/>
          <w:i w:val="0"/>
          <w:color w:val="0B1727"/>
          <w:sz w:val="21"/>
        </w:rPr>
        <w:t>The batch-platform capacity ranges in this guide are company-supplied planning references and require project-specific engineering confirmation. No production figure should be used as a contractual guarantee without agreed operating conditions and performance-test criteria.</w:t>
      </w:r>
    </w:p>
    <w:p>
      <w:r>
        <w:rPr>
          <w:rFonts w:ascii="Arial" w:hAnsi="Arial"/>
          <w:b w:val="0"/>
          <w:i w:val="0"/>
          <w:color w:val="0B1727"/>
          <w:sz w:val="21"/>
        </w:rPr>
        <w:t>Relevant Indian finished-product reference: IS 2185 (Part 3), Concrete Masonry Units—Autoclaved Cellular Aerated Concrete Blocks. This product standard does not certify plant production capacity.</w:t>
      </w:r>
    </w:p>
    <w:p>
      <w:r>
        <w:rPr>
          <w:rFonts w:ascii="Arial" w:hAnsi="Arial"/>
          <w:b w:val="0"/>
          <w:i w:val="0"/>
          <w:color w:val="0B1727"/>
          <w:sz w:val="21"/>
        </w:rPr>
        <w:t>Recommended visible publication fields: Written by [Name, role]; Technically reviewed by [Name, qualification/role]; Published [date]; Last updated [date].</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66475"/>
        <w:sz w:val="15"/>
      </w:rPr>
      <w:t>Technical guide for AAC plant capacity planning  |  Project-specific engineering verification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66475"/>
        <w:sz w:val="15"/>
      </w:rPr>
      <w:t>LAXMI EN-FAB PVT. LTD.  |  AAC INVESTOR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C4F8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B17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Plant Batch Size &amp; Capacity Selection Guide</dc:title>
  <dc:subject>Publication-ready technical guide for selecting AAC plant capacity based on batch platform and integrated line constraints</dc:subject>
  <dc:creator>Laxmi En-Fab Pvt. Ltd.</dc:creator>
  <cp:keywords>AAC plant batch size, AAC plant capacity selection, AAC plant capacity calculation, AAC block plant capacity India</cp:keywords>
  <dc:description>generated by python-docx</dc:description>
  <cp:lastModifiedBy/>
  <cp:revision>1</cp:revision>
  <dcterms:created xsi:type="dcterms:W3CDTF">2013-12-23T23:15:00Z</dcterms:created>
  <dcterms:modified xsi:type="dcterms:W3CDTF">2013-12-23T23:15:00Z</dcterms:modified>
  <cp:category/>
</cp:coreProperties>
</file>