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0C4F80"/>
          <w:sz w:val="18"/>
        </w:rPr>
        <w:t>TECHNICAL GUIDE  |  INDIA</w:t>
      </w:r>
    </w:p>
    <w:p>
      <w:pPr>
        <w:pStyle w:val="Title"/>
      </w:pPr>
      <w:r>
        <w:t>AAC Plant Raw Material Storage Systems</w:t>
      </w:r>
    </w:p>
    <w:p>
      <w:pPr>
        <w:pStyle w:val="Subtitle"/>
      </w:pPr>
      <w:r>
        <w:t>How to plan silos, stockyards, unloading and transfer systems for reliable AAC production</w:t>
      </w:r>
    </w:p>
    <w:p>
      <w:r>
        <w:t>SEO title: AAC Plant Raw Material Storage Systems | India</w:t>
      </w:r>
    </w:p>
    <w:p>
      <w:r>
        <w:t>Meta description: Plan AAC plant silos, stockyards and transfer systems for fly ash, cement, lime, gypsum, aluminium and sand, with sizing and expansion guidance.</w:t>
      </w:r>
    </w:p>
    <w:p>
      <w:r>
        <w:t>Suggested URL: /aac-plant-raw-material-storage-system/</w:t>
      </w:r>
    </w:p>
    <w:p>
      <w:pPr>
        <w:pStyle w:val="LeadAnswer"/>
      </w:pPr>
      <w:r>
        <w:t>An AAC plant raw material storage system includes receiving, unloading, storage, dust control, level monitoring and controlled transfer of each material into preparation or batching. The right arrangement depends on plant capacity, verified mix consumption, delivery method, supply reliability, material properties, site conditions, automation level and planned expansion.</w:t>
      </w:r>
    </w:p>
    <w:p>
      <w:pPr>
        <w:pStyle w:val="VerificationNote"/>
      </w:pPr>
      <w:r>
        <w:t>Important: This guide explains planning principles, not a universal plant specification. Final silo sizes, conveying equipment, safety provisions and civil loads must be verified for the actual raw materials, supplier data, plant recipe, site and applicable regulations.</w:t>
      </w:r>
    </w:p>
    <w:p>
      <w:pPr>
        <w:pStyle w:val="Heading1"/>
      </w:pPr>
      <w:r>
        <w:t>Why Raw Material Storage Matters in an AAC Plant</w:t>
      </w:r>
    </w:p>
    <w:p>
      <w:r>
        <w:t>Storage is not an isolated group of silos or a stockyard. It is the buffer between an external supply chain and a continuous production process. Poor storage planning can interrupt batching, increase loader movement, expose materials to moisture or contamination, create dust and safety problems, and make future expansion difficult.</w:t>
      </w:r>
    </w:p>
    <w:p>
      <w:r>
        <w:t>A properly coordinated system should support:</w:t>
      </w:r>
    </w:p>
    <w:p>
      <w:pPr>
        <w:pStyle w:val="ListBullet"/>
        <w:spacing w:after="60"/>
        <w:ind w:left="720" w:hanging="360"/>
      </w:pPr>
      <w:r>
        <w:t>Reliable availability of critical materials during normal delivery variation.</w:t>
      </w:r>
    </w:p>
    <w:p>
      <w:pPr>
        <w:pStyle w:val="ListBullet"/>
        <w:spacing w:after="60"/>
        <w:ind w:left="720" w:hanging="360"/>
      </w:pPr>
      <w:r>
        <w:t>Controlled transfer from receiving to preparation or batching.</w:t>
      </w:r>
    </w:p>
    <w:p>
      <w:pPr>
        <w:pStyle w:val="ListBullet"/>
        <w:spacing w:after="60"/>
        <w:ind w:left="720" w:hanging="360"/>
      </w:pPr>
      <w:r>
        <w:t>Separation of materials to prevent contamination.</w:t>
      </w:r>
    </w:p>
    <w:p>
      <w:pPr>
        <w:pStyle w:val="ListBullet"/>
        <w:spacing w:after="60"/>
        <w:ind w:left="720" w:hanging="360"/>
      </w:pPr>
      <w:r>
        <w:t>Dust, moisture and housekeeping control appropriate to each material.</w:t>
      </w:r>
    </w:p>
    <w:p>
      <w:pPr>
        <w:pStyle w:val="ListBullet"/>
        <w:spacing w:after="60"/>
        <w:ind w:left="720" w:hanging="360"/>
      </w:pPr>
      <w:r>
        <w:t>Safe operation, inspection and maintenance.</w:t>
      </w:r>
    </w:p>
    <w:p>
      <w:pPr>
        <w:pStyle w:val="ListBullet"/>
        <w:spacing w:after="60"/>
        <w:ind w:left="720" w:hanging="360"/>
      </w:pPr>
      <w:r>
        <w:t>Clear inventory visibility and batch-traceability interfaces.</w:t>
      </w:r>
    </w:p>
    <w:p>
      <w:pPr>
        <w:pStyle w:val="ListBullet"/>
        <w:spacing w:after="60"/>
        <w:ind w:left="720" w:hanging="360"/>
      </w:pPr>
      <w:r>
        <w:t>Expansion without avoidable relocation of foundations, structures and pipelines.</w:t>
      </w:r>
    </w:p>
    <w:p>
      <w:pPr>
        <w:pStyle w:val="Heading1"/>
      </w:pPr>
      <w:r>
        <w:t>Which AAC Raw Materials Use Silos or Stockyards?</w:t>
      </w:r>
    </w:p>
    <w:p>
      <w:r>
        <w:t>The following table is a planning guide. “Typical” describes an arrangement often considered in AAC projects; it does not replace project-specific engineering.</w:t>
      </w:r>
    </w:p>
    <w:tbl>
      <w:tblPr>
        <w:tblStyle w:val="TableGrid"/>
        <w:tblW w:type="dxa" w:w="9360"/>
        <w:jc w:val="center"/>
        <w:tblLayout w:type="fixed"/>
        <w:tblLook w:firstColumn="1" w:firstRow="1" w:lastColumn="0" w:lastRow="0" w:noHBand="0" w:noVBand="1" w:val="04A0"/>
        <w:tblInd w:w="120" w:type="dxa"/>
      </w:tblPr>
      <w:tblGrid>
        <w:gridCol w:w="1250"/>
        <w:gridCol w:w="1500"/>
        <w:gridCol w:w="1800"/>
        <w:gridCol w:w="1450"/>
        <w:gridCol w:w="3360"/>
      </w:tblGrid>
      <w:tr>
        <w:trPr>
          <w:tblHeader w:val="true"/>
        </w:trPr>
        <w:tc>
          <w:tcPr>
            <w:tcW w:type="dxa" w:w="1250"/>
            <w:shd w:fill="0B1727"/>
            <w:vAlign w:val="center"/>
            <w:tcMar>
              <w:top w:w="90" w:type="dxa"/>
              <w:start w:w="120" w:type="dxa"/>
              <w:bottom w:w="90" w:type="dxa"/>
              <w:end w:w="120" w:type="dxa"/>
            </w:tcMar>
          </w:tcPr>
          <w:p>
            <w:r>
              <w:rPr>
                <w:b/>
                <w:color w:val="FFFFFF"/>
                <w:sz w:val="18"/>
              </w:rPr>
              <w:t>Material</w:t>
            </w:r>
          </w:p>
        </w:tc>
        <w:tc>
          <w:tcPr>
            <w:tcW w:type="dxa" w:w="1500"/>
            <w:shd w:fill="0B1727"/>
            <w:vAlign w:val="center"/>
            <w:tcMar>
              <w:top w:w="90" w:type="dxa"/>
              <w:start w:w="120" w:type="dxa"/>
              <w:bottom w:w="90" w:type="dxa"/>
              <w:end w:w="120" w:type="dxa"/>
            </w:tcMar>
          </w:tcPr>
          <w:p>
            <w:r>
              <w:rPr>
                <w:b/>
                <w:color w:val="FFFFFF"/>
                <w:sz w:val="18"/>
              </w:rPr>
              <w:t>Typical supply form</w:t>
            </w:r>
          </w:p>
        </w:tc>
        <w:tc>
          <w:tcPr>
            <w:tcW w:type="dxa" w:w="1800"/>
            <w:shd w:fill="0B1727"/>
            <w:vAlign w:val="center"/>
            <w:tcMar>
              <w:top w:w="90" w:type="dxa"/>
              <w:start w:w="120" w:type="dxa"/>
              <w:bottom w:w="90" w:type="dxa"/>
              <w:end w:w="120" w:type="dxa"/>
            </w:tcMar>
          </w:tcPr>
          <w:p>
            <w:r>
              <w:rPr>
                <w:b/>
                <w:color w:val="FFFFFF"/>
                <w:sz w:val="18"/>
              </w:rPr>
              <w:t>Storage approach</w:t>
            </w:r>
          </w:p>
        </w:tc>
        <w:tc>
          <w:tcPr>
            <w:tcW w:type="dxa" w:w="1450"/>
            <w:shd w:fill="0B1727"/>
            <w:vAlign w:val="center"/>
            <w:tcMar>
              <w:top w:w="90" w:type="dxa"/>
              <w:start w:w="120" w:type="dxa"/>
              <w:bottom w:w="90" w:type="dxa"/>
              <w:end w:w="120" w:type="dxa"/>
            </w:tcMar>
          </w:tcPr>
          <w:p>
            <w:r>
              <w:rPr>
                <w:b/>
                <w:color w:val="FFFFFF"/>
                <w:sz w:val="18"/>
              </w:rPr>
              <w:t>Typical transfer</w:t>
            </w:r>
          </w:p>
        </w:tc>
        <w:tc>
          <w:tcPr>
            <w:tcW w:type="dxa" w:w="3360"/>
            <w:shd w:fill="0B1727"/>
            <w:vAlign w:val="center"/>
            <w:tcMar>
              <w:top w:w="90" w:type="dxa"/>
              <w:start w:w="120" w:type="dxa"/>
              <w:bottom w:w="90" w:type="dxa"/>
              <w:end w:w="120" w:type="dxa"/>
            </w:tcMar>
          </w:tcPr>
          <w:p>
            <w:r>
              <w:rPr>
                <w:b/>
                <w:color w:val="FFFFFF"/>
                <w:sz w:val="18"/>
              </w:rPr>
              <w:t>Critical design question</w:t>
            </w:r>
          </w:p>
        </w:tc>
      </w:tr>
      <w:tr>
        <w:tc>
          <w:tcPr>
            <w:tcW w:type="dxa" w:w="1250"/>
            <w:vAlign w:val="center"/>
            <w:tcMar>
              <w:top w:w="90" w:type="dxa"/>
              <w:start w:w="120" w:type="dxa"/>
              <w:bottom w:w="90" w:type="dxa"/>
              <w:end w:w="120" w:type="dxa"/>
            </w:tcMar>
          </w:tcPr>
          <w:p>
            <w:pPr>
              <w:spacing w:after="20" w:line="252" w:lineRule="auto"/>
            </w:pPr>
            <w:r>
              <w:rPr>
                <w:rFonts w:ascii="Arial" w:hAnsi="Arial"/>
                <w:color w:val="0B1727"/>
                <w:sz w:val="17"/>
              </w:rPr>
              <w:t>Dry fly ash</w:t>
            </w:r>
          </w:p>
        </w:tc>
        <w:tc>
          <w:tcPr>
            <w:tcW w:type="dxa" w:w="1500"/>
            <w:vAlign w:val="center"/>
            <w:tcMar>
              <w:top w:w="90" w:type="dxa"/>
              <w:start w:w="120" w:type="dxa"/>
              <w:bottom w:w="90" w:type="dxa"/>
              <w:end w:w="120" w:type="dxa"/>
            </w:tcMar>
          </w:tcPr>
          <w:p>
            <w:pPr>
              <w:spacing w:after="20" w:line="252" w:lineRule="auto"/>
            </w:pPr>
            <w:r>
              <w:rPr>
                <w:rFonts w:ascii="Arial" w:hAnsi="Arial"/>
                <w:color w:val="0B1727"/>
                <w:sz w:val="17"/>
              </w:rPr>
              <w:t>Bulk tanker/bulker</w:t>
            </w:r>
          </w:p>
        </w:tc>
        <w:tc>
          <w:tcPr>
            <w:tcW w:type="dxa" w:w="1800"/>
            <w:vAlign w:val="center"/>
            <w:tcMar>
              <w:top w:w="90" w:type="dxa"/>
              <w:start w:w="120" w:type="dxa"/>
              <w:bottom w:w="90" w:type="dxa"/>
              <w:end w:w="120" w:type="dxa"/>
            </w:tcMar>
          </w:tcPr>
          <w:p>
            <w:pPr>
              <w:spacing w:after="20" w:line="252" w:lineRule="auto"/>
            </w:pPr>
            <w:r>
              <w:rPr>
                <w:rFonts w:ascii="Arial" w:hAnsi="Arial"/>
                <w:color w:val="0B1727"/>
                <w:sz w:val="17"/>
              </w:rPr>
              <w:t>Dedicated silo</w:t>
            </w:r>
          </w:p>
        </w:tc>
        <w:tc>
          <w:tcPr>
            <w:tcW w:type="dxa" w:w="1450"/>
            <w:vAlign w:val="center"/>
            <w:tcMar>
              <w:top w:w="90" w:type="dxa"/>
              <w:start w:w="120" w:type="dxa"/>
              <w:bottom w:w="90" w:type="dxa"/>
              <w:end w:w="120" w:type="dxa"/>
            </w:tcMar>
          </w:tcPr>
          <w:p>
            <w:pPr>
              <w:spacing w:after="20" w:line="252" w:lineRule="auto"/>
            </w:pPr>
            <w:r>
              <w:rPr>
                <w:rFonts w:ascii="Arial" w:hAnsi="Arial"/>
                <w:color w:val="0B1727"/>
                <w:sz w:val="17"/>
              </w:rPr>
              <w:t>Pneumatic conveying</w:t>
            </w:r>
          </w:p>
        </w:tc>
        <w:tc>
          <w:tcPr>
            <w:tcW w:type="dxa" w:w="3360"/>
            <w:vAlign w:val="center"/>
            <w:tcMar>
              <w:top w:w="90" w:type="dxa"/>
              <w:start w:w="120" w:type="dxa"/>
              <w:bottom w:w="90" w:type="dxa"/>
              <w:end w:w="120" w:type="dxa"/>
            </w:tcMar>
          </w:tcPr>
          <w:p>
            <w:pPr>
              <w:spacing w:after="20" w:line="252" w:lineRule="auto"/>
            </w:pPr>
            <w:r>
              <w:rPr>
                <w:rFonts w:ascii="Arial" w:hAnsi="Arial"/>
                <w:color w:val="0B1727"/>
                <w:sz w:val="17"/>
              </w:rPr>
              <w:t>Who supplies conveying air, and can one delivery be accepted without overfilling?</w:t>
            </w:r>
          </w:p>
        </w:tc>
      </w:tr>
      <w:tr>
        <w:tc>
          <w:tcPr>
            <w:tcW w:type="dxa" w:w="1250"/>
            <w:shd w:fill="F5F7F8"/>
            <w:vAlign w:val="center"/>
            <w:tcMar>
              <w:top w:w="90" w:type="dxa"/>
              <w:start w:w="120" w:type="dxa"/>
              <w:bottom w:w="90" w:type="dxa"/>
              <w:end w:w="120" w:type="dxa"/>
            </w:tcMar>
          </w:tcPr>
          <w:p>
            <w:pPr>
              <w:spacing w:after="20" w:line="252" w:lineRule="auto"/>
            </w:pPr>
            <w:r>
              <w:rPr>
                <w:rFonts w:ascii="Arial" w:hAnsi="Arial"/>
                <w:color w:val="0B1727"/>
                <w:sz w:val="17"/>
              </w:rPr>
              <w:t>Cement</w:t>
            </w:r>
          </w:p>
        </w:tc>
        <w:tc>
          <w:tcPr>
            <w:tcW w:type="dxa" w:w="1500"/>
            <w:shd w:fill="F5F7F8"/>
            <w:vAlign w:val="center"/>
            <w:tcMar>
              <w:top w:w="90" w:type="dxa"/>
              <w:start w:w="120" w:type="dxa"/>
              <w:bottom w:w="90" w:type="dxa"/>
              <w:end w:w="120" w:type="dxa"/>
            </w:tcMar>
          </w:tcPr>
          <w:p>
            <w:pPr>
              <w:spacing w:after="20" w:line="252" w:lineRule="auto"/>
            </w:pPr>
            <w:r>
              <w:rPr>
                <w:rFonts w:ascii="Arial" w:hAnsi="Arial"/>
                <w:color w:val="0B1727"/>
                <w:sz w:val="17"/>
              </w:rPr>
              <w:t>Bulk tanker; bags where bulk supply is unavailable</w:t>
            </w:r>
          </w:p>
        </w:tc>
        <w:tc>
          <w:tcPr>
            <w:tcW w:type="dxa" w:w="1800"/>
            <w:shd w:fill="F5F7F8"/>
            <w:vAlign w:val="center"/>
            <w:tcMar>
              <w:top w:w="90" w:type="dxa"/>
              <w:start w:w="120" w:type="dxa"/>
              <w:bottom w:w="90" w:type="dxa"/>
              <w:end w:w="120" w:type="dxa"/>
            </w:tcMar>
          </w:tcPr>
          <w:p>
            <w:pPr>
              <w:spacing w:after="20" w:line="252" w:lineRule="auto"/>
            </w:pPr>
            <w:r>
              <w:rPr>
                <w:rFonts w:ascii="Arial" w:hAnsi="Arial"/>
                <w:color w:val="0B1727"/>
                <w:sz w:val="17"/>
              </w:rPr>
              <w:t>Dedicated silo</w:t>
            </w:r>
          </w:p>
        </w:tc>
        <w:tc>
          <w:tcPr>
            <w:tcW w:type="dxa" w:w="1450"/>
            <w:shd w:fill="F5F7F8"/>
            <w:vAlign w:val="center"/>
            <w:tcMar>
              <w:top w:w="90" w:type="dxa"/>
              <w:start w:w="120" w:type="dxa"/>
              <w:bottom w:w="90" w:type="dxa"/>
              <w:end w:w="120" w:type="dxa"/>
            </w:tcMar>
          </w:tcPr>
          <w:p>
            <w:pPr>
              <w:spacing w:after="20" w:line="252" w:lineRule="auto"/>
            </w:pPr>
            <w:r>
              <w:rPr>
                <w:rFonts w:ascii="Arial" w:hAnsi="Arial"/>
                <w:color w:val="0B1727"/>
                <w:sz w:val="17"/>
              </w:rPr>
              <w:t>Pneumatic conveying or bag-unloading package</w:t>
            </w:r>
          </w:p>
        </w:tc>
        <w:tc>
          <w:tcPr>
            <w:tcW w:type="dxa" w:w="3360"/>
            <w:shd w:fill="F5F7F8"/>
            <w:vAlign w:val="center"/>
            <w:tcMar>
              <w:top w:w="90" w:type="dxa"/>
              <w:start w:w="120" w:type="dxa"/>
              <w:bottom w:w="90" w:type="dxa"/>
              <w:end w:w="120" w:type="dxa"/>
            </w:tcMar>
          </w:tcPr>
          <w:p>
            <w:pPr>
              <w:spacing w:after="20" w:line="252" w:lineRule="auto"/>
            </w:pPr>
            <w:r>
              <w:rPr>
                <w:rFonts w:ascii="Arial" w:hAnsi="Arial"/>
                <w:color w:val="0B1727"/>
                <w:sz w:val="17"/>
              </w:rPr>
              <w:t>What are local delivery-lot size, lead time and contamination controls?</w:t>
            </w:r>
          </w:p>
        </w:tc>
      </w:tr>
      <w:tr>
        <w:tc>
          <w:tcPr>
            <w:tcW w:type="dxa" w:w="1250"/>
            <w:vAlign w:val="center"/>
            <w:tcMar>
              <w:top w:w="90" w:type="dxa"/>
              <w:start w:w="120" w:type="dxa"/>
              <w:bottom w:w="90" w:type="dxa"/>
              <w:end w:w="120" w:type="dxa"/>
            </w:tcMar>
          </w:tcPr>
          <w:p>
            <w:pPr>
              <w:spacing w:after="20" w:line="252" w:lineRule="auto"/>
            </w:pPr>
            <w:r>
              <w:rPr>
                <w:rFonts w:ascii="Arial" w:hAnsi="Arial"/>
                <w:color w:val="0B1727"/>
                <w:sz w:val="17"/>
              </w:rPr>
              <w:t>Processed lime</w:t>
            </w:r>
          </w:p>
        </w:tc>
        <w:tc>
          <w:tcPr>
            <w:tcW w:type="dxa" w:w="1500"/>
            <w:vAlign w:val="center"/>
            <w:tcMar>
              <w:top w:w="90" w:type="dxa"/>
              <w:start w:w="120" w:type="dxa"/>
              <w:bottom w:w="90" w:type="dxa"/>
              <w:end w:w="120" w:type="dxa"/>
            </w:tcMar>
          </w:tcPr>
          <w:p>
            <w:pPr>
              <w:spacing w:after="20" w:line="252" w:lineRule="auto"/>
            </w:pPr>
            <w:r>
              <w:rPr>
                <w:rFonts w:ascii="Arial" w:hAnsi="Arial"/>
                <w:color w:val="0B1727"/>
                <w:sz w:val="17"/>
              </w:rPr>
              <w:t>Bulk or jumbo/bag supply, depending on source</w:t>
            </w:r>
          </w:p>
        </w:tc>
        <w:tc>
          <w:tcPr>
            <w:tcW w:type="dxa" w:w="1800"/>
            <w:vAlign w:val="center"/>
            <w:tcMar>
              <w:top w:w="90" w:type="dxa"/>
              <w:start w:w="120" w:type="dxa"/>
              <w:bottom w:w="90" w:type="dxa"/>
              <w:end w:w="120" w:type="dxa"/>
            </w:tcMar>
          </w:tcPr>
          <w:p>
            <w:pPr>
              <w:spacing w:after="20" w:line="252" w:lineRule="auto"/>
            </w:pPr>
            <w:r>
              <w:rPr>
                <w:rFonts w:ascii="Arial" w:hAnsi="Arial"/>
                <w:color w:val="0B1727"/>
                <w:sz w:val="17"/>
              </w:rPr>
              <w:t>Dedicated silo after suitable receiving/preparation</w:t>
            </w:r>
          </w:p>
        </w:tc>
        <w:tc>
          <w:tcPr>
            <w:tcW w:type="dxa" w:w="1450"/>
            <w:vAlign w:val="center"/>
            <w:tcMar>
              <w:top w:w="90" w:type="dxa"/>
              <w:start w:w="120" w:type="dxa"/>
              <w:bottom w:w="90" w:type="dxa"/>
              <w:end w:w="120" w:type="dxa"/>
            </w:tcMar>
          </w:tcPr>
          <w:p>
            <w:pPr>
              <w:spacing w:after="20" w:line="252" w:lineRule="auto"/>
            </w:pPr>
            <w:r>
              <w:rPr>
                <w:rFonts w:ascii="Arial" w:hAnsi="Arial"/>
                <w:color w:val="0B1727"/>
                <w:sz w:val="17"/>
              </w:rPr>
              <w:t>Pneumatic or mechanical transfer</w:t>
            </w:r>
          </w:p>
        </w:tc>
        <w:tc>
          <w:tcPr>
            <w:tcW w:type="dxa" w:w="3360"/>
            <w:vAlign w:val="center"/>
            <w:tcMar>
              <w:top w:w="90" w:type="dxa"/>
              <w:start w:w="120" w:type="dxa"/>
              <w:bottom w:w="90" w:type="dxa"/>
              <w:end w:w="120" w:type="dxa"/>
            </w:tcMar>
          </w:tcPr>
          <w:p>
            <w:pPr>
              <w:spacing w:after="20" w:line="252" w:lineRule="auto"/>
            </w:pPr>
            <w:r>
              <w:rPr>
                <w:rFonts w:ascii="Arial" w:hAnsi="Arial"/>
                <w:color w:val="0B1727"/>
                <w:sz w:val="17"/>
              </w:rPr>
              <w:t>What lime form, particle size, temperature and flow behaviour will be received?</w:t>
            </w:r>
          </w:p>
        </w:tc>
      </w:tr>
      <w:tr>
        <w:tc>
          <w:tcPr>
            <w:tcW w:type="dxa" w:w="1250"/>
            <w:shd w:fill="F5F7F8"/>
            <w:vAlign w:val="center"/>
            <w:tcMar>
              <w:top w:w="90" w:type="dxa"/>
              <w:start w:w="120" w:type="dxa"/>
              <w:bottom w:w="90" w:type="dxa"/>
              <w:end w:w="120" w:type="dxa"/>
            </w:tcMar>
          </w:tcPr>
          <w:p>
            <w:pPr>
              <w:spacing w:after="20" w:line="252" w:lineRule="auto"/>
            </w:pPr>
            <w:r>
              <w:rPr>
                <w:rFonts w:ascii="Arial" w:hAnsi="Arial"/>
                <w:color w:val="0B1727"/>
                <w:sz w:val="17"/>
              </w:rPr>
              <w:t>Gypsum</w:t>
            </w:r>
          </w:p>
        </w:tc>
        <w:tc>
          <w:tcPr>
            <w:tcW w:type="dxa" w:w="1500"/>
            <w:shd w:fill="F5F7F8"/>
            <w:vAlign w:val="center"/>
            <w:tcMar>
              <w:top w:w="90" w:type="dxa"/>
              <w:start w:w="120" w:type="dxa"/>
              <w:bottom w:w="90" w:type="dxa"/>
              <w:end w:w="120" w:type="dxa"/>
            </w:tcMar>
          </w:tcPr>
          <w:p>
            <w:pPr>
              <w:spacing w:after="20" w:line="252" w:lineRule="auto"/>
            </w:pPr>
            <w:r>
              <w:rPr>
                <w:rFonts w:ascii="Arial" w:hAnsi="Arial"/>
                <w:color w:val="0B1727"/>
                <w:sz w:val="17"/>
              </w:rPr>
              <w:t>Bags or bulk</w:t>
            </w:r>
          </w:p>
        </w:tc>
        <w:tc>
          <w:tcPr>
            <w:tcW w:type="dxa" w:w="1800"/>
            <w:shd w:fill="F5F7F8"/>
            <w:vAlign w:val="center"/>
            <w:tcMar>
              <w:top w:w="90" w:type="dxa"/>
              <w:start w:w="120" w:type="dxa"/>
              <w:bottom w:w="90" w:type="dxa"/>
              <w:end w:w="120" w:type="dxa"/>
            </w:tcMar>
          </w:tcPr>
          <w:p>
            <w:pPr>
              <w:spacing w:after="20" w:line="252" w:lineRule="auto"/>
            </w:pPr>
            <w:r>
              <w:rPr>
                <w:rFonts w:ascii="Arial" w:hAnsi="Arial"/>
                <w:color w:val="0B1727"/>
                <w:sz w:val="17"/>
              </w:rPr>
              <w:t>Dry covered storage; silo where justified</w:t>
            </w:r>
          </w:p>
        </w:tc>
        <w:tc>
          <w:tcPr>
            <w:tcW w:type="dxa" w:w="1450"/>
            <w:shd w:fill="F5F7F8"/>
            <w:vAlign w:val="center"/>
            <w:tcMar>
              <w:top w:w="90" w:type="dxa"/>
              <w:start w:w="120" w:type="dxa"/>
              <w:bottom w:w="90" w:type="dxa"/>
              <w:end w:w="120" w:type="dxa"/>
            </w:tcMar>
          </w:tcPr>
          <w:p>
            <w:pPr>
              <w:spacing w:after="20" w:line="252" w:lineRule="auto"/>
            </w:pPr>
            <w:r>
              <w:rPr>
                <w:rFonts w:ascii="Arial" w:hAnsi="Arial"/>
                <w:color w:val="0B1727"/>
                <w:sz w:val="17"/>
              </w:rPr>
              <w:t>Manual/mechanised addition or automatic dosing</w:t>
            </w:r>
          </w:p>
        </w:tc>
        <w:tc>
          <w:tcPr>
            <w:tcW w:type="dxa" w:w="3360"/>
            <w:shd w:fill="F5F7F8"/>
            <w:vAlign w:val="center"/>
            <w:tcMar>
              <w:top w:w="90" w:type="dxa"/>
              <w:start w:w="120" w:type="dxa"/>
              <w:bottom w:w="90" w:type="dxa"/>
              <w:end w:w="120" w:type="dxa"/>
            </w:tcMar>
          </w:tcPr>
          <w:p>
            <w:pPr>
              <w:spacing w:after="20" w:line="252" w:lineRule="auto"/>
            </w:pPr>
            <w:r>
              <w:rPr>
                <w:rFonts w:ascii="Arial" w:hAnsi="Arial"/>
                <w:color w:val="0B1727"/>
                <w:sz w:val="17"/>
              </w:rPr>
              <w:t>Does consumption and accuracy justify automatic storage and dosing?</w:t>
            </w:r>
          </w:p>
        </w:tc>
      </w:tr>
      <w:tr>
        <w:tc>
          <w:tcPr>
            <w:tcW w:type="dxa" w:w="1250"/>
            <w:vAlign w:val="center"/>
            <w:tcMar>
              <w:top w:w="90" w:type="dxa"/>
              <w:start w:w="120" w:type="dxa"/>
              <w:bottom w:w="90" w:type="dxa"/>
              <w:end w:w="120" w:type="dxa"/>
            </w:tcMar>
          </w:tcPr>
          <w:p>
            <w:pPr>
              <w:spacing w:after="20" w:line="252" w:lineRule="auto"/>
            </w:pPr>
            <w:r>
              <w:rPr>
                <w:rFonts w:ascii="Arial" w:hAnsi="Arial"/>
                <w:color w:val="0B1727"/>
                <w:sz w:val="17"/>
              </w:rPr>
              <w:t>Aluminium powder or paste</w:t>
            </w:r>
          </w:p>
        </w:tc>
        <w:tc>
          <w:tcPr>
            <w:tcW w:type="dxa" w:w="1500"/>
            <w:vAlign w:val="center"/>
            <w:tcMar>
              <w:top w:w="90" w:type="dxa"/>
              <w:start w:w="120" w:type="dxa"/>
              <w:bottom w:w="90" w:type="dxa"/>
              <w:end w:w="120" w:type="dxa"/>
            </w:tcMar>
          </w:tcPr>
          <w:p>
            <w:pPr>
              <w:spacing w:after="20" w:line="252" w:lineRule="auto"/>
            </w:pPr>
            <w:r>
              <w:rPr>
                <w:rFonts w:ascii="Arial" w:hAnsi="Arial"/>
                <w:color w:val="0B1727"/>
                <w:sz w:val="17"/>
              </w:rPr>
              <w:t>Manufacturer-approved containers</w:t>
            </w:r>
          </w:p>
        </w:tc>
        <w:tc>
          <w:tcPr>
            <w:tcW w:type="dxa" w:w="1800"/>
            <w:vAlign w:val="center"/>
            <w:tcMar>
              <w:top w:w="90" w:type="dxa"/>
              <w:start w:w="120" w:type="dxa"/>
              <w:bottom w:w="90" w:type="dxa"/>
              <w:end w:w="120" w:type="dxa"/>
            </w:tcMar>
          </w:tcPr>
          <w:p>
            <w:pPr>
              <w:spacing w:after="20" w:line="252" w:lineRule="auto"/>
            </w:pPr>
            <w:r>
              <w:rPr>
                <w:rFonts w:ascii="Arial" w:hAnsi="Arial"/>
                <w:color w:val="0B1727"/>
                <w:sz w:val="17"/>
              </w:rPr>
              <w:t>Dedicated controlled storage</w:t>
            </w:r>
          </w:p>
        </w:tc>
        <w:tc>
          <w:tcPr>
            <w:tcW w:type="dxa" w:w="1450"/>
            <w:vAlign w:val="center"/>
            <w:tcMar>
              <w:top w:w="90" w:type="dxa"/>
              <w:start w:w="120" w:type="dxa"/>
              <w:bottom w:w="90" w:type="dxa"/>
              <w:end w:w="120" w:type="dxa"/>
            </w:tcMar>
          </w:tcPr>
          <w:p>
            <w:pPr>
              <w:spacing w:after="20" w:line="252" w:lineRule="auto"/>
            </w:pPr>
            <w:r>
              <w:rPr>
                <w:rFonts w:ascii="Arial" w:hAnsi="Arial"/>
                <w:color w:val="0B1727"/>
                <w:sz w:val="17"/>
              </w:rPr>
              <w:t>Closed, controlled preparation and dosing</w:t>
            </w:r>
          </w:p>
        </w:tc>
        <w:tc>
          <w:tcPr>
            <w:tcW w:type="dxa" w:w="3360"/>
            <w:vAlign w:val="center"/>
            <w:tcMar>
              <w:top w:w="90" w:type="dxa"/>
              <w:start w:w="120" w:type="dxa"/>
              <w:bottom w:w="90" w:type="dxa"/>
              <w:end w:w="120" w:type="dxa"/>
            </w:tcMar>
          </w:tcPr>
          <w:p>
            <w:pPr>
              <w:spacing w:after="20" w:line="252" w:lineRule="auto"/>
            </w:pPr>
            <w:r>
              <w:rPr>
                <w:rFonts w:ascii="Arial" w:hAnsi="Arial"/>
                <w:color w:val="0B1727"/>
                <w:sz w:val="17"/>
              </w:rPr>
              <w:t>What does the supplier SDS require, and what hazard controls apply?</w:t>
            </w:r>
          </w:p>
        </w:tc>
      </w:tr>
      <w:tr>
        <w:tc>
          <w:tcPr>
            <w:tcW w:type="dxa" w:w="1250"/>
            <w:shd w:fill="F5F7F8"/>
            <w:vAlign w:val="center"/>
            <w:tcMar>
              <w:top w:w="90" w:type="dxa"/>
              <w:start w:w="120" w:type="dxa"/>
              <w:bottom w:w="90" w:type="dxa"/>
              <w:end w:w="120" w:type="dxa"/>
            </w:tcMar>
          </w:tcPr>
          <w:p>
            <w:pPr>
              <w:spacing w:after="20" w:line="252" w:lineRule="auto"/>
            </w:pPr>
            <w:r>
              <w:rPr>
                <w:rFonts w:ascii="Arial" w:hAnsi="Arial"/>
                <w:color w:val="0B1727"/>
                <w:sz w:val="17"/>
              </w:rPr>
              <w:t>Sand</w:t>
            </w:r>
          </w:p>
        </w:tc>
        <w:tc>
          <w:tcPr>
            <w:tcW w:type="dxa" w:w="1500"/>
            <w:shd w:fill="F5F7F8"/>
            <w:vAlign w:val="center"/>
            <w:tcMar>
              <w:top w:w="90" w:type="dxa"/>
              <w:start w:w="120" w:type="dxa"/>
              <w:bottom w:w="90" w:type="dxa"/>
              <w:end w:w="120" w:type="dxa"/>
            </w:tcMar>
          </w:tcPr>
          <w:p>
            <w:pPr>
              <w:spacing w:after="20" w:line="252" w:lineRule="auto"/>
            </w:pPr>
            <w:r>
              <w:rPr>
                <w:rFonts w:ascii="Arial" w:hAnsi="Arial"/>
                <w:color w:val="0B1727"/>
                <w:sz w:val="17"/>
              </w:rPr>
              <w:t>Bulk</w:t>
            </w:r>
          </w:p>
        </w:tc>
        <w:tc>
          <w:tcPr>
            <w:tcW w:type="dxa" w:w="1800"/>
            <w:shd w:fill="F5F7F8"/>
            <w:vAlign w:val="center"/>
            <w:tcMar>
              <w:top w:w="90" w:type="dxa"/>
              <w:start w:w="120" w:type="dxa"/>
              <w:bottom w:w="90" w:type="dxa"/>
              <w:end w:w="120" w:type="dxa"/>
            </w:tcMar>
          </w:tcPr>
          <w:p>
            <w:pPr>
              <w:spacing w:after="20" w:line="252" w:lineRule="auto"/>
            </w:pPr>
            <w:r>
              <w:rPr>
                <w:rFonts w:ascii="Arial" w:hAnsi="Arial"/>
                <w:color w:val="0B1727"/>
                <w:sz w:val="17"/>
              </w:rPr>
              <w:t>Open or covered stockyard</w:t>
            </w:r>
          </w:p>
        </w:tc>
        <w:tc>
          <w:tcPr>
            <w:tcW w:type="dxa" w:w="1450"/>
            <w:shd w:fill="F5F7F8"/>
            <w:vAlign w:val="center"/>
            <w:tcMar>
              <w:top w:w="90" w:type="dxa"/>
              <w:start w:w="120" w:type="dxa"/>
              <w:bottom w:w="90" w:type="dxa"/>
              <w:end w:w="120" w:type="dxa"/>
            </w:tcMar>
          </w:tcPr>
          <w:p>
            <w:pPr>
              <w:spacing w:after="20" w:line="252" w:lineRule="auto"/>
            </w:pPr>
            <w:r>
              <w:rPr>
                <w:rFonts w:ascii="Arial" w:hAnsi="Arial"/>
                <w:color w:val="0B1727"/>
                <w:sz w:val="17"/>
              </w:rPr>
              <w:t>Wheel loader to feeding/preparation</w:t>
            </w:r>
          </w:p>
        </w:tc>
        <w:tc>
          <w:tcPr>
            <w:tcW w:type="dxa" w:w="3360"/>
            <w:shd w:fill="F5F7F8"/>
            <w:vAlign w:val="center"/>
            <w:tcMar>
              <w:top w:w="90" w:type="dxa"/>
              <w:start w:w="120" w:type="dxa"/>
              <w:bottom w:w="90" w:type="dxa"/>
              <w:end w:w="120" w:type="dxa"/>
            </w:tcMar>
          </w:tcPr>
          <w:p>
            <w:pPr>
              <w:spacing w:after="20" w:line="252" w:lineRule="auto"/>
            </w:pPr>
            <w:r>
              <w:rPr>
                <w:rFonts w:ascii="Arial" w:hAnsi="Arial"/>
                <w:color w:val="0B1727"/>
                <w:sz w:val="17"/>
              </w:rPr>
              <w:t>How will rain, drainage, moisture variation and contamination be controlled?</w:t>
            </w:r>
          </w:p>
        </w:tc>
      </w:tr>
      <w:tr>
        <w:tc>
          <w:tcPr>
            <w:tcW w:type="dxa" w:w="1250"/>
            <w:vAlign w:val="center"/>
            <w:tcMar>
              <w:top w:w="90" w:type="dxa"/>
              <w:start w:w="120" w:type="dxa"/>
              <w:bottom w:w="90" w:type="dxa"/>
              <w:end w:w="120" w:type="dxa"/>
            </w:tcMar>
          </w:tcPr>
          <w:p>
            <w:pPr>
              <w:spacing w:after="20" w:line="252" w:lineRule="auto"/>
            </w:pPr>
            <w:r>
              <w:rPr>
                <w:rFonts w:ascii="Arial" w:hAnsi="Arial"/>
                <w:color w:val="0B1727"/>
                <w:sz w:val="17"/>
              </w:rPr>
              <w:t>Pond ash or other ash source</w:t>
            </w:r>
          </w:p>
        </w:tc>
        <w:tc>
          <w:tcPr>
            <w:tcW w:type="dxa" w:w="1500"/>
            <w:vAlign w:val="center"/>
            <w:tcMar>
              <w:top w:w="90" w:type="dxa"/>
              <w:start w:w="120" w:type="dxa"/>
              <w:bottom w:w="90" w:type="dxa"/>
              <w:end w:w="120" w:type="dxa"/>
            </w:tcMar>
          </w:tcPr>
          <w:p>
            <w:pPr>
              <w:spacing w:after="20" w:line="252" w:lineRule="auto"/>
            </w:pPr>
            <w:r>
              <w:rPr>
                <w:rFonts w:ascii="Arial" w:hAnsi="Arial"/>
                <w:color w:val="0B1727"/>
                <w:sz w:val="17"/>
              </w:rPr>
              <w:t>Bulk</w:t>
            </w:r>
          </w:p>
        </w:tc>
        <w:tc>
          <w:tcPr>
            <w:tcW w:type="dxa" w:w="1800"/>
            <w:vAlign w:val="center"/>
            <w:tcMar>
              <w:top w:w="90" w:type="dxa"/>
              <w:start w:w="120" w:type="dxa"/>
              <w:bottom w:w="90" w:type="dxa"/>
              <w:end w:w="120" w:type="dxa"/>
            </w:tcMar>
          </w:tcPr>
          <w:p>
            <w:pPr>
              <w:spacing w:after="20" w:line="252" w:lineRule="auto"/>
            </w:pPr>
            <w:r>
              <w:rPr>
                <w:rFonts w:ascii="Arial" w:hAnsi="Arial"/>
                <w:color w:val="0B1727"/>
                <w:sz w:val="17"/>
              </w:rPr>
              <w:t>Open or covered stockyard, subject to material assessment</w:t>
            </w:r>
          </w:p>
        </w:tc>
        <w:tc>
          <w:tcPr>
            <w:tcW w:type="dxa" w:w="1450"/>
            <w:vAlign w:val="center"/>
            <w:tcMar>
              <w:top w:w="90" w:type="dxa"/>
              <w:start w:w="120" w:type="dxa"/>
              <w:bottom w:w="90" w:type="dxa"/>
              <w:end w:w="120" w:type="dxa"/>
            </w:tcMar>
          </w:tcPr>
          <w:p>
            <w:pPr>
              <w:spacing w:after="20" w:line="252" w:lineRule="auto"/>
            </w:pPr>
            <w:r>
              <w:rPr>
                <w:rFonts w:ascii="Arial" w:hAnsi="Arial"/>
                <w:color w:val="0B1727"/>
                <w:sz w:val="17"/>
              </w:rPr>
              <w:t>Loader to feeding/preparation</w:t>
            </w:r>
          </w:p>
        </w:tc>
        <w:tc>
          <w:tcPr>
            <w:tcW w:type="dxa" w:w="3360"/>
            <w:vAlign w:val="center"/>
            <w:tcMar>
              <w:top w:w="90" w:type="dxa"/>
              <w:start w:w="120" w:type="dxa"/>
              <w:bottom w:w="90" w:type="dxa"/>
              <w:end w:w="120" w:type="dxa"/>
            </w:tcMar>
          </w:tcPr>
          <w:p>
            <w:pPr>
              <w:spacing w:after="20" w:line="252" w:lineRule="auto"/>
            </w:pPr>
            <w:r>
              <w:rPr>
                <w:rFonts w:ascii="Arial" w:hAnsi="Arial"/>
                <w:color w:val="0B1727"/>
                <w:sz w:val="17"/>
              </w:rPr>
              <w:t>What is the exact ash classification, moisture and suitability for the selected process?</w:t>
            </w:r>
          </w:p>
        </w:tc>
      </w:tr>
      <w:tr>
        <w:tc>
          <w:tcPr>
            <w:tcW w:type="dxa" w:w="1250"/>
            <w:shd w:fill="F5F7F8"/>
            <w:vAlign w:val="center"/>
            <w:tcMar>
              <w:top w:w="90" w:type="dxa"/>
              <w:start w:w="120" w:type="dxa"/>
              <w:bottom w:w="90" w:type="dxa"/>
              <w:end w:w="120" w:type="dxa"/>
            </w:tcMar>
          </w:tcPr>
          <w:p>
            <w:pPr>
              <w:spacing w:after="20" w:line="252" w:lineRule="auto"/>
            </w:pPr>
            <w:r>
              <w:rPr>
                <w:rFonts w:ascii="Arial" w:hAnsi="Arial"/>
                <w:color w:val="0B1727"/>
                <w:sz w:val="17"/>
              </w:rPr>
              <w:t>Boiler fuel</w:t>
            </w:r>
          </w:p>
        </w:tc>
        <w:tc>
          <w:tcPr>
            <w:tcW w:type="dxa" w:w="1500"/>
            <w:shd w:fill="F5F7F8"/>
            <w:vAlign w:val="center"/>
            <w:tcMar>
              <w:top w:w="90" w:type="dxa"/>
              <w:start w:w="120" w:type="dxa"/>
              <w:bottom w:w="90" w:type="dxa"/>
              <w:end w:w="120" w:type="dxa"/>
            </w:tcMar>
          </w:tcPr>
          <w:p>
            <w:pPr>
              <w:spacing w:after="20" w:line="252" w:lineRule="auto"/>
            </w:pPr>
            <w:r>
              <w:rPr>
                <w:rFonts w:ascii="Arial" w:hAnsi="Arial"/>
                <w:color w:val="0B1727"/>
                <w:sz w:val="17"/>
              </w:rPr>
              <w:t>Fuel-specific</w:t>
            </w:r>
          </w:p>
        </w:tc>
        <w:tc>
          <w:tcPr>
            <w:tcW w:type="dxa" w:w="1800"/>
            <w:shd w:fill="F5F7F8"/>
            <w:vAlign w:val="center"/>
            <w:tcMar>
              <w:top w:w="90" w:type="dxa"/>
              <w:start w:w="120" w:type="dxa"/>
              <w:bottom w:w="90" w:type="dxa"/>
              <w:end w:w="120" w:type="dxa"/>
            </w:tcMar>
          </w:tcPr>
          <w:p>
            <w:pPr>
              <w:spacing w:after="20" w:line="252" w:lineRule="auto"/>
            </w:pPr>
            <w:r>
              <w:rPr>
                <w:rFonts w:ascii="Arial" w:hAnsi="Arial"/>
                <w:color w:val="0B1727"/>
                <w:sz w:val="17"/>
              </w:rPr>
              <w:t>Fuel-specific shed, bunker, tank or hopper</w:t>
            </w:r>
          </w:p>
        </w:tc>
        <w:tc>
          <w:tcPr>
            <w:tcW w:type="dxa" w:w="1450"/>
            <w:shd w:fill="F5F7F8"/>
            <w:vAlign w:val="center"/>
            <w:tcMar>
              <w:top w:w="90" w:type="dxa"/>
              <w:start w:w="120" w:type="dxa"/>
              <w:bottom w:w="90" w:type="dxa"/>
              <w:end w:w="120" w:type="dxa"/>
            </w:tcMar>
          </w:tcPr>
          <w:p>
            <w:pPr>
              <w:spacing w:after="20" w:line="252" w:lineRule="auto"/>
            </w:pPr>
            <w:r>
              <w:rPr>
                <w:rFonts w:ascii="Arial" w:hAnsi="Arial"/>
                <w:color w:val="0B1727"/>
                <w:sz w:val="17"/>
              </w:rPr>
              <w:t>Fuel-specific feeding system</w:t>
            </w:r>
          </w:p>
        </w:tc>
        <w:tc>
          <w:tcPr>
            <w:tcW w:type="dxa" w:w="3360"/>
            <w:shd w:fill="F5F7F8"/>
            <w:vAlign w:val="center"/>
            <w:tcMar>
              <w:top w:w="90" w:type="dxa"/>
              <w:start w:w="120" w:type="dxa"/>
              <w:bottom w:w="90" w:type="dxa"/>
              <w:end w:w="120" w:type="dxa"/>
            </w:tcMar>
          </w:tcPr>
          <w:p>
            <w:pPr>
              <w:spacing w:after="20" w:line="252" w:lineRule="auto"/>
            </w:pPr>
            <w:r>
              <w:rPr>
                <w:rFonts w:ascii="Arial" w:hAnsi="Arial"/>
                <w:color w:val="0B1727"/>
                <w:sz w:val="17"/>
              </w:rPr>
              <w:t>What fire, dust, moisture and statutory requirements apply?</w:t>
            </w:r>
          </w:p>
        </w:tc>
      </w:tr>
    </w:tbl>
    <w:p>
      <w:pPr>
        <w:spacing w:after="20"/>
      </w:pPr>
    </w:p>
    <w:p>
      <w:pPr>
        <w:pStyle w:val="Heading1"/>
      </w:pPr>
      <w:r>
        <w:t>How to Select Raw Material Storage Capacity</w:t>
      </w:r>
    </w:p>
    <w:p>
      <w:r>
        <w:t>Storage should be calculated for each material separately. A single rule such as “size every silo for a fixed number of production days” can produce either an undersized bottleneck or unnecessary capital expenditure.</w:t>
      </w:r>
    </w:p>
    <w:p>
      <w:pPr>
        <w:pStyle w:val="Heading2"/>
      </w:pPr>
      <w:r>
        <w:t>Step 1 — Establish daily material consumption</w:t>
      </w:r>
    </w:p>
    <w:p>
      <w:r>
        <w:t>Daily consumption must come from the verified AAC mix design at the planned production output—not from a generic percentage copied from another plant.</w:t>
      </w:r>
    </w:p>
    <w:p>
      <w:pPr>
        <w:pStyle w:val="EngineeringNote"/>
      </w:pPr>
      <w:r>
        <w:t>Daily material consumption = planned saleable production per day × verified consumption of that material per m³</w:t>
      </w:r>
    </w:p>
    <w:p>
      <w:pPr>
        <w:pStyle w:val="Heading2"/>
      </w:pPr>
      <w:r>
        <w:t>Step 2 — Select inventory autonomy</w:t>
      </w:r>
    </w:p>
    <w:p>
      <w:r>
        <w:t>Inventory autonomy is the number of operating days the plant should continue without a new delivery. It should reflect supplier reliability, distance, road conditions, seasonal disruption, delivery lead time, working-capital limits and how critical the material is to production.</w:t>
      </w:r>
    </w:p>
    <w:p>
      <w:pPr>
        <w:pStyle w:val="Heading2"/>
      </w:pPr>
      <w:r>
        <w:t>Step 3 — Check delivery-lot constraints</w:t>
      </w:r>
    </w:p>
    <w:p>
      <w:r>
        <w:t>The receiving system should be checked against the actual tanker, bulker, truck or bag lot. A silo may need enough free usable capacity to accept a complete planned delivery even when some inventory remains.</w:t>
      </w:r>
    </w:p>
    <w:p>
      <w:pPr>
        <w:pStyle w:val="Heading2"/>
      </w:pPr>
      <w:r>
        <w:t>Step 4 — Convert mass into usable volume</w:t>
      </w:r>
    </w:p>
    <w:p>
      <w:pPr>
        <w:pStyle w:val="EngineeringNote"/>
      </w:pPr>
      <w:r>
        <w:t>Required bulk storage volume = required stored mass ÷ verified loose bulk density</w:t>
      </w:r>
    </w:p>
    <w:p>
      <w:r>
        <w:t>Bulk density must be confirmed for the supplied material. Gross geometric silo volume is not the same as usable operating capacity: filling limits, freeboard, cone geometry, flow behaviour, level-instrument location and residual material all affect usable volume.</w:t>
      </w:r>
    </w:p>
    <w:p>
      <w:pPr>
        <w:pStyle w:val="Heading2"/>
      </w:pPr>
      <w:r>
        <w:t>Step 5 — Evaluate future capacity</w:t>
      </w:r>
    </w:p>
    <w:p>
      <w:r>
        <w:t>Compare three options instead of automatically oversizing every silo:</w:t>
      </w:r>
    </w:p>
    <w:tbl>
      <w:tblPr>
        <w:tblStyle w:val="TableGrid"/>
        <w:tblW w:type="dxa" w:w="9360"/>
        <w:jc w:val="center"/>
        <w:tblLayout w:type="fixed"/>
        <w:tblLook w:firstColumn="1" w:firstRow="1" w:lastColumn="0" w:lastRow="0" w:noHBand="0" w:noVBand="1" w:val="04A0"/>
        <w:tblInd w:w="120" w:type="dxa"/>
      </w:tblPr>
      <w:tblGrid>
        <w:gridCol w:w="2200"/>
        <w:gridCol w:w="3900"/>
        <w:gridCol w:w="3260"/>
      </w:tblGrid>
      <w:tr>
        <w:trPr>
          <w:tblHeader w:val="true"/>
        </w:trPr>
        <w:tc>
          <w:tcPr>
            <w:tcW w:type="dxa" w:w="2200"/>
            <w:shd w:fill="0B1727"/>
            <w:vAlign w:val="center"/>
            <w:tcMar>
              <w:top w:w="90" w:type="dxa"/>
              <w:start w:w="120" w:type="dxa"/>
              <w:bottom w:w="90" w:type="dxa"/>
              <w:end w:w="120" w:type="dxa"/>
            </w:tcMar>
          </w:tcPr>
          <w:p>
            <w:r>
              <w:rPr>
                <w:b/>
                <w:color w:val="FFFFFF"/>
                <w:sz w:val="18"/>
              </w:rPr>
              <w:t>Expansion strategy</w:t>
            </w:r>
          </w:p>
        </w:tc>
        <w:tc>
          <w:tcPr>
            <w:tcW w:type="dxa" w:w="3900"/>
            <w:shd w:fill="0B1727"/>
            <w:vAlign w:val="center"/>
            <w:tcMar>
              <w:top w:w="90" w:type="dxa"/>
              <w:start w:w="120" w:type="dxa"/>
              <w:bottom w:w="90" w:type="dxa"/>
              <w:end w:w="120" w:type="dxa"/>
            </w:tcMar>
          </w:tcPr>
          <w:p>
            <w:r>
              <w:rPr>
                <w:b/>
                <w:color w:val="FFFFFF"/>
                <w:sz w:val="18"/>
              </w:rPr>
              <w:t>When it may suit</w:t>
            </w:r>
          </w:p>
        </w:tc>
        <w:tc>
          <w:tcPr>
            <w:tcW w:type="dxa" w:w="3260"/>
            <w:shd w:fill="0B1727"/>
            <w:vAlign w:val="center"/>
            <w:tcMar>
              <w:top w:w="90" w:type="dxa"/>
              <w:start w:w="120" w:type="dxa"/>
              <w:bottom w:w="90" w:type="dxa"/>
              <w:end w:w="120" w:type="dxa"/>
            </w:tcMar>
          </w:tcPr>
          <w:p>
            <w:r>
              <w:rPr>
                <w:b/>
                <w:color w:val="FFFFFF"/>
                <w:sz w:val="18"/>
              </w:rPr>
              <w:t>Main limitation</w:t>
            </w:r>
          </w:p>
        </w:tc>
      </w:tr>
      <w:tr>
        <w:tc>
          <w:tcPr>
            <w:tcW w:type="dxa" w:w="2200"/>
            <w:vAlign w:val="center"/>
            <w:tcMar>
              <w:top w:w="90" w:type="dxa"/>
              <w:start w:w="120" w:type="dxa"/>
              <w:bottom w:w="90" w:type="dxa"/>
              <w:end w:w="120" w:type="dxa"/>
            </w:tcMar>
          </w:tcPr>
          <w:p>
            <w:pPr>
              <w:spacing w:after="20" w:line="252" w:lineRule="auto"/>
            </w:pPr>
            <w:r>
              <w:rPr>
                <w:rFonts w:ascii="Arial" w:hAnsi="Arial"/>
                <w:color w:val="0B1727"/>
                <w:sz w:val="17"/>
              </w:rPr>
              <w:t>Install the larger silo initially</w:t>
            </w:r>
          </w:p>
        </w:tc>
        <w:tc>
          <w:tcPr>
            <w:tcW w:type="dxa" w:w="3900"/>
            <w:vAlign w:val="center"/>
            <w:tcMar>
              <w:top w:w="90" w:type="dxa"/>
              <w:start w:w="120" w:type="dxa"/>
              <w:bottom w:w="90" w:type="dxa"/>
              <w:end w:w="120" w:type="dxa"/>
            </w:tcMar>
          </w:tcPr>
          <w:p>
            <w:pPr>
              <w:spacing w:after="20" w:line="252" w:lineRule="auto"/>
            </w:pPr>
            <w:r>
              <w:rPr>
                <w:rFonts w:ascii="Arial" w:hAnsi="Arial"/>
                <w:color w:val="0B1727"/>
                <w:sz w:val="17"/>
              </w:rPr>
              <w:t>Expansion is highly probable and additional initial civil/equipment cost is acceptable</w:t>
            </w:r>
          </w:p>
        </w:tc>
        <w:tc>
          <w:tcPr>
            <w:tcW w:type="dxa" w:w="3260"/>
            <w:vAlign w:val="center"/>
            <w:tcMar>
              <w:top w:w="90" w:type="dxa"/>
              <w:start w:w="120" w:type="dxa"/>
              <w:bottom w:w="90" w:type="dxa"/>
              <w:end w:w="120" w:type="dxa"/>
            </w:tcMar>
          </w:tcPr>
          <w:p>
            <w:pPr>
              <w:spacing w:after="20" w:line="252" w:lineRule="auto"/>
            </w:pPr>
            <w:r>
              <w:rPr>
                <w:rFonts w:ascii="Arial" w:hAnsi="Arial"/>
                <w:color w:val="0B1727"/>
                <w:sz w:val="17"/>
              </w:rPr>
              <w:t>Higher early capital and inventory exposure</w:t>
            </w:r>
          </w:p>
        </w:tc>
      </w:tr>
      <w:tr>
        <w:tc>
          <w:tcPr>
            <w:tcW w:type="dxa" w:w="2200"/>
            <w:shd w:fill="F5F7F8"/>
            <w:vAlign w:val="center"/>
            <w:tcMar>
              <w:top w:w="90" w:type="dxa"/>
              <w:start w:w="120" w:type="dxa"/>
              <w:bottom w:w="90" w:type="dxa"/>
              <w:end w:w="120" w:type="dxa"/>
            </w:tcMar>
          </w:tcPr>
          <w:p>
            <w:pPr>
              <w:spacing w:after="20" w:line="252" w:lineRule="auto"/>
            </w:pPr>
            <w:r>
              <w:rPr>
                <w:rFonts w:ascii="Arial" w:hAnsi="Arial"/>
                <w:color w:val="0B1727"/>
                <w:sz w:val="17"/>
              </w:rPr>
              <w:t>Build expansion-ready foundations and layout</w:t>
            </w:r>
          </w:p>
        </w:tc>
        <w:tc>
          <w:tcPr>
            <w:tcW w:type="dxa" w:w="3900"/>
            <w:shd w:fill="F5F7F8"/>
            <w:vAlign w:val="center"/>
            <w:tcMar>
              <w:top w:w="90" w:type="dxa"/>
              <w:start w:w="120" w:type="dxa"/>
              <w:bottom w:w="90" w:type="dxa"/>
              <w:end w:w="120" w:type="dxa"/>
            </w:tcMar>
          </w:tcPr>
          <w:p>
            <w:pPr>
              <w:spacing w:after="20" w:line="252" w:lineRule="auto"/>
            </w:pPr>
            <w:r>
              <w:rPr>
                <w:rFonts w:ascii="Arial" w:hAnsi="Arial"/>
                <w:color w:val="0B1727"/>
                <w:sz w:val="17"/>
              </w:rPr>
              <w:t>Future need is credible but timing is uncertain</w:t>
            </w:r>
          </w:p>
        </w:tc>
        <w:tc>
          <w:tcPr>
            <w:tcW w:type="dxa" w:w="3260"/>
            <w:shd w:fill="F5F7F8"/>
            <w:vAlign w:val="center"/>
            <w:tcMar>
              <w:top w:w="90" w:type="dxa"/>
              <w:start w:w="120" w:type="dxa"/>
              <w:bottom w:w="90" w:type="dxa"/>
              <w:end w:w="120" w:type="dxa"/>
            </w:tcMar>
          </w:tcPr>
          <w:p>
            <w:pPr>
              <w:spacing w:after="20" w:line="252" w:lineRule="auto"/>
            </w:pPr>
            <w:r>
              <w:rPr>
                <w:rFonts w:ascii="Arial" w:hAnsi="Arial"/>
                <w:color w:val="0B1727"/>
                <w:sz w:val="17"/>
              </w:rPr>
              <w:t>Requires disciplined preservation of space and interfaces</w:t>
            </w:r>
          </w:p>
        </w:tc>
      </w:tr>
      <w:tr>
        <w:tc>
          <w:tcPr>
            <w:tcW w:type="dxa" w:w="2200"/>
            <w:vAlign w:val="center"/>
            <w:tcMar>
              <w:top w:w="90" w:type="dxa"/>
              <w:start w:w="120" w:type="dxa"/>
              <w:bottom w:w="90" w:type="dxa"/>
              <w:end w:w="120" w:type="dxa"/>
            </w:tcMar>
          </w:tcPr>
          <w:p>
            <w:pPr>
              <w:spacing w:after="20" w:line="252" w:lineRule="auto"/>
            </w:pPr>
            <w:r>
              <w:rPr>
                <w:rFonts w:ascii="Arial" w:hAnsi="Arial"/>
                <w:color w:val="0B1727"/>
                <w:sz w:val="17"/>
              </w:rPr>
              <w:t>Plan a parallel silo later</w:t>
            </w:r>
          </w:p>
        </w:tc>
        <w:tc>
          <w:tcPr>
            <w:tcW w:type="dxa" w:w="3900"/>
            <w:vAlign w:val="center"/>
            <w:tcMar>
              <w:top w:w="90" w:type="dxa"/>
              <w:start w:w="120" w:type="dxa"/>
              <w:bottom w:w="90" w:type="dxa"/>
              <w:end w:w="120" w:type="dxa"/>
            </w:tcMar>
          </w:tcPr>
          <w:p>
            <w:pPr>
              <w:spacing w:after="20" w:line="252" w:lineRule="auto"/>
            </w:pPr>
            <w:r>
              <w:rPr>
                <w:rFonts w:ascii="Arial" w:hAnsi="Arial"/>
                <w:color w:val="0B1727"/>
                <w:sz w:val="17"/>
              </w:rPr>
              <w:t>Redundancy or staged capacity is valuable</w:t>
            </w:r>
          </w:p>
        </w:tc>
        <w:tc>
          <w:tcPr>
            <w:tcW w:type="dxa" w:w="3260"/>
            <w:vAlign w:val="center"/>
            <w:tcMar>
              <w:top w:w="90" w:type="dxa"/>
              <w:start w:w="120" w:type="dxa"/>
              <w:bottom w:w="90" w:type="dxa"/>
              <w:end w:w="120" w:type="dxa"/>
            </w:tcMar>
          </w:tcPr>
          <w:p>
            <w:pPr>
              <w:spacing w:after="20" w:line="252" w:lineRule="auto"/>
            </w:pPr>
            <w:r>
              <w:rPr>
                <w:rFonts w:ascii="Arial" w:hAnsi="Arial"/>
                <w:color w:val="0B1727"/>
                <w:sz w:val="17"/>
              </w:rPr>
              <w:t>Later erection, tie-ins and downtime must be planned</w:t>
            </w:r>
          </w:p>
        </w:tc>
      </w:tr>
    </w:tbl>
    <w:p>
      <w:pPr>
        <w:spacing w:after="20"/>
      </w:pPr>
    </w:p>
    <w:p>
      <w:pPr>
        <w:pStyle w:val="VerificationNote"/>
      </w:pPr>
      <w:r>
        <w:t>No numerical sizing example is published here because no verified project recipe, bulk density, delivery lot or inventory policy was supplied. Laxmi En-Fab should add one approved example after technical verification.</w:t>
      </w:r>
    </w:p>
    <w:p>
      <w:pPr>
        <w:pStyle w:val="Heading1"/>
      </w:pPr>
      <w:r>
        <w:t>Dry Fly Ash Storage and Transfer</w:t>
      </w:r>
    </w:p>
    <w:p>
      <w:r>
        <w:t>Where dry fly ash is commercially available in bulk, a dedicated silo can provide enclosed storage and controlled feeding to preparation or batching. The receiving arrangement must be matched to the tanker/bulker and plant interface.</w:t>
      </w:r>
    </w:p>
    <w:p>
      <w:r>
        <w:t>Typical process concept: Fly-ash delivery vehicle → unloading-air source → conveying pipeline → bin-vent filtration → fly-ash silo → controlled discharge → preparation/batching</w:t>
      </w:r>
    </w:p>
    <w:p>
      <w:pPr>
        <w:pStyle w:val="Heading2"/>
      </w:pPr>
      <w:r>
        <w:t>Bulker unloading options</w:t>
      </w:r>
    </w:p>
    <w:p>
      <w:r>
        <w:t>Conveying air may be supplied by an unloading package on the delivery vehicle or by a plant-installed blower/compressor system. The selected arrangement must be confirmed with the fly-ash supplier and designed for actual conveying distance, lift, pipeline routing, material characteristics and unloading time.</w:t>
      </w:r>
    </w:p>
    <w:p>
      <w:pPr>
        <w:pStyle w:val="Heading2"/>
      </w:pPr>
      <w:r>
        <w:t>Essential checks</w:t>
      </w:r>
    </w:p>
    <w:p>
      <w:pPr>
        <w:pStyle w:val="ListBullet"/>
        <w:spacing w:after="60"/>
        <w:ind w:left="720" w:hanging="360"/>
      </w:pPr>
      <w:r>
        <w:t>Can the available silo capacity accept the planned delivery?</w:t>
      </w:r>
    </w:p>
    <w:p>
      <w:pPr>
        <w:pStyle w:val="ListBullet"/>
        <w:spacing w:after="60"/>
        <w:ind w:left="720" w:hanging="360"/>
      </w:pPr>
      <w:r>
        <w:t>Are high-level alarms and filling interlocks provided?</w:t>
      </w:r>
    </w:p>
    <w:p>
      <w:pPr>
        <w:pStyle w:val="ListBullet"/>
        <w:spacing w:after="60"/>
        <w:ind w:left="720" w:hanging="360"/>
      </w:pPr>
      <w:r>
        <w:t>Is the bin-vent filter sized and maintained for the filling airflow?</w:t>
      </w:r>
    </w:p>
    <w:p>
      <w:pPr>
        <w:pStyle w:val="ListBullet"/>
        <w:spacing w:after="60"/>
        <w:ind w:left="720" w:hanging="360"/>
      </w:pPr>
      <w:r>
        <w:t>Are pressure/vacuum protection and safe venting addressed?</w:t>
      </w:r>
    </w:p>
    <w:p>
      <w:pPr>
        <w:pStyle w:val="ListBullet"/>
        <w:spacing w:after="60"/>
        <w:ind w:left="720" w:hanging="360"/>
      </w:pPr>
      <w:r>
        <w:t>Is the fill connection clearly identified to prevent cross-filling?</w:t>
      </w:r>
    </w:p>
    <w:p>
      <w:pPr>
        <w:pStyle w:val="ListBullet"/>
        <w:spacing w:after="60"/>
        <w:ind w:left="720" w:hanging="360"/>
      </w:pPr>
      <w:r>
        <w:t>How will poor flow, bridging or pipeline blockage be detected and cleared safely?</w:t>
      </w:r>
    </w:p>
    <w:p>
      <w:pPr>
        <w:pStyle w:val="Heading1"/>
      </w:pPr>
      <w:r>
        <w:t>Sand, Pond Ash and Stockyard Planning</w:t>
      </w:r>
    </w:p>
    <w:p>
      <w:r>
        <w:t>Sand, pond ash or another silica-rich feed may be considered where dry fly ash is unavailable or commercially unsuitable. Suitability must be established through raw-material and process testing. Pond ash, bottom ash and fly ash are not automatically interchangeable terms or materials.</w:t>
      </w:r>
    </w:p>
    <w:p>
      <w:pPr>
        <w:pStyle w:val="VerificationNote"/>
      </w:pPr>
      <w:r>
        <w:t>Technical verification required: Define the exact ash source, collection method, particle-size distribution, moisture, chemistry and required preparation route before final equipment selection.</w:t>
      </w:r>
    </w:p>
    <w:p>
      <w:pPr>
        <w:pStyle w:val="Heading2"/>
      </w:pPr>
      <w:r>
        <w:t>Open versus covered storage</w:t>
      </w:r>
    </w:p>
    <w:tbl>
      <w:tblPr>
        <w:tblStyle w:val="TableGrid"/>
        <w:tblW w:type="dxa" w:w="9360"/>
        <w:jc w:val="center"/>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0B1727"/>
            <w:vAlign w:val="center"/>
            <w:tcMar>
              <w:top w:w="90" w:type="dxa"/>
              <w:start w:w="120" w:type="dxa"/>
              <w:bottom w:w="90" w:type="dxa"/>
              <w:end w:w="120" w:type="dxa"/>
            </w:tcMar>
          </w:tcPr>
          <w:p>
            <w:r>
              <w:rPr>
                <w:b/>
                <w:color w:val="FFFFFF"/>
                <w:sz w:val="18"/>
              </w:rPr>
              <w:t>Decision factor</w:t>
            </w:r>
          </w:p>
        </w:tc>
        <w:tc>
          <w:tcPr>
            <w:tcW w:type="dxa" w:w="3730"/>
            <w:shd w:fill="0B1727"/>
            <w:vAlign w:val="center"/>
            <w:tcMar>
              <w:top w:w="90" w:type="dxa"/>
              <w:start w:w="120" w:type="dxa"/>
              <w:bottom w:w="90" w:type="dxa"/>
              <w:end w:w="120" w:type="dxa"/>
            </w:tcMar>
          </w:tcPr>
          <w:p>
            <w:r>
              <w:rPr>
                <w:b/>
                <w:color w:val="FFFFFF"/>
                <w:sz w:val="18"/>
              </w:rPr>
              <w:t>Open stockyard</w:t>
            </w:r>
          </w:p>
        </w:tc>
        <w:tc>
          <w:tcPr>
            <w:tcW w:type="dxa" w:w="3730"/>
            <w:shd w:fill="0B1727"/>
            <w:vAlign w:val="center"/>
            <w:tcMar>
              <w:top w:w="90" w:type="dxa"/>
              <w:start w:w="120" w:type="dxa"/>
              <w:bottom w:w="90" w:type="dxa"/>
              <w:end w:w="120" w:type="dxa"/>
            </w:tcMar>
          </w:tcPr>
          <w:p>
            <w:r>
              <w:rPr>
                <w:b/>
                <w:color w:val="FFFFFF"/>
                <w:sz w:val="18"/>
              </w:rPr>
              <w:t>Covered stockyard or shed</w:t>
            </w:r>
          </w:p>
        </w:tc>
      </w:tr>
      <w:tr>
        <w:tc>
          <w:tcPr>
            <w:tcW w:type="dxa" w:w="1900"/>
            <w:vAlign w:val="center"/>
            <w:tcMar>
              <w:top w:w="90" w:type="dxa"/>
              <w:start w:w="120" w:type="dxa"/>
              <w:bottom w:w="90" w:type="dxa"/>
              <w:end w:w="120" w:type="dxa"/>
            </w:tcMar>
          </w:tcPr>
          <w:p>
            <w:pPr>
              <w:spacing w:after="20" w:line="252" w:lineRule="auto"/>
            </w:pPr>
            <w:r>
              <w:rPr>
                <w:rFonts w:ascii="Arial" w:hAnsi="Arial"/>
                <w:color w:val="0B1727"/>
                <w:sz w:val="17"/>
              </w:rPr>
              <w:t>Rain exposure</w:t>
            </w:r>
          </w:p>
        </w:tc>
        <w:tc>
          <w:tcPr>
            <w:tcW w:type="dxa" w:w="3730"/>
            <w:vAlign w:val="center"/>
            <w:tcMar>
              <w:top w:w="90" w:type="dxa"/>
              <w:start w:w="120" w:type="dxa"/>
              <w:bottom w:w="90" w:type="dxa"/>
              <w:end w:w="120" w:type="dxa"/>
            </w:tcMar>
          </w:tcPr>
          <w:p>
            <w:pPr>
              <w:spacing w:after="20" w:line="252" w:lineRule="auto"/>
            </w:pPr>
            <w:r>
              <w:rPr>
                <w:rFonts w:ascii="Arial" w:hAnsi="Arial"/>
                <w:color w:val="0B1727"/>
                <w:sz w:val="17"/>
              </w:rPr>
              <w:t>Higher exposure; drainage and moisture control are critical</w:t>
            </w:r>
          </w:p>
        </w:tc>
        <w:tc>
          <w:tcPr>
            <w:tcW w:type="dxa" w:w="3730"/>
            <w:vAlign w:val="center"/>
            <w:tcMar>
              <w:top w:w="90" w:type="dxa"/>
              <w:start w:w="120" w:type="dxa"/>
              <w:bottom w:w="90" w:type="dxa"/>
              <w:end w:w="120" w:type="dxa"/>
            </w:tcMar>
          </w:tcPr>
          <w:p>
            <w:pPr>
              <w:spacing w:after="20" w:line="252" w:lineRule="auto"/>
            </w:pPr>
            <w:r>
              <w:rPr>
                <w:rFonts w:ascii="Arial" w:hAnsi="Arial"/>
                <w:color w:val="0B1727"/>
                <w:sz w:val="17"/>
              </w:rPr>
              <w:t>Reduced direct rainfall exposure</w:t>
            </w:r>
          </w:p>
        </w:tc>
      </w:tr>
      <w:tr>
        <w:tc>
          <w:tcPr>
            <w:tcW w:type="dxa" w:w="1900"/>
            <w:shd w:fill="F5F7F8"/>
            <w:vAlign w:val="center"/>
            <w:tcMar>
              <w:top w:w="90" w:type="dxa"/>
              <w:start w:w="120" w:type="dxa"/>
              <w:bottom w:w="90" w:type="dxa"/>
              <w:end w:w="120" w:type="dxa"/>
            </w:tcMar>
          </w:tcPr>
          <w:p>
            <w:pPr>
              <w:spacing w:after="20" w:line="252" w:lineRule="auto"/>
            </w:pPr>
            <w:r>
              <w:rPr>
                <w:rFonts w:ascii="Arial" w:hAnsi="Arial"/>
                <w:color w:val="0B1727"/>
                <w:sz w:val="17"/>
              </w:rPr>
              <w:t>Wind-borne dust</w:t>
            </w:r>
          </w:p>
        </w:tc>
        <w:tc>
          <w:tcPr>
            <w:tcW w:type="dxa" w:w="3730"/>
            <w:shd w:fill="F5F7F8"/>
            <w:vAlign w:val="center"/>
            <w:tcMar>
              <w:top w:w="90" w:type="dxa"/>
              <w:start w:w="120" w:type="dxa"/>
              <w:bottom w:w="90" w:type="dxa"/>
              <w:end w:w="120" w:type="dxa"/>
            </w:tcMar>
          </w:tcPr>
          <w:p>
            <w:pPr>
              <w:spacing w:after="20" w:line="252" w:lineRule="auto"/>
            </w:pPr>
            <w:r>
              <w:rPr>
                <w:rFonts w:ascii="Arial" w:hAnsi="Arial"/>
                <w:color w:val="0B1727"/>
                <w:sz w:val="17"/>
              </w:rPr>
              <w:t>May require additional suppression and boundary control</w:t>
            </w:r>
          </w:p>
        </w:tc>
        <w:tc>
          <w:tcPr>
            <w:tcW w:type="dxa" w:w="3730"/>
            <w:shd w:fill="F5F7F8"/>
            <w:vAlign w:val="center"/>
            <w:tcMar>
              <w:top w:w="90" w:type="dxa"/>
              <w:start w:w="120" w:type="dxa"/>
              <w:bottom w:w="90" w:type="dxa"/>
              <w:end w:w="120" w:type="dxa"/>
            </w:tcMar>
          </w:tcPr>
          <w:p>
            <w:pPr>
              <w:spacing w:after="20" w:line="252" w:lineRule="auto"/>
            </w:pPr>
            <w:r>
              <w:rPr>
                <w:rFonts w:ascii="Arial" w:hAnsi="Arial"/>
                <w:color w:val="0B1727"/>
                <w:sz w:val="17"/>
              </w:rPr>
              <w:t>Can reduce wind exposure but still requires housekeeping</w:t>
            </w:r>
          </w:p>
        </w:tc>
      </w:tr>
      <w:tr>
        <w:tc>
          <w:tcPr>
            <w:tcW w:type="dxa" w:w="1900"/>
            <w:vAlign w:val="center"/>
            <w:tcMar>
              <w:top w:w="90" w:type="dxa"/>
              <w:start w:w="120" w:type="dxa"/>
              <w:bottom w:w="90" w:type="dxa"/>
              <w:end w:w="120" w:type="dxa"/>
            </w:tcMar>
          </w:tcPr>
          <w:p>
            <w:pPr>
              <w:spacing w:after="20" w:line="252" w:lineRule="auto"/>
            </w:pPr>
            <w:r>
              <w:rPr>
                <w:rFonts w:ascii="Arial" w:hAnsi="Arial"/>
                <w:color w:val="0B1727"/>
                <w:sz w:val="17"/>
              </w:rPr>
              <w:t>Moisture stability</w:t>
            </w:r>
          </w:p>
        </w:tc>
        <w:tc>
          <w:tcPr>
            <w:tcW w:type="dxa" w:w="3730"/>
            <w:vAlign w:val="center"/>
            <w:tcMar>
              <w:top w:w="90" w:type="dxa"/>
              <w:start w:w="120" w:type="dxa"/>
              <w:bottom w:w="90" w:type="dxa"/>
              <w:end w:w="120" w:type="dxa"/>
            </w:tcMar>
          </w:tcPr>
          <w:p>
            <w:pPr>
              <w:spacing w:after="20" w:line="252" w:lineRule="auto"/>
            </w:pPr>
            <w:r>
              <w:rPr>
                <w:rFonts w:ascii="Arial" w:hAnsi="Arial"/>
                <w:color w:val="0B1727"/>
                <w:sz w:val="17"/>
              </w:rPr>
              <w:t>More variable during monsoon</w:t>
            </w:r>
          </w:p>
        </w:tc>
        <w:tc>
          <w:tcPr>
            <w:tcW w:type="dxa" w:w="3730"/>
            <w:vAlign w:val="center"/>
            <w:tcMar>
              <w:top w:w="90" w:type="dxa"/>
              <w:start w:w="120" w:type="dxa"/>
              <w:bottom w:w="90" w:type="dxa"/>
              <w:end w:w="120" w:type="dxa"/>
            </w:tcMar>
          </w:tcPr>
          <w:p>
            <w:pPr>
              <w:spacing w:after="20" w:line="252" w:lineRule="auto"/>
            </w:pPr>
            <w:r>
              <w:rPr>
                <w:rFonts w:ascii="Arial" w:hAnsi="Arial"/>
                <w:color w:val="0B1727"/>
                <w:sz w:val="17"/>
              </w:rPr>
              <w:t>Potentially more stable if runoff and ingress are controlled</w:t>
            </w:r>
          </w:p>
        </w:tc>
      </w:tr>
      <w:tr>
        <w:tc>
          <w:tcPr>
            <w:tcW w:type="dxa" w:w="1900"/>
            <w:shd w:fill="F5F7F8"/>
            <w:vAlign w:val="center"/>
            <w:tcMar>
              <w:top w:w="90" w:type="dxa"/>
              <w:start w:w="120" w:type="dxa"/>
              <w:bottom w:w="90" w:type="dxa"/>
              <w:end w:w="120" w:type="dxa"/>
            </w:tcMar>
          </w:tcPr>
          <w:p>
            <w:pPr>
              <w:spacing w:after="20" w:line="252" w:lineRule="auto"/>
            </w:pPr>
            <w:r>
              <w:rPr>
                <w:rFonts w:ascii="Arial" w:hAnsi="Arial"/>
                <w:color w:val="0B1727"/>
                <w:sz w:val="17"/>
              </w:rPr>
              <w:t>Capital/civil scope</w:t>
            </w:r>
          </w:p>
        </w:tc>
        <w:tc>
          <w:tcPr>
            <w:tcW w:type="dxa" w:w="3730"/>
            <w:shd w:fill="F5F7F8"/>
            <w:vAlign w:val="center"/>
            <w:tcMar>
              <w:top w:w="90" w:type="dxa"/>
              <w:start w:w="120" w:type="dxa"/>
              <w:bottom w:w="90" w:type="dxa"/>
              <w:end w:w="120" w:type="dxa"/>
            </w:tcMar>
          </w:tcPr>
          <w:p>
            <w:pPr>
              <w:spacing w:after="20" w:line="252" w:lineRule="auto"/>
            </w:pPr>
            <w:r>
              <w:rPr>
                <w:rFonts w:ascii="Arial" w:hAnsi="Arial"/>
                <w:color w:val="0B1727"/>
                <w:sz w:val="17"/>
              </w:rPr>
              <w:t>Usually lower initial enclosure cost</w:t>
            </w:r>
          </w:p>
        </w:tc>
        <w:tc>
          <w:tcPr>
            <w:tcW w:type="dxa" w:w="3730"/>
            <w:shd w:fill="F5F7F8"/>
            <w:vAlign w:val="center"/>
            <w:tcMar>
              <w:top w:w="90" w:type="dxa"/>
              <w:start w:w="120" w:type="dxa"/>
              <w:bottom w:w="90" w:type="dxa"/>
              <w:end w:w="120" w:type="dxa"/>
            </w:tcMar>
          </w:tcPr>
          <w:p>
            <w:pPr>
              <w:spacing w:after="20" w:line="252" w:lineRule="auto"/>
            </w:pPr>
            <w:r>
              <w:rPr>
                <w:rFonts w:ascii="Arial" w:hAnsi="Arial"/>
                <w:color w:val="0B1727"/>
                <w:sz w:val="17"/>
              </w:rPr>
              <w:t>Additional structure, drainage and access coordination</w:t>
            </w:r>
          </w:p>
        </w:tc>
      </w:tr>
      <w:tr>
        <w:tc>
          <w:tcPr>
            <w:tcW w:type="dxa" w:w="1900"/>
            <w:vAlign w:val="center"/>
            <w:tcMar>
              <w:top w:w="90" w:type="dxa"/>
              <w:start w:w="120" w:type="dxa"/>
              <w:bottom w:w="90" w:type="dxa"/>
              <w:end w:w="120" w:type="dxa"/>
            </w:tcMar>
          </w:tcPr>
          <w:p>
            <w:pPr>
              <w:spacing w:after="20" w:line="252" w:lineRule="auto"/>
            </w:pPr>
            <w:r>
              <w:rPr>
                <w:rFonts w:ascii="Arial" w:hAnsi="Arial"/>
                <w:color w:val="0B1727"/>
                <w:sz w:val="17"/>
              </w:rPr>
              <w:t>Loader movement</w:t>
            </w:r>
          </w:p>
        </w:tc>
        <w:tc>
          <w:tcPr>
            <w:tcW w:type="dxa" w:w="3730"/>
            <w:vAlign w:val="center"/>
            <w:tcMar>
              <w:top w:w="90" w:type="dxa"/>
              <w:start w:w="120" w:type="dxa"/>
              <w:bottom w:w="90" w:type="dxa"/>
              <w:end w:w="120" w:type="dxa"/>
            </w:tcMar>
          </w:tcPr>
          <w:p>
            <w:pPr>
              <w:spacing w:after="20" w:line="252" w:lineRule="auto"/>
            </w:pPr>
            <w:r>
              <w:rPr>
                <w:rFonts w:ascii="Arial" w:hAnsi="Arial"/>
                <w:color w:val="0B1727"/>
                <w:sz w:val="17"/>
              </w:rPr>
              <w:t>Requires planned all-weather routes</w:t>
            </w:r>
          </w:p>
        </w:tc>
        <w:tc>
          <w:tcPr>
            <w:tcW w:type="dxa" w:w="3730"/>
            <w:vAlign w:val="center"/>
            <w:tcMar>
              <w:top w:w="90" w:type="dxa"/>
              <w:start w:w="120" w:type="dxa"/>
              <w:bottom w:w="90" w:type="dxa"/>
              <w:end w:w="120" w:type="dxa"/>
            </w:tcMar>
          </w:tcPr>
          <w:p>
            <w:pPr>
              <w:spacing w:after="20" w:line="252" w:lineRule="auto"/>
            </w:pPr>
            <w:r>
              <w:rPr>
                <w:rFonts w:ascii="Arial" w:hAnsi="Arial"/>
                <w:color w:val="0B1727"/>
                <w:sz w:val="17"/>
              </w:rPr>
              <w:t>Clear height, columns and turning radius become important</w:t>
            </w:r>
          </w:p>
        </w:tc>
      </w:tr>
    </w:tbl>
    <w:p>
      <w:pPr>
        <w:spacing w:after="20"/>
      </w:pPr>
    </w:p>
    <w:p>
      <w:pPr>
        <w:pStyle w:val="Heading2"/>
      </w:pPr>
      <w:r>
        <w:t>India-specific stockyard provisions</w:t>
      </w:r>
    </w:p>
    <w:p>
      <w:pPr>
        <w:pStyle w:val="ListBullet"/>
        <w:spacing w:after="60"/>
        <w:ind w:left="720" w:hanging="360"/>
      </w:pPr>
      <w:r>
        <w:t>Finished levels and drainage that prevent water accumulation and contaminated runoff.</w:t>
      </w:r>
    </w:p>
    <w:p>
      <w:pPr>
        <w:pStyle w:val="ListBullet"/>
        <w:spacing w:after="60"/>
        <w:ind w:left="720" w:hanging="360"/>
      </w:pPr>
      <w:r>
        <w:t>Separate bays or retaining walls where different sources or grades must not mix.</w:t>
      </w:r>
    </w:p>
    <w:p>
      <w:pPr>
        <w:pStyle w:val="ListBullet"/>
        <w:spacing w:after="60"/>
        <w:ind w:left="720" w:hanging="360"/>
      </w:pPr>
      <w:r>
        <w:t>All-weather loader and truck access with safe turning and reversing zones.</w:t>
      </w:r>
    </w:p>
    <w:p>
      <w:pPr>
        <w:pStyle w:val="ListBullet"/>
        <w:spacing w:after="60"/>
        <w:ind w:left="720" w:hanging="360"/>
      </w:pPr>
      <w:r>
        <w:t>Moisture sampling and recipe correction where moisture affects slurry preparation.</w:t>
      </w:r>
    </w:p>
    <w:p>
      <w:pPr>
        <w:pStyle w:val="ListBullet"/>
        <w:spacing w:after="60"/>
        <w:ind w:left="720" w:hanging="360"/>
      </w:pPr>
      <w:r>
        <w:t>Dust-control measures compatible with material handling and process-water balance.</w:t>
      </w:r>
    </w:p>
    <w:p>
      <w:pPr>
        <w:pStyle w:val="ListBullet"/>
        <w:spacing w:after="60"/>
        <w:ind w:left="720" w:hanging="360"/>
      </w:pPr>
      <w:r>
        <w:t>Allowance for seasonal supply interruptions without creating excessive old inventory.</w:t>
      </w:r>
    </w:p>
    <w:p>
      <w:r>
        <w:t>Controlled water sprinkling may be considered for compatible materials and site conditions, but it must not introduce uncontrolled moisture or impair downstream feeding and slurry-density control.</w:t>
      </w:r>
    </w:p>
    <w:p>
      <w:pPr>
        <w:pStyle w:val="Heading1"/>
      </w:pPr>
      <w:r>
        <w:t>Cement Storage in an AAC Plant</w:t>
      </w:r>
    </w:p>
    <w:p>
      <w:r>
        <w:t>Bulk cement is commonly received by tanker where local logistics support it, then transferred to a dedicated silo and discharged in a controlled manner to batching. The system should prevent material contamination, uncontrolled dust release and overfilling.</w:t>
      </w:r>
    </w:p>
    <w:p>
      <w:pPr>
        <w:pStyle w:val="Heading2"/>
      </w:pPr>
      <w:r>
        <w:t>Where cement is supplied in bags</w:t>
      </w:r>
    </w:p>
    <w:p>
      <w:r>
        <w:t>A bag-unloading and transfer arrangement may be considered where bulk cement delivery is unavailable. The design should evaluate bag-opening rate, operator exposure, dust extraction, foreign-material screening, empty-bag handling and the cost of converting intermittent bag input into reliable silo supply. A stationary pneumatic transfer vessel is one possible arrangement; its suitability must be verified for the material and required throughput.</w:t>
      </w:r>
    </w:p>
    <w:p>
      <w:pPr>
        <w:pStyle w:val="Heading1"/>
      </w:pPr>
      <w:r>
        <w:t>Lime Storage and Transfer</w:t>
      </w:r>
    </w:p>
    <w:p>
      <w:r>
        <w:t>Lime handling depends on the supplied product. Before selecting storage equipment, confirm whether the plant will receive quicklime, hydrated lime or processed lime powder; the package size; particle size; moisture sensitivity; temperature; and whether grinding or other preparation is required.</w:t>
      </w:r>
    </w:p>
    <w:p>
      <w:pPr>
        <w:pStyle w:val="EngineeringNote"/>
      </w:pPr>
      <w:r>
        <w:t>In some Indian projects, processed lime may be received in jumbo bags and transferred into a dedicated silo through a mechanised unloading and pneumatic transfer arrangement. A possible concept is: jumbo/bag supply → controlled lifting and bag discharge → receiving/transfer vessel → pneumatic conveying → lime silo.</w:t>
      </w:r>
    </w:p>
    <w:p>
      <w:pPr>
        <w:pStyle w:val="VerificationNote"/>
      </w:pPr>
      <w:r>
        <w:t>This route must not be treated as a universal standard. Crane capacity, bag-lifting method, discharge station, dust extraction, operator access, guarding, conveying duty and lime properties require project-specific verification.</w:t>
      </w:r>
    </w:p>
    <w:p>
      <w:pPr>
        <w:pStyle w:val="Heading1"/>
      </w:pPr>
      <w:r>
        <w:t>Gypsum Storage and Dosing</w:t>
      </w:r>
    </w:p>
    <w:p>
      <w:r>
        <w:t>Gypsum is normally consumed at a lower rate than the main binders, but the preferred handling method should be decided by consumption, delivery format, dosing tolerance, labour exposure and automation objectives—not plant capacity alone.</w:t>
      </w:r>
    </w:p>
    <w:tbl>
      <w:tblPr>
        <w:tblStyle w:val="TableGrid"/>
        <w:tblW w:type="dxa" w:w="9360"/>
        <w:jc w:val="center"/>
        <w:tblLayout w:type="fixed"/>
        <w:tblLook w:firstColumn="1" w:firstRow="1" w:lastColumn="0" w:lastRow="0" w:noHBand="0" w:noVBand="1" w:val="04A0"/>
        <w:tblInd w:w="120" w:type="dxa"/>
      </w:tblPr>
      <w:tblGrid>
        <w:gridCol w:w="2400"/>
        <w:gridCol w:w="3400"/>
        <w:gridCol w:w="3560"/>
      </w:tblGrid>
      <w:tr>
        <w:trPr>
          <w:tblHeader w:val="true"/>
        </w:trPr>
        <w:tc>
          <w:tcPr>
            <w:tcW w:type="dxa" w:w="2400"/>
            <w:shd w:fill="0B1727"/>
            <w:vAlign w:val="center"/>
            <w:tcMar>
              <w:top w:w="90" w:type="dxa"/>
              <w:start w:w="120" w:type="dxa"/>
              <w:bottom w:w="90" w:type="dxa"/>
              <w:end w:w="120" w:type="dxa"/>
            </w:tcMar>
          </w:tcPr>
          <w:p>
            <w:r>
              <w:rPr>
                <w:b/>
                <w:color w:val="FFFFFF"/>
                <w:sz w:val="18"/>
              </w:rPr>
              <w:t>Arrangement</w:t>
            </w:r>
          </w:p>
        </w:tc>
        <w:tc>
          <w:tcPr>
            <w:tcW w:type="dxa" w:w="3400"/>
            <w:shd w:fill="0B1727"/>
            <w:vAlign w:val="center"/>
            <w:tcMar>
              <w:top w:w="90" w:type="dxa"/>
              <w:start w:w="120" w:type="dxa"/>
              <w:bottom w:w="90" w:type="dxa"/>
              <w:end w:w="120" w:type="dxa"/>
            </w:tcMar>
          </w:tcPr>
          <w:p>
            <w:r>
              <w:rPr>
                <w:b/>
                <w:color w:val="FFFFFF"/>
                <w:sz w:val="18"/>
              </w:rPr>
              <w:t>May suit</w:t>
            </w:r>
          </w:p>
        </w:tc>
        <w:tc>
          <w:tcPr>
            <w:tcW w:type="dxa" w:w="3560"/>
            <w:shd w:fill="0B1727"/>
            <w:vAlign w:val="center"/>
            <w:tcMar>
              <w:top w:w="90" w:type="dxa"/>
              <w:start w:w="120" w:type="dxa"/>
              <w:bottom w:w="90" w:type="dxa"/>
              <w:end w:w="120" w:type="dxa"/>
            </w:tcMar>
          </w:tcPr>
          <w:p>
            <w:r>
              <w:rPr>
                <w:b/>
                <w:color w:val="FFFFFF"/>
                <w:sz w:val="18"/>
              </w:rPr>
              <w:t>Key controls and limitations</w:t>
            </w:r>
          </w:p>
        </w:tc>
      </w:tr>
      <w:tr>
        <w:tc>
          <w:tcPr>
            <w:tcW w:type="dxa" w:w="2400"/>
            <w:vAlign w:val="center"/>
            <w:tcMar>
              <w:top w:w="90" w:type="dxa"/>
              <w:start w:w="120" w:type="dxa"/>
              <w:bottom w:w="90" w:type="dxa"/>
              <w:end w:w="120" w:type="dxa"/>
            </w:tcMar>
          </w:tcPr>
          <w:p>
            <w:pPr>
              <w:spacing w:after="20" w:line="252" w:lineRule="auto"/>
            </w:pPr>
            <w:r>
              <w:rPr>
                <w:rFonts w:ascii="Arial" w:hAnsi="Arial"/>
                <w:color w:val="0B1727"/>
                <w:sz w:val="17"/>
              </w:rPr>
              <w:t>Covered bag storage with controlled manual addition</w:t>
            </w:r>
          </w:p>
        </w:tc>
        <w:tc>
          <w:tcPr>
            <w:tcW w:type="dxa" w:w="3400"/>
            <w:vAlign w:val="center"/>
            <w:tcMar>
              <w:top w:w="90" w:type="dxa"/>
              <w:start w:w="120" w:type="dxa"/>
              <w:bottom w:w="90" w:type="dxa"/>
              <w:end w:w="120" w:type="dxa"/>
            </w:tcMar>
          </w:tcPr>
          <w:p>
            <w:pPr>
              <w:spacing w:after="20" w:line="252" w:lineRule="auto"/>
            </w:pPr>
            <w:r>
              <w:rPr>
                <w:rFonts w:ascii="Arial" w:hAnsi="Arial"/>
                <w:color w:val="0B1727"/>
                <w:sz w:val="17"/>
              </w:rPr>
              <w:t>Low consumption and manageable bag frequency</w:t>
            </w:r>
          </w:p>
        </w:tc>
        <w:tc>
          <w:tcPr>
            <w:tcW w:type="dxa" w:w="3560"/>
            <w:vAlign w:val="center"/>
            <w:tcMar>
              <w:top w:w="90" w:type="dxa"/>
              <w:start w:w="120" w:type="dxa"/>
              <w:bottom w:w="90" w:type="dxa"/>
              <w:end w:w="120" w:type="dxa"/>
            </w:tcMar>
          </w:tcPr>
          <w:p>
            <w:pPr>
              <w:spacing w:after="20" w:line="252" w:lineRule="auto"/>
            </w:pPr>
            <w:r>
              <w:rPr>
                <w:rFonts w:ascii="Arial" w:hAnsi="Arial"/>
                <w:color w:val="0B1727"/>
                <w:sz w:val="17"/>
              </w:rPr>
              <w:t>Identification, weighing discipline, dust exposure, traceability and operator dependency</w:t>
            </w:r>
          </w:p>
        </w:tc>
      </w:tr>
      <w:tr>
        <w:tc>
          <w:tcPr>
            <w:tcW w:type="dxa" w:w="2400"/>
            <w:shd w:fill="F5F7F8"/>
            <w:vAlign w:val="center"/>
            <w:tcMar>
              <w:top w:w="90" w:type="dxa"/>
              <w:start w:w="120" w:type="dxa"/>
              <w:bottom w:w="90" w:type="dxa"/>
              <w:end w:w="120" w:type="dxa"/>
            </w:tcMar>
          </w:tcPr>
          <w:p>
            <w:pPr>
              <w:spacing w:after="20" w:line="252" w:lineRule="auto"/>
            </w:pPr>
            <w:r>
              <w:rPr>
                <w:rFonts w:ascii="Arial" w:hAnsi="Arial"/>
                <w:color w:val="0B1727"/>
                <w:sz w:val="17"/>
              </w:rPr>
              <w:t>Mechanised bag unloading and transfer</w:t>
            </w:r>
          </w:p>
        </w:tc>
        <w:tc>
          <w:tcPr>
            <w:tcW w:type="dxa" w:w="3400"/>
            <w:shd w:fill="F5F7F8"/>
            <w:vAlign w:val="center"/>
            <w:tcMar>
              <w:top w:w="90" w:type="dxa"/>
              <w:start w:w="120" w:type="dxa"/>
              <w:bottom w:w="90" w:type="dxa"/>
              <w:end w:w="120" w:type="dxa"/>
            </w:tcMar>
          </w:tcPr>
          <w:p>
            <w:pPr>
              <w:spacing w:after="20" w:line="252" w:lineRule="auto"/>
            </w:pPr>
            <w:r>
              <w:rPr>
                <w:rFonts w:ascii="Arial" w:hAnsi="Arial"/>
                <w:color w:val="0B1727"/>
                <w:sz w:val="17"/>
              </w:rPr>
              <w:t>Intermediate throughput or high manual burden</w:t>
            </w:r>
          </w:p>
        </w:tc>
        <w:tc>
          <w:tcPr>
            <w:tcW w:type="dxa" w:w="3560"/>
            <w:shd w:fill="F5F7F8"/>
            <w:vAlign w:val="center"/>
            <w:tcMar>
              <w:top w:w="90" w:type="dxa"/>
              <w:start w:w="120" w:type="dxa"/>
              <w:bottom w:w="90" w:type="dxa"/>
              <w:end w:w="120" w:type="dxa"/>
            </w:tcMar>
          </w:tcPr>
          <w:p>
            <w:pPr>
              <w:spacing w:after="20" w:line="252" w:lineRule="auto"/>
            </w:pPr>
            <w:r>
              <w:rPr>
                <w:rFonts w:ascii="Arial" w:hAnsi="Arial"/>
                <w:color w:val="0B1727"/>
                <w:sz w:val="17"/>
              </w:rPr>
              <w:t>Dust extraction, screening, transfer reliability and maintenance</w:t>
            </w:r>
          </w:p>
        </w:tc>
      </w:tr>
      <w:tr>
        <w:tc>
          <w:tcPr>
            <w:tcW w:type="dxa" w:w="2400"/>
            <w:vAlign w:val="center"/>
            <w:tcMar>
              <w:top w:w="90" w:type="dxa"/>
              <w:start w:w="120" w:type="dxa"/>
              <w:bottom w:w="90" w:type="dxa"/>
              <w:end w:w="120" w:type="dxa"/>
            </w:tcMar>
          </w:tcPr>
          <w:p>
            <w:pPr>
              <w:spacing w:after="20" w:line="252" w:lineRule="auto"/>
            </w:pPr>
            <w:r>
              <w:rPr>
                <w:rFonts w:ascii="Arial" w:hAnsi="Arial"/>
                <w:color w:val="0B1727"/>
                <w:sz w:val="17"/>
              </w:rPr>
              <w:t>Dedicated silo with automatic dosing</w:t>
            </w:r>
          </w:p>
        </w:tc>
        <w:tc>
          <w:tcPr>
            <w:tcW w:type="dxa" w:w="3400"/>
            <w:vAlign w:val="center"/>
            <w:tcMar>
              <w:top w:w="90" w:type="dxa"/>
              <w:start w:w="120" w:type="dxa"/>
              <w:bottom w:w="90" w:type="dxa"/>
              <w:end w:w="120" w:type="dxa"/>
            </w:tcMar>
          </w:tcPr>
          <w:p>
            <w:pPr>
              <w:spacing w:after="20" w:line="252" w:lineRule="auto"/>
            </w:pPr>
            <w:r>
              <w:rPr>
                <w:rFonts w:ascii="Arial" w:hAnsi="Arial"/>
                <w:color w:val="0B1727"/>
                <w:sz w:val="17"/>
              </w:rPr>
              <w:t>Higher consumption or tight repeatability requirement</w:t>
            </w:r>
          </w:p>
        </w:tc>
        <w:tc>
          <w:tcPr>
            <w:tcW w:type="dxa" w:w="3560"/>
            <w:vAlign w:val="center"/>
            <w:tcMar>
              <w:top w:w="90" w:type="dxa"/>
              <w:start w:w="120" w:type="dxa"/>
              <w:bottom w:w="90" w:type="dxa"/>
              <w:end w:w="120" w:type="dxa"/>
            </w:tcMar>
          </w:tcPr>
          <w:p>
            <w:pPr>
              <w:spacing w:after="20" w:line="252" w:lineRule="auto"/>
            </w:pPr>
            <w:r>
              <w:rPr>
                <w:rFonts w:ascii="Arial" w:hAnsi="Arial"/>
                <w:color w:val="0B1727"/>
                <w:sz w:val="17"/>
              </w:rPr>
              <w:t>Capital cost, silo flow behaviour, calibration and minimum practical feed rate</w:t>
            </w:r>
          </w:p>
        </w:tc>
      </w:tr>
    </w:tbl>
    <w:p>
      <w:pPr>
        <w:spacing w:after="20"/>
      </w:pPr>
    </w:p>
    <w:p>
      <w:r>
        <w:t>A correctly selected, calibrated and maintained automatic system can improve dosing repeatability. It does not remove the need for raw-material checks and recipe control.</w:t>
      </w:r>
    </w:p>
    <w:p>
      <w:pPr>
        <w:pStyle w:val="Heading1"/>
      </w:pPr>
      <w:r>
        <w:t>Aluminium Powder or Paste: Storage and Controlled Dosing</w:t>
      </w:r>
    </w:p>
    <w:p>
      <w:pPr>
        <w:pStyle w:val="VerificationNote"/>
      </w:pPr>
      <w:r>
        <w:t>Aluminium is the gas-forming agent in AAC production and must be treated as a safety-critical material. Fine aluminium powder can present serious fire and dust-explosion hazards under certain conditions. Storage and handling must follow the specific product’s Safety Data Sheet, supplier instructions, site hazard assessment and applicable Indian requirements.</w:t>
      </w:r>
    </w:p>
    <w:p>
      <w:pPr>
        <w:pStyle w:val="Heading2"/>
      </w:pPr>
      <w:r>
        <w:t>Safety-led design questions</w:t>
      </w:r>
    </w:p>
    <w:p>
      <w:pPr>
        <w:pStyle w:val="ListBullet"/>
        <w:spacing w:after="60"/>
        <w:ind w:left="720" w:hanging="360"/>
      </w:pPr>
      <w:r>
        <w:t>Is the supplied product a dry powder, paste or another formulation?</w:t>
      </w:r>
    </w:p>
    <w:p>
      <w:pPr>
        <w:pStyle w:val="ListBullet"/>
        <w:spacing w:after="60"/>
        <w:ind w:left="720" w:hanging="360"/>
      </w:pPr>
      <w:r>
        <w:t>What storage temperature, moisture and incompatibility restrictions are stated in the SDS?</w:t>
      </w:r>
    </w:p>
    <w:p>
      <w:pPr>
        <w:pStyle w:val="ListBullet"/>
        <w:spacing w:after="60"/>
        <w:ind w:left="720" w:hanging="360"/>
      </w:pPr>
      <w:r>
        <w:t>How will ignition sources, electrostatic discharge and unauthorised access be controlled?</w:t>
      </w:r>
    </w:p>
    <w:p>
      <w:pPr>
        <w:pStyle w:val="ListBullet"/>
        <w:spacing w:after="60"/>
        <w:ind w:left="720" w:hanging="360"/>
      </w:pPr>
      <w:r>
        <w:t>What ventilation, housekeeping, spill-response and fire-response measures are required?</w:t>
      </w:r>
    </w:p>
    <w:p>
      <w:pPr>
        <w:pStyle w:val="ListBullet"/>
        <w:spacing w:after="60"/>
        <w:ind w:left="720" w:hanging="360"/>
      </w:pPr>
      <w:r>
        <w:t>What electrical equipment and area classification are required after a competent hazard assessment?</w:t>
      </w:r>
    </w:p>
    <w:p>
      <w:pPr>
        <w:pStyle w:val="ListBullet"/>
        <w:spacing w:after="60"/>
        <w:ind w:left="720" w:hanging="360"/>
      </w:pPr>
      <w:r>
        <w:t>How will dosing be enclosed and interlocked to minimise operator exposure?</w:t>
      </w:r>
    </w:p>
    <w:p>
      <w:pPr>
        <w:pStyle w:val="Heading2"/>
      </w:pPr>
      <w:r>
        <w:t>Powder, paste and primary slurry preparation</w:t>
      </w:r>
    </w:p>
    <w:p>
      <w:r>
        <w:t>Some AAC plants use controlled primary slurry preparation before final dosing, while some modern systems use aluminium paste dosing. Water temperature, addition sequence and dosing arrangement depend on the aluminium product, recipe and process-temperature strategy. “Chilled water” must not be specified as a universal requirement without process verification.</w:t>
      </w:r>
    </w:p>
    <w:p>
      <w:pPr>
        <w:pStyle w:val="VerificationNote"/>
      </w:pPr>
      <w:r>
        <w:t>Do not publish equipment-specific safety instructions until the aluminium supplier SDS and Laxmi’s qualified technical/safety reviewer approve them.</w:t>
      </w:r>
    </w:p>
    <w:p>
      <w:pPr>
        <w:pStyle w:val="Heading1"/>
      </w:pPr>
      <w:r>
        <w:t>Boiler Fuel Storage Interface</w:t>
      </w:r>
    </w:p>
    <w:p>
      <w:r>
        <w:t>Boiler-fuel storage depends on the selected boiler technology and fuel. Solid biomass, coal, liquid fuel, gas and other approved fuels require different receiving, fire, dust, moisture, environmental and feeding provisions. The AAC storage layout should reserve safe access and interfaces, while detailed fuel-storage design should be covered on the boiler and utilities page.</w:t>
      </w:r>
    </w:p>
    <w:p>
      <w:pPr>
        <w:pStyle w:val="Heading1"/>
      </w:pPr>
      <w:r>
        <w:t>What a Complete Silo System Should Consider</w:t>
      </w:r>
    </w:p>
    <w:p>
      <w:r>
        <w:t>A silo quotation should not be evaluated only by nominal volume and shell price. Depending on the material and project scope, the complete system may need to address:</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shd w:fill="0B1727"/>
            <w:vAlign w:val="center"/>
            <w:tcMar>
              <w:top w:w="90" w:type="dxa"/>
              <w:start w:w="120" w:type="dxa"/>
              <w:bottom w:w="90" w:type="dxa"/>
              <w:end w:w="120" w:type="dxa"/>
            </w:tcMar>
          </w:tcPr>
          <w:p>
            <w:r>
              <w:rPr>
                <w:b/>
                <w:color w:val="FFFFFF"/>
                <w:sz w:val="18"/>
              </w:rPr>
              <w:t>System area</w:t>
            </w:r>
          </w:p>
        </w:tc>
        <w:tc>
          <w:tcPr>
            <w:tcW w:type="dxa" w:w="7360"/>
            <w:shd w:fill="0B1727"/>
            <w:vAlign w:val="center"/>
            <w:tcMar>
              <w:top w:w="90" w:type="dxa"/>
              <w:start w:w="120" w:type="dxa"/>
              <w:bottom w:w="90" w:type="dxa"/>
              <w:end w:w="120" w:type="dxa"/>
            </w:tcMar>
          </w:tcPr>
          <w:p>
            <w:r>
              <w:rPr>
                <w:b/>
                <w:color w:val="FFFFFF"/>
                <w:sz w:val="18"/>
              </w:rPr>
              <w:t>Items to define before ordering</w:t>
            </w:r>
          </w:p>
        </w:tc>
      </w:tr>
      <w:tr>
        <w:tc>
          <w:tcPr>
            <w:tcW w:type="dxa" w:w="2000"/>
            <w:vAlign w:val="center"/>
            <w:tcMar>
              <w:top w:w="90" w:type="dxa"/>
              <w:start w:w="120" w:type="dxa"/>
              <w:bottom w:w="90" w:type="dxa"/>
              <w:end w:w="120" w:type="dxa"/>
            </w:tcMar>
          </w:tcPr>
          <w:p>
            <w:pPr>
              <w:spacing w:after="20" w:line="252" w:lineRule="auto"/>
            </w:pPr>
            <w:r>
              <w:rPr>
                <w:rFonts w:ascii="Arial" w:hAnsi="Arial"/>
                <w:color w:val="0B1727"/>
                <w:sz w:val="17"/>
              </w:rPr>
              <w:t>Receiving</w:t>
            </w:r>
          </w:p>
        </w:tc>
        <w:tc>
          <w:tcPr>
            <w:tcW w:type="dxa" w:w="7360"/>
            <w:vAlign w:val="center"/>
            <w:tcMar>
              <w:top w:w="90" w:type="dxa"/>
              <w:start w:w="120" w:type="dxa"/>
              <w:bottom w:w="90" w:type="dxa"/>
              <w:end w:w="120" w:type="dxa"/>
            </w:tcMar>
          </w:tcPr>
          <w:p>
            <w:pPr>
              <w:spacing w:after="20" w:line="252" w:lineRule="auto"/>
            </w:pPr>
            <w:r>
              <w:rPr>
                <w:rFonts w:ascii="Arial" w:hAnsi="Arial"/>
                <w:color w:val="0B1727"/>
                <w:sz w:val="17"/>
              </w:rPr>
              <w:t>Vehicle connection, unloading-air source, hose/pipe route, identification and access</w:t>
            </w:r>
          </w:p>
        </w:tc>
      </w:tr>
      <w:tr>
        <w:tc>
          <w:tcPr>
            <w:tcW w:type="dxa" w:w="2000"/>
            <w:shd w:fill="F5F7F8"/>
            <w:vAlign w:val="center"/>
            <w:tcMar>
              <w:top w:w="90" w:type="dxa"/>
              <w:start w:w="120" w:type="dxa"/>
              <w:bottom w:w="90" w:type="dxa"/>
              <w:end w:w="120" w:type="dxa"/>
            </w:tcMar>
          </w:tcPr>
          <w:p>
            <w:pPr>
              <w:spacing w:after="20" w:line="252" w:lineRule="auto"/>
            </w:pPr>
            <w:r>
              <w:rPr>
                <w:rFonts w:ascii="Arial" w:hAnsi="Arial"/>
                <w:color w:val="0B1727"/>
                <w:sz w:val="17"/>
              </w:rPr>
              <w:t>Silo and structure</w:t>
            </w:r>
          </w:p>
        </w:tc>
        <w:tc>
          <w:tcPr>
            <w:tcW w:type="dxa" w:w="7360"/>
            <w:shd w:fill="F5F7F8"/>
            <w:vAlign w:val="center"/>
            <w:tcMar>
              <w:top w:w="90" w:type="dxa"/>
              <w:start w:w="120" w:type="dxa"/>
              <w:bottom w:w="90" w:type="dxa"/>
              <w:end w:w="120" w:type="dxa"/>
            </w:tcMar>
          </w:tcPr>
          <w:p>
            <w:pPr>
              <w:spacing w:after="20" w:line="252" w:lineRule="auto"/>
            </w:pPr>
            <w:r>
              <w:rPr>
                <w:rFonts w:ascii="Arial" w:hAnsi="Arial"/>
                <w:color w:val="0B1727"/>
                <w:sz w:val="17"/>
              </w:rPr>
              <w:t>Material, geometry, usable capacity, design loads, supporting structure and foundation reactions</w:t>
            </w:r>
          </w:p>
        </w:tc>
      </w:tr>
      <w:tr>
        <w:tc>
          <w:tcPr>
            <w:tcW w:type="dxa" w:w="2000"/>
            <w:vAlign w:val="center"/>
            <w:tcMar>
              <w:top w:w="90" w:type="dxa"/>
              <w:start w:w="120" w:type="dxa"/>
              <w:bottom w:w="90" w:type="dxa"/>
              <w:end w:w="120" w:type="dxa"/>
            </w:tcMar>
          </w:tcPr>
          <w:p>
            <w:pPr>
              <w:spacing w:after="20" w:line="252" w:lineRule="auto"/>
            </w:pPr>
            <w:r>
              <w:rPr>
                <w:rFonts w:ascii="Arial" w:hAnsi="Arial"/>
                <w:color w:val="0B1727"/>
                <w:sz w:val="17"/>
              </w:rPr>
              <w:t>Filling protection</w:t>
            </w:r>
          </w:p>
        </w:tc>
        <w:tc>
          <w:tcPr>
            <w:tcW w:type="dxa" w:w="7360"/>
            <w:vAlign w:val="center"/>
            <w:tcMar>
              <w:top w:w="90" w:type="dxa"/>
              <w:start w:w="120" w:type="dxa"/>
              <w:bottom w:w="90" w:type="dxa"/>
              <w:end w:w="120" w:type="dxa"/>
            </w:tcMar>
          </w:tcPr>
          <w:p>
            <w:pPr>
              <w:spacing w:after="20" w:line="252" w:lineRule="auto"/>
            </w:pPr>
            <w:r>
              <w:rPr>
                <w:rFonts w:ascii="Arial" w:hAnsi="Arial"/>
                <w:color w:val="0B1727"/>
                <w:sz w:val="17"/>
              </w:rPr>
              <w:t>Bin-vent filter, high-level alarm/interlock, pressure/vacuum protection and safe venting</w:t>
            </w:r>
          </w:p>
        </w:tc>
      </w:tr>
      <w:tr>
        <w:tc>
          <w:tcPr>
            <w:tcW w:type="dxa" w:w="2000"/>
            <w:shd w:fill="F5F7F8"/>
            <w:vAlign w:val="center"/>
            <w:tcMar>
              <w:top w:w="90" w:type="dxa"/>
              <w:start w:w="120" w:type="dxa"/>
              <w:bottom w:w="90" w:type="dxa"/>
              <w:end w:w="120" w:type="dxa"/>
            </w:tcMar>
          </w:tcPr>
          <w:p>
            <w:pPr>
              <w:spacing w:after="20" w:line="252" w:lineRule="auto"/>
            </w:pPr>
            <w:r>
              <w:rPr>
                <w:rFonts w:ascii="Arial" w:hAnsi="Arial"/>
                <w:color w:val="0B1727"/>
                <w:sz w:val="17"/>
              </w:rPr>
              <w:t>Inventory control</w:t>
            </w:r>
          </w:p>
        </w:tc>
        <w:tc>
          <w:tcPr>
            <w:tcW w:type="dxa" w:w="7360"/>
            <w:shd w:fill="F5F7F8"/>
            <w:vAlign w:val="center"/>
            <w:tcMar>
              <w:top w:w="90" w:type="dxa"/>
              <w:start w:w="120" w:type="dxa"/>
              <w:bottom w:w="90" w:type="dxa"/>
              <w:end w:w="120" w:type="dxa"/>
            </w:tcMar>
          </w:tcPr>
          <w:p>
            <w:pPr>
              <w:spacing w:after="20" w:line="252" w:lineRule="auto"/>
            </w:pPr>
            <w:r>
              <w:rPr>
                <w:rFonts w:ascii="Arial" w:hAnsi="Arial"/>
                <w:color w:val="0B1727"/>
                <w:sz w:val="17"/>
              </w:rPr>
              <w:t>Point-level switches, continuous level measurement, reconciliation and PLC/SCADA display</w:t>
            </w:r>
          </w:p>
        </w:tc>
      </w:tr>
      <w:tr>
        <w:tc>
          <w:tcPr>
            <w:tcW w:type="dxa" w:w="2000"/>
            <w:vAlign w:val="center"/>
            <w:tcMar>
              <w:top w:w="90" w:type="dxa"/>
              <w:start w:w="120" w:type="dxa"/>
              <w:bottom w:w="90" w:type="dxa"/>
              <w:end w:w="120" w:type="dxa"/>
            </w:tcMar>
          </w:tcPr>
          <w:p>
            <w:pPr>
              <w:spacing w:after="20" w:line="252" w:lineRule="auto"/>
            </w:pPr>
            <w:r>
              <w:rPr>
                <w:rFonts w:ascii="Arial" w:hAnsi="Arial"/>
                <w:color w:val="0B1727"/>
                <w:sz w:val="17"/>
              </w:rPr>
              <w:t>Discharge</w:t>
            </w:r>
          </w:p>
        </w:tc>
        <w:tc>
          <w:tcPr>
            <w:tcW w:type="dxa" w:w="7360"/>
            <w:vAlign w:val="center"/>
            <w:tcMar>
              <w:top w:w="90" w:type="dxa"/>
              <w:start w:w="120" w:type="dxa"/>
              <w:bottom w:w="90" w:type="dxa"/>
              <w:end w:w="120" w:type="dxa"/>
            </w:tcMar>
          </w:tcPr>
          <w:p>
            <w:pPr>
              <w:spacing w:after="20" w:line="252" w:lineRule="auto"/>
            </w:pPr>
            <w:r>
              <w:rPr>
                <w:rFonts w:ascii="Arial" w:hAnsi="Arial"/>
                <w:color w:val="0B1727"/>
                <w:sz w:val="17"/>
              </w:rPr>
              <w:t>Cone geometry, flow aids, isolation, feeder, screw/air slide/rotary valve and flexible connections</w:t>
            </w:r>
          </w:p>
        </w:tc>
      </w:tr>
      <w:tr>
        <w:tc>
          <w:tcPr>
            <w:tcW w:type="dxa" w:w="2000"/>
            <w:shd w:fill="F5F7F8"/>
            <w:vAlign w:val="center"/>
            <w:tcMar>
              <w:top w:w="90" w:type="dxa"/>
              <w:start w:w="120" w:type="dxa"/>
              <w:bottom w:w="90" w:type="dxa"/>
              <w:end w:w="120" w:type="dxa"/>
            </w:tcMar>
          </w:tcPr>
          <w:p>
            <w:pPr>
              <w:spacing w:after="20" w:line="252" w:lineRule="auto"/>
            </w:pPr>
            <w:r>
              <w:rPr>
                <w:rFonts w:ascii="Arial" w:hAnsi="Arial"/>
                <w:color w:val="0B1727"/>
                <w:sz w:val="17"/>
              </w:rPr>
              <w:t>Dust and housekeeping</w:t>
            </w:r>
          </w:p>
        </w:tc>
        <w:tc>
          <w:tcPr>
            <w:tcW w:type="dxa" w:w="7360"/>
            <w:shd w:fill="F5F7F8"/>
            <w:vAlign w:val="center"/>
            <w:tcMar>
              <w:top w:w="90" w:type="dxa"/>
              <w:start w:w="120" w:type="dxa"/>
              <w:bottom w:w="90" w:type="dxa"/>
              <w:end w:w="120" w:type="dxa"/>
            </w:tcMar>
          </w:tcPr>
          <w:p>
            <w:pPr>
              <w:spacing w:after="20" w:line="252" w:lineRule="auto"/>
            </w:pPr>
            <w:r>
              <w:rPr>
                <w:rFonts w:ascii="Arial" w:hAnsi="Arial"/>
                <w:color w:val="0B1727"/>
                <w:sz w:val="17"/>
              </w:rPr>
              <w:t>Extraction, sealed transfer points, spill collection and maintenance access</w:t>
            </w:r>
          </w:p>
        </w:tc>
      </w:tr>
      <w:tr>
        <w:tc>
          <w:tcPr>
            <w:tcW w:type="dxa" w:w="2000"/>
            <w:vAlign w:val="center"/>
            <w:tcMar>
              <w:top w:w="90" w:type="dxa"/>
              <w:start w:w="120" w:type="dxa"/>
              <w:bottom w:w="90" w:type="dxa"/>
              <w:end w:w="120" w:type="dxa"/>
            </w:tcMar>
          </w:tcPr>
          <w:p>
            <w:pPr>
              <w:spacing w:after="20" w:line="252" w:lineRule="auto"/>
            </w:pPr>
            <w:r>
              <w:rPr>
                <w:rFonts w:ascii="Arial" w:hAnsi="Arial"/>
                <w:color w:val="0B1727"/>
                <w:sz w:val="17"/>
              </w:rPr>
              <w:t>Safety and access</w:t>
            </w:r>
          </w:p>
        </w:tc>
        <w:tc>
          <w:tcPr>
            <w:tcW w:type="dxa" w:w="7360"/>
            <w:vAlign w:val="center"/>
            <w:tcMar>
              <w:top w:w="90" w:type="dxa"/>
              <w:start w:w="120" w:type="dxa"/>
              <w:bottom w:w="90" w:type="dxa"/>
              <w:end w:w="120" w:type="dxa"/>
            </w:tcMar>
          </w:tcPr>
          <w:p>
            <w:pPr>
              <w:spacing w:after="20" w:line="252" w:lineRule="auto"/>
            </w:pPr>
            <w:r>
              <w:rPr>
                <w:rFonts w:ascii="Arial" w:hAnsi="Arial"/>
                <w:color w:val="0B1727"/>
                <w:sz w:val="17"/>
              </w:rPr>
              <w:t>Earthing/bonding, ladders/platforms, guarding, confined-space controls and work-at-height provisions</w:t>
            </w:r>
          </w:p>
        </w:tc>
      </w:tr>
      <w:tr>
        <w:tc>
          <w:tcPr>
            <w:tcW w:type="dxa" w:w="2000"/>
            <w:shd w:fill="F5F7F8"/>
            <w:vAlign w:val="center"/>
            <w:tcMar>
              <w:top w:w="90" w:type="dxa"/>
              <w:start w:w="120" w:type="dxa"/>
              <w:bottom w:w="90" w:type="dxa"/>
              <w:end w:w="120" w:type="dxa"/>
            </w:tcMar>
          </w:tcPr>
          <w:p>
            <w:pPr>
              <w:spacing w:after="20" w:line="252" w:lineRule="auto"/>
            </w:pPr>
            <w:r>
              <w:rPr>
                <w:rFonts w:ascii="Arial" w:hAnsi="Arial"/>
                <w:color w:val="0B1727"/>
                <w:sz w:val="17"/>
              </w:rPr>
              <w:t>Controls</w:t>
            </w:r>
          </w:p>
        </w:tc>
        <w:tc>
          <w:tcPr>
            <w:tcW w:type="dxa" w:w="7360"/>
            <w:shd w:fill="F5F7F8"/>
            <w:vAlign w:val="center"/>
            <w:tcMar>
              <w:top w:w="90" w:type="dxa"/>
              <w:start w:w="120" w:type="dxa"/>
              <w:bottom w:w="90" w:type="dxa"/>
              <w:end w:w="120" w:type="dxa"/>
            </w:tcMar>
          </w:tcPr>
          <w:p>
            <w:pPr>
              <w:spacing w:after="20" w:line="252" w:lineRule="auto"/>
            </w:pPr>
            <w:r>
              <w:rPr>
                <w:rFonts w:ascii="Arial" w:hAnsi="Arial"/>
                <w:color w:val="0B1727"/>
                <w:sz w:val="17"/>
              </w:rPr>
              <w:t>Permissives, interlocks, alarms, emergency response and manual-maintenance modes</w:t>
            </w:r>
          </w:p>
        </w:tc>
      </w:tr>
      <w:tr>
        <w:tc>
          <w:tcPr>
            <w:tcW w:type="dxa" w:w="2000"/>
            <w:vAlign w:val="center"/>
            <w:tcMar>
              <w:top w:w="90" w:type="dxa"/>
              <w:start w:w="120" w:type="dxa"/>
              <w:bottom w:w="90" w:type="dxa"/>
              <w:end w:w="120" w:type="dxa"/>
            </w:tcMar>
          </w:tcPr>
          <w:p>
            <w:pPr>
              <w:spacing w:after="20" w:line="252" w:lineRule="auto"/>
            </w:pPr>
            <w:r>
              <w:rPr>
                <w:rFonts w:ascii="Arial" w:hAnsi="Arial"/>
                <w:color w:val="0B1727"/>
                <w:sz w:val="17"/>
              </w:rPr>
              <w:t>Scope boundary</w:t>
            </w:r>
          </w:p>
        </w:tc>
        <w:tc>
          <w:tcPr>
            <w:tcW w:type="dxa" w:w="7360"/>
            <w:vAlign w:val="center"/>
            <w:tcMar>
              <w:top w:w="90" w:type="dxa"/>
              <w:start w:w="120" w:type="dxa"/>
              <w:bottom w:w="90" w:type="dxa"/>
              <w:end w:w="120" w:type="dxa"/>
            </w:tcMar>
          </w:tcPr>
          <w:p>
            <w:pPr>
              <w:spacing w:after="20" w:line="252" w:lineRule="auto"/>
            </w:pPr>
            <w:r>
              <w:rPr>
                <w:rFonts w:ascii="Arial" w:hAnsi="Arial"/>
                <w:color w:val="0B1727"/>
                <w:sz w:val="17"/>
              </w:rPr>
              <w:t>Supplier, client and third-party responsibilities for equipment, civil, electrical, erection and commissioning</w:t>
            </w:r>
          </w:p>
        </w:tc>
      </w:tr>
    </w:tbl>
    <w:p>
      <w:pPr>
        <w:spacing w:after="20"/>
      </w:pPr>
    </w:p>
    <w:p>
      <w:pPr>
        <w:pStyle w:val="Heading1"/>
      </w:pPr>
      <w:r>
        <w:t>Utilities, Manpower and Maintenance</w:t>
      </w:r>
    </w:p>
    <w:p>
      <w:pPr>
        <w:pStyle w:val="Heading2"/>
      </w:pPr>
      <w:r>
        <w:t>Utilities</w:t>
      </w:r>
    </w:p>
    <w:p>
      <w:r>
        <w:t>Pneumatic conveying can require substantial compressed-air or blower power during unloading. Dust collectors may require compressed-air cleaning. Water used for dust suppression or slurry preparation affects site water balance. Utility duty should be calculated from selected equipment and operating cycles.</w:t>
      </w:r>
    </w:p>
    <w:p>
      <w:pPr>
        <w:pStyle w:val="Heading2"/>
      </w:pPr>
      <w:r>
        <w:t>Manpower and operating access</w:t>
      </w:r>
    </w:p>
    <w:p>
      <w:r>
        <w:t>Automation can reduce repetitive handling, but receiving vehicles, opening bags, sampling materials, inspecting filters and responding to alarms still require defined responsibilities and safe access. Staffing claims should be based on the final system and operating philosophy.</w:t>
      </w:r>
    </w:p>
    <w:p>
      <w:pPr>
        <w:pStyle w:val="Heading2"/>
      </w:pPr>
      <w:r>
        <w:t>Maintenance</w:t>
      </w:r>
    </w:p>
    <w:p>
      <w:pPr>
        <w:pStyle w:val="ListBullet"/>
        <w:spacing w:after="60"/>
        <w:ind w:left="720" w:hanging="360"/>
      </w:pPr>
      <w:r>
        <w:t>Inspect and service bin-vent filters and pressure-protection devices.</w:t>
      </w:r>
    </w:p>
    <w:p>
      <w:pPr>
        <w:pStyle w:val="ListBullet"/>
        <w:spacing w:after="60"/>
        <w:ind w:left="720" w:hanging="360"/>
      </w:pPr>
      <w:r>
        <w:t>Check level instruments and overfill interlocks.</w:t>
      </w:r>
    </w:p>
    <w:p>
      <w:pPr>
        <w:pStyle w:val="ListBullet"/>
        <w:spacing w:after="60"/>
        <w:ind w:left="720" w:hanging="360"/>
      </w:pPr>
      <w:r>
        <w:t>Inspect blower/compressor, conveying pipelines, bends and flexible connections.</w:t>
      </w:r>
    </w:p>
    <w:p>
      <w:pPr>
        <w:pStyle w:val="ListBullet"/>
        <w:spacing w:after="60"/>
        <w:ind w:left="720" w:hanging="360"/>
      </w:pPr>
      <w:r>
        <w:t>Monitor discharge valves, screws, feeders and flow-aid systems.</w:t>
      </w:r>
    </w:p>
    <w:p>
      <w:pPr>
        <w:pStyle w:val="ListBullet"/>
        <w:spacing w:after="60"/>
        <w:ind w:left="720" w:hanging="360"/>
      </w:pPr>
      <w:r>
        <w:t>Prevent material accumulation and cross-contamination.</w:t>
      </w:r>
    </w:p>
    <w:p>
      <w:pPr>
        <w:pStyle w:val="ListBullet"/>
        <w:spacing w:after="60"/>
        <w:ind w:left="720" w:hanging="360"/>
      </w:pPr>
      <w:r>
        <w:t>Maintain platforms, guards, earthing/bonding and access controls.</w:t>
      </w:r>
    </w:p>
    <w:p>
      <w:pPr>
        <w:pStyle w:val="ListBullet"/>
        <w:spacing w:after="60"/>
        <w:ind w:left="720" w:hanging="360"/>
      </w:pPr>
      <w:r>
        <w:t>Use safe isolation and confined-space procedures before internal inspection.</w:t>
      </w:r>
    </w:p>
    <w:p>
      <w:pPr>
        <w:pStyle w:val="Heading1"/>
      </w:pPr>
      <w:r>
        <w:t>Common Raw Material Storage Planning Mistakes</w:t>
      </w:r>
    </w:p>
    <w:p>
      <w:pPr>
        <w:pStyle w:val="ListNumber"/>
        <w:spacing w:after="60"/>
        <w:ind w:left="720" w:hanging="360"/>
      </w:pPr>
      <w:r>
        <w:t>Sizing silos from plant output without a verified recipe and bulk density.</w:t>
      </w:r>
    </w:p>
    <w:p>
      <w:pPr>
        <w:pStyle w:val="ListNumber"/>
        <w:spacing w:after="60"/>
        <w:ind w:left="720" w:hanging="360"/>
      </w:pPr>
      <w:r>
        <w:t>Ignoring the full delivery lot and available free capacity before unloading.</w:t>
      </w:r>
    </w:p>
    <w:p>
      <w:pPr>
        <w:pStyle w:val="ListNumber"/>
        <w:spacing w:after="60"/>
        <w:ind w:left="720" w:hanging="360"/>
      </w:pPr>
      <w:r>
        <w:t>Treating gross silo volume as fully usable inventory.</w:t>
      </w:r>
    </w:p>
    <w:p>
      <w:pPr>
        <w:pStyle w:val="ListNumber"/>
        <w:spacing w:after="60"/>
        <w:ind w:left="720" w:hanging="360"/>
      </w:pPr>
      <w:r>
        <w:t>Locating silos without checking vehicle access, foundations and future expansion.</w:t>
      </w:r>
    </w:p>
    <w:p>
      <w:pPr>
        <w:pStyle w:val="ListNumber"/>
        <w:spacing w:after="60"/>
        <w:ind w:left="720" w:hanging="360"/>
      </w:pPr>
      <w:r>
        <w:t>Assuming one conveying arrangement suits fly ash, cement and lime without material assessment.</w:t>
      </w:r>
    </w:p>
    <w:p>
      <w:pPr>
        <w:pStyle w:val="ListNumber"/>
        <w:spacing w:after="60"/>
        <w:ind w:left="720" w:hanging="360"/>
      </w:pPr>
      <w:r>
        <w:t>Providing a stockyard without monsoon drainage or moisture-control strategy.</w:t>
      </w:r>
    </w:p>
    <w:p>
      <w:pPr>
        <w:pStyle w:val="ListNumber"/>
        <w:spacing w:after="60"/>
        <w:ind w:left="720" w:hanging="360"/>
      </w:pPr>
      <w:r>
        <w:t>Treating pond ash, bottom ash and fly ash as interchangeable.</w:t>
      </w:r>
    </w:p>
    <w:p>
      <w:pPr>
        <w:pStyle w:val="ListNumber"/>
        <w:spacing w:after="60"/>
        <w:ind w:left="720" w:hanging="360"/>
      </w:pPr>
      <w:r>
        <w:t>Designing aluminium handling as ordinary powder handling.</w:t>
      </w:r>
    </w:p>
    <w:p>
      <w:pPr>
        <w:pStyle w:val="ListNumber"/>
        <w:spacing w:after="60"/>
        <w:ind w:left="720" w:hanging="360"/>
      </w:pPr>
      <w:r>
        <w:t>Buying a silo without defining filters, level controls, discharge equipment and scope boundaries.</w:t>
      </w:r>
    </w:p>
    <w:p>
      <w:pPr>
        <w:pStyle w:val="ListNumber"/>
        <w:spacing w:after="60"/>
        <w:ind w:left="720" w:hanging="360"/>
      </w:pPr>
      <w:r>
        <w:t>Automating minor ingredients without checking minimum feed rate, calibration and maintenance capability.</w:t>
      </w:r>
    </w:p>
    <w:p>
      <w:pPr>
        <w:pStyle w:val="Heading1"/>
      </w:pPr>
      <w:r>
        <w:t>Information Required for a Project-Specific Storage Concept</w:t>
      </w:r>
    </w:p>
    <w:p>
      <w:r>
        <w:t>Before recommending silo or stockyard capacity, the engineering team should receive:</w:t>
      </w:r>
    </w:p>
    <w:p>
      <w:pPr>
        <w:pStyle w:val="ListBullet"/>
        <w:spacing w:after="60"/>
        <w:ind w:left="720" w:hanging="360"/>
      </w:pPr>
      <w:r>
        <w:t>Planned initial and future production capacity in m³/day.</w:t>
      </w:r>
    </w:p>
    <w:p>
      <w:pPr>
        <w:pStyle w:val="ListBullet"/>
        <w:spacing w:after="60"/>
        <w:ind w:left="720" w:hanging="360"/>
      </w:pPr>
      <w:r>
        <w:t>Proposed product mix and operating hours/days.</w:t>
      </w:r>
    </w:p>
    <w:p>
      <w:pPr>
        <w:pStyle w:val="ListBullet"/>
        <w:spacing w:after="60"/>
        <w:ind w:left="720" w:hanging="360"/>
      </w:pPr>
      <w:r>
        <w:t>Verified raw-material recipe or consumption basis.</w:t>
      </w:r>
    </w:p>
    <w:p>
      <w:pPr>
        <w:pStyle w:val="ListBullet"/>
        <w:spacing w:after="60"/>
        <w:ind w:left="720" w:hanging="360"/>
      </w:pPr>
      <w:r>
        <w:t>Material source, specification and representative test data.</w:t>
      </w:r>
    </w:p>
    <w:p>
      <w:pPr>
        <w:pStyle w:val="ListBullet"/>
        <w:spacing w:after="60"/>
        <w:ind w:left="720" w:hanging="360"/>
      </w:pPr>
      <w:r>
        <w:t>Supply form: bulker, tanker, truck, jumbo bag or small bags.</w:t>
      </w:r>
    </w:p>
    <w:p>
      <w:pPr>
        <w:pStyle w:val="ListBullet"/>
        <w:spacing w:after="60"/>
        <w:ind w:left="720" w:hanging="360"/>
      </w:pPr>
      <w:r>
        <w:t>Supplier location, delivery lead time, lot size and seasonal reliability.</w:t>
      </w:r>
    </w:p>
    <w:p>
      <w:pPr>
        <w:pStyle w:val="ListBullet"/>
        <w:spacing w:after="60"/>
        <w:ind w:left="720" w:hanging="360"/>
      </w:pPr>
      <w:r>
        <w:t>Loose bulk density, moisture and flow characteristics where applicable.</w:t>
      </w:r>
    </w:p>
    <w:p>
      <w:pPr>
        <w:pStyle w:val="ListBullet"/>
        <w:spacing w:after="60"/>
        <w:ind w:left="720" w:hanging="360"/>
      </w:pPr>
      <w:r>
        <w:t>Available site layout, levels, road entry and vehicle turning constraints.</w:t>
      </w:r>
    </w:p>
    <w:p>
      <w:pPr>
        <w:pStyle w:val="ListBullet"/>
        <w:spacing w:after="60"/>
        <w:ind w:left="720" w:hanging="360"/>
      </w:pPr>
      <w:r>
        <w:t>Target automation level and PLC/SCADA interface.</w:t>
      </w:r>
    </w:p>
    <w:p>
      <w:pPr>
        <w:pStyle w:val="ListBullet"/>
        <w:spacing w:after="60"/>
        <w:ind w:left="720" w:hanging="360"/>
      </w:pPr>
      <w:r>
        <w:t>Applicable environmental, fire, electrical and statutory requirements.</w:t>
      </w:r>
    </w:p>
    <w:p>
      <w:pPr>
        <w:pStyle w:val="Heading1"/>
      </w:pPr>
      <w:r>
        <w:t>Planning Raw Material Storage for Future Expansion</w:t>
      </w:r>
    </w:p>
    <w:p>
      <w:r>
        <w:t>Storage should be coordinated with the overall AAC plant layout before civil construction. Silo foundations, structural loads, fill and discharge routes, stockyard area, loader roads, crane or bag-unloading access, electrical panels, pipelines and reserved expansion space should be evaluated together.</w:t>
      </w:r>
    </w:p>
    <w:p>
      <w:pPr>
        <w:pStyle w:val="LeadAnswer"/>
      </w:pPr>
      <w:r>
        <w:t>The best expansion strategy is not always the largest silo. It is the arrangement that preserves a practical route to future production while controlling present capital cost, inventory and operating risk.</w:t>
      </w:r>
    </w:p>
    <w:p>
      <w:pPr>
        <w:pStyle w:val="Heading1"/>
      </w:pPr>
      <w:r>
        <w:t>Frequently Asked Questions</w:t>
      </w:r>
    </w:p>
    <w:p>
      <w:pPr>
        <w:pStyle w:val="Heading2"/>
      </w:pPr>
      <w:r>
        <w:t>How is AAC silo capacity calculated?</w:t>
      </w:r>
    </w:p>
    <w:p>
      <w:r>
        <w:t>Start with verified daily consumption and required inventory days, then check delivery-lot size and convert mass to volume using verified loose bulk density. Adjust for usable filling volume, residual material and future capacity.</w:t>
      </w:r>
    </w:p>
    <w:p>
      <w:pPr>
        <w:pStyle w:val="Heading2"/>
      </w:pPr>
      <w:r>
        <w:t>How many days of raw-material inventory should an AAC plant maintain?</w:t>
      </w:r>
    </w:p>
    <w:p>
      <w:r>
        <w:t>There is no universal number. Decide material by material using supplier reliability, delivery lead time, seasonal disruption, working capital, delivery lot and production criticality.</w:t>
      </w:r>
    </w:p>
    <w:p>
      <w:pPr>
        <w:pStyle w:val="Heading2"/>
      </w:pPr>
      <w:r>
        <w:t>Should a silo accept one full bulker load?</w:t>
      </w:r>
    </w:p>
    <w:p>
      <w:r>
        <w:t>The available free usable capacity should be checked against the planned delivery lot before unloading. The appropriate margin depends on the delivery and overfill-control strategy.</w:t>
      </w:r>
    </w:p>
    <w:p>
      <w:pPr>
        <w:pStyle w:val="Heading2"/>
      </w:pPr>
      <w:r>
        <w:t>Can cement, lime and fly ash use the same conveying line?</w:t>
      </w:r>
    </w:p>
    <w:p>
      <w:r>
        <w:t>Shared equipment may create contamination, flow and operating risks. The feasibility must be evaluated for material compatibility, cleaning, conveying duty and production sequence.</w:t>
      </w:r>
    </w:p>
    <w:p>
      <w:pPr>
        <w:pStyle w:val="Heading2"/>
      </w:pPr>
      <w:r>
        <w:t>When is a gypsum silo justified?</w:t>
      </w:r>
    </w:p>
    <w:p>
      <w:r>
        <w:t>Consider a silo when consumption, bag-handling burden, dosing repeatability and production requirements justify the capital and maintenance involved.</w:t>
      </w:r>
    </w:p>
    <w:p>
      <w:pPr>
        <w:pStyle w:val="Heading2"/>
      </w:pPr>
      <w:r>
        <w:t>Should sand or pond ash be stored under a shed?</w:t>
      </w:r>
    </w:p>
    <w:p>
      <w:r>
        <w:t>It depends on rainfall, dust, drainage, moisture sensitivity, process control, environmental conditions and economics. Covered storage can reduce direct weather exposure but does not replace drainage and housekeeping.</w:t>
      </w:r>
    </w:p>
    <w:p>
      <w:pPr>
        <w:pStyle w:val="Heading2"/>
      </w:pPr>
      <w:r>
        <w:t>Is aluminium powder handled like cement or lime?</w:t>
      </w:r>
    </w:p>
    <w:p>
      <w:r>
        <w:t>No. Fine aluminium powder can present significant fire and dust-explosion hazards. Follow the product SDS, supplier guidance and a competent project-specific hazard assessment.</w:t>
      </w:r>
    </w:p>
    <w:p>
      <w:pPr>
        <w:pStyle w:val="Heading2"/>
      </w:pPr>
      <w:r>
        <w:t>Should silos be oversized for future expansion?</w:t>
      </w:r>
    </w:p>
    <w:p>
      <w:r>
        <w:t>Sometimes. Also compare expansion-ready foundations/layout and a future parallel silo. The decision should consider expansion certainty, downtime, capital and redundancy.</w:t>
      </w:r>
    </w:p>
    <w:p>
      <w:pPr>
        <w:pStyle w:val="Heading2"/>
      </w:pPr>
      <w:r>
        <w:t>What must be included with an AAC silo?</w:t>
      </w:r>
    </w:p>
    <w:p>
      <w:r>
        <w:t>Define receiving, filtration, pressure protection, level control, discharge equipment, structure, access, controls, civil loads, erection, testing and supplier/client scope.</w:t>
      </w:r>
    </w:p>
    <w:p>
      <w:pPr>
        <w:pStyle w:val="Heading2"/>
      </w:pPr>
      <w:r>
        <w:t>What should be finalised before silo foundations are built?</w:t>
      </w:r>
    </w:p>
    <w:p>
      <w:r>
        <w:t>Confirm the material, capacity basis, delivery arrangement, silo loads and geometry, vehicle access, transfer routes, discharge interfaces and future expansion concept.</w:t>
      </w:r>
    </w:p>
    <w:p>
      <w:pPr>
        <w:pStyle w:val="Heading1"/>
      </w:pPr>
      <w:r>
        <w:t>Plan the Storage System Before Civil Layout Finalisation</w:t>
      </w:r>
    </w:p>
    <w:p>
      <w:r>
        <w:t>Raw material storage should be planned as part of one material-flow system: receiving → storage → preparation → batching → AAC production. Laxmi En-Fab Pvt. Ltd. can review a proposed storage and handling concept against the project’s planned capacity, raw-material sources, delivery methods, automation level, site constraints and expansion target. Final recommendations remain subject to technical verification and agreed engineering scope.</w:t>
      </w:r>
    </w:p>
    <w:p>
      <w:pPr>
        <w:pStyle w:val="LeadAnswer"/>
      </w:pPr>
      <w:r>
        <w:t>PRIMARY CTA — Request a Raw-Material Storage &amp; Layout Review</w:t>
      </w:r>
    </w:p>
    <w:p>
      <w:r>
        <w:t>Share the proposed plant capacity, project location, raw-material sources, delivery formats and future expansion target. This allows the first discussion to focus on practical storage, unloading, layout and scope decisions.</w:t>
      </w:r>
    </w:p>
    <w:p>
      <w:r>
        <w:t>SECONDARY CTA — Download the Raw-Material Storage Planning Input Checklist</w:t>
      </w:r>
    </w:p>
    <w:p>
      <w:pPr>
        <w:pStyle w:val="Heading1"/>
      </w:pPr>
      <w:r>
        <w:t>Technical Review and Publication Notes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727"/>
            <w:vAlign w:val="center"/>
            <w:tcMar>
              <w:top w:w="90" w:type="dxa"/>
              <w:start w:w="120" w:type="dxa"/>
              <w:bottom w:w="90" w:type="dxa"/>
              <w:end w:w="120" w:type="dxa"/>
            </w:tcMar>
          </w:tcPr>
          <w:p>
            <w:r>
              <w:rPr>
                <w:b/>
                <w:color w:val="FFFFFF"/>
                <w:sz w:val="18"/>
              </w:rPr>
              <w:t>Field</w:t>
            </w:r>
          </w:p>
        </w:tc>
        <w:tc>
          <w:tcPr>
            <w:tcW w:type="dxa" w:w="7160"/>
            <w:shd w:fill="0B1727"/>
            <w:vAlign w:val="center"/>
            <w:tcMar>
              <w:top w:w="90" w:type="dxa"/>
              <w:start w:w="120" w:type="dxa"/>
              <w:bottom w:w="90" w:type="dxa"/>
              <w:end w:w="120" w:type="dxa"/>
            </w:tcMar>
          </w:tcPr>
          <w:p>
            <w:r>
              <w:rPr>
                <w:b/>
                <w:color w:val="FFFFFF"/>
                <w:sz w:val="18"/>
              </w:rPr>
              <w:t>Publication requirement</w:t>
            </w:r>
          </w:p>
        </w:tc>
      </w:tr>
      <w:tr>
        <w:tc>
          <w:tcPr>
            <w:tcW w:type="dxa" w:w="2200"/>
            <w:vAlign w:val="center"/>
            <w:tcMar>
              <w:top w:w="90" w:type="dxa"/>
              <w:start w:w="120" w:type="dxa"/>
              <w:bottom w:w="90" w:type="dxa"/>
              <w:end w:w="120" w:type="dxa"/>
            </w:tcMar>
          </w:tcPr>
          <w:p>
            <w:pPr>
              <w:spacing w:after="20" w:line="252" w:lineRule="auto"/>
            </w:pPr>
            <w:r>
              <w:rPr>
                <w:rFonts w:ascii="Arial" w:hAnsi="Arial"/>
                <w:color w:val="0B1727"/>
                <w:sz w:val="17"/>
              </w:rPr>
              <w:t>Prepared for</w:t>
            </w:r>
          </w:p>
        </w:tc>
        <w:tc>
          <w:tcPr>
            <w:tcW w:type="dxa" w:w="7160"/>
            <w:vAlign w:val="center"/>
            <w:tcMar>
              <w:top w:w="90" w:type="dxa"/>
              <w:start w:w="120" w:type="dxa"/>
              <w:bottom w:w="90" w:type="dxa"/>
              <w:end w:w="120" w:type="dxa"/>
            </w:tcMar>
          </w:tcPr>
          <w:p>
            <w:pPr>
              <w:spacing w:after="20" w:line="252" w:lineRule="auto"/>
            </w:pPr>
            <w:r>
              <w:rPr>
                <w:rFonts w:ascii="Arial" w:hAnsi="Arial"/>
                <w:color w:val="0B1727"/>
                <w:sz w:val="17"/>
              </w:rPr>
              <w:t>Laxmi En-Fab Pvt. Ltd.</w:t>
            </w:r>
          </w:p>
        </w:tc>
      </w:tr>
      <w:tr>
        <w:tc>
          <w:tcPr>
            <w:tcW w:type="dxa" w:w="2200"/>
            <w:shd w:fill="F5F7F8"/>
            <w:vAlign w:val="center"/>
            <w:tcMar>
              <w:top w:w="90" w:type="dxa"/>
              <w:start w:w="120" w:type="dxa"/>
              <w:bottom w:w="90" w:type="dxa"/>
              <w:end w:w="120" w:type="dxa"/>
            </w:tcMar>
          </w:tcPr>
          <w:p>
            <w:pPr>
              <w:spacing w:after="20" w:line="252" w:lineRule="auto"/>
            </w:pPr>
            <w:r>
              <w:rPr>
                <w:rFonts w:ascii="Arial" w:hAnsi="Arial"/>
                <w:color w:val="0B1727"/>
                <w:sz w:val="17"/>
              </w:rPr>
              <w:t>Market</w:t>
            </w:r>
          </w:p>
        </w:tc>
        <w:tc>
          <w:tcPr>
            <w:tcW w:type="dxa" w:w="7160"/>
            <w:shd w:fill="F5F7F8"/>
            <w:vAlign w:val="center"/>
            <w:tcMar>
              <w:top w:w="90" w:type="dxa"/>
              <w:start w:w="120" w:type="dxa"/>
              <w:bottom w:w="90" w:type="dxa"/>
              <w:end w:w="120" w:type="dxa"/>
            </w:tcMar>
          </w:tcPr>
          <w:p>
            <w:pPr>
              <w:spacing w:after="20" w:line="252" w:lineRule="auto"/>
            </w:pPr>
            <w:r>
              <w:rPr>
                <w:rFonts w:ascii="Arial" w:hAnsi="Arial"/>
                <w:color w:val="0B1727"/>
                <w:sz w:val="17"/>
              </w:rPr>
              <w:t>India; relevant to international buyers where local logistics and regulations are separately verified</w:t>
            </w:r>
          </w:p>
        </w:tc>
      </w:tr>
      <w:tr>
        <w:tc>
          <w:tcPr>
            <w:tcW w:type="dxa" w:w="2200"/>
            <w:vAlign w:val="center"/>
            <w:tcMar>
              <w:top w:w="90" w:type="dxa"/>
              <w:start w:w="120" w:type="dxa"/>
              <w:bottom w:w="90" w:type="dxa"/>
              <w:end w:w="120" w:type="dxa"/>
            </w:tcMar>
          </w:tcPr>
          <w:p>
            <w:pPr>
              <w:spacing w:after="20" w:line="252" w:lineRule="auto"/>
            </w:pPr>
            <w:r>
              <w:rPr>
                <w:rFonts w:ascii="Arial" w:hAnsi="Arial"/>
                <w:color w:val="0B1727"/>
                <w:sz w:val="17"/>
              </w:rPr>
              <w:t>Technical author</w:t>
            </w:r>
          </w:p>
        </w:tc>
        <w:tc>
          <w:tcPr>
            <w:tcW w:type="dxa" w:w="7160"/>
            <w:vAlign w:val="center"/>
            <w:tcMar>
              <w:top w:w="90" w:type="dxa"/>
              <w:start w:w="120" w:type="dxa"/>
              <w:bottom w:w="90" w:type="dxa"/>
              <w:end w:w="120" w:type="dxa"/>
            </w:tcMar>
          </w:tcPr>
          <w:p>
            <w:pPr>
              <w:spacing w:after="20" w:line="252" w:lineRule="auto"/>
            </w:pPr>
            <w:r>
              <w:rPr>
                <w:rFonts w:ascii="Arial" w:hAnsi="Arial"/>
                <w:color w:val="0B1727"/>
                <w:sz w:val="17"/>
              </w:rPr>
              <w:t>Add verified name, designation and relevant AAC engineering responsibility before publication</w:t>
            </w:r>
          </w:p>
        </w:tc>
      </w:tr>
      <w:tr>
        <w:tc>
          <w:tcPr>
            <w:tcW w:type="dxa" w:w="2200"/>
            <w:shd w:fill="F5F7F8"/>
            <w:vAlign w:val="center"/>
            <w:tcMar>
              <w:top w:w="90" w:type="dxa"/>
              <w:start w:w="120" w:type="dxa"/>
              <w:bottom w:w="90" w:type="dxa"/>
              <w:end w:w="120" w:type="dxa"/>
            </w:tcMar>
          </w:tcPr>
          <w:p>
            <w:pPr>
              <w:spacing w:after="20" w:line="252" w:lineRule="auto"/>
            </w:pPr>
            <w:r>
              <w:rPr>
                <w:rFonts w:ascii="Arial" w:hAnsi="Arial"/>
                <w:color w:val="0B1727"/>
                <w:sz w:val="17"/>
              </w:rPr>
              <w:t>Technical reviewer</w:t>
            </w:r>
          </w:p>
        </w:tc>
        <w:tc>
          <w:tcPr>
            <w:tcW w:type="dxa" w:w="7160"/>
            <w:shd w:fill="F5F7F8"/>
            <w:vAlign w:val="center"/>
            <w:tcMar>
              <w:top w:w="90" w:type="dxa"/>
              <w:start w:w="120" w:type="dxa"/>
              <w:bottom w:w="90" w:type="dxa"/>
              <w:end w:w="120" w:type="dxa"/>
            </w:tcMar>
          </w:tcPr>
          <w:p>
            <w:pPr>
              <w:spacing w:after="20" w:line="252" w:lineRule="auto"/>
            </w:pPr>
            <w:r>
              <w:rPr>
                <w:rFonts w:ascii="Arial" w:hAnsi="Arial"/>
                <w:color w:val="0B1727"/>
                <w:sz w:val="17"/>
              </w:rPr>
              <w:t>Add verified reviewer name and approval date before publication</w:t>
            </w:r>
          </w:p>
        </w:tc>
      </w:tr>
      <w:tr>
        <w:tc>
          <w:tcPr>
            <w:tcW w:type="dxa" w:w="2200"/>
            <w:vAlign w:val="center"/>
            <w:tcMar>
              <w:top w:w="90" w:type="dxa"/>
              <w:start w:w="120" w:type="dxa"/>
              <w:bottom w:w="90" w:type="dxa"/>
              <w:end w:w="120" w:type="dxa"/>
            </w:tcMar>
          </w:tcPr>
          <w:p>
            <w:pPr>
              <w:spacing w:after="20" w:line="252" w:lineRule="auto"/>
            </w:pPr>
            <w:r>
              <w:rPr>
                <w:rFonts w:ascii="Arial" w:hAnsi="Arial"/>
                <w:color w:val="0B1727"/>
                <w:sz w:val="17"/>
              </w:rPr>
              <w:t>Published/updated</w:t>
            </w:r>
          </w:p>
        </w:tc>
        <w:tc>
          <w:tcPr>
            <w:tcW w:type="dxa" w:w="7160"/>
            <w:vAlign w:val="center"/>
            <w:tcMar>
              <w:top w:w="90" w:type="dxa"/>
              <w:start w:w="120" w:type="dxa"/>
              <w:bottom w:w="90" w:type="dxa"/>
              <w:end w:w="120" w:type="dxa"/>
            </w:tcMar>
          </w:tcPr>
          <w:p>
            <w:pPr>
              <w:spacing w:after="20" w:line="252" w:lineRule="auto"/>
            </w:pPr>
            <w:r>
              <w:rPr>
                <w:rFonts w:ascii="Arial" w:hAnsi="Arial"/>
                <w:color w:val="0B1727"/>
                <w:sz w:val="17"/>
              </w:rPr>
              <w:t>Add visible dates at publication</w:t>
            </w:r>
          </w:p>
        </w:tc>
      </w:tr>
      <w:tr>
        <w:tc>
          <w:tcPr>
            <w:tcW w:type="dxa" w:w="2200"/>
            <w:shd w:fill="F5F7F8"/>
            <w:vAlign w:val="center"/>
            <w:tcMar>
              <w:top w:w="90" w:type="dxa"/>
              <w:start w:w="120" w:type="dxa"/>
              <w:bottom w:w="90" w:type="dxa"/>
              <w:end w:w="120" w:type="dxa"/>
            </w:tcMar>
          </w:tcPr>
          <w:p>
            <w:pPr>
              <w:spacing w:after="20" w:line="252" w:lineRule="auto"/>
            </w:pPr>
            <w:r>
              <w:rPr>
                <w:rFonts w:ascii="Arial" w:hAnsi="Arial"/>
                <w:color w:val="0B1727"/>
                <w:sz w:val="17"/>
              </w:rPr>
              <w:t>Verification status</w:t>
            </w:r>
          </w:p>
        </w:tc>
        <w:tc>
          <w:tcPr>
            <w:tcW w:type="dxa" w:w="7160"/>
            <w:shd w:fill="F5F7F8"/>
            <w:vAlign w:val="center"/>
            <w:tcMar>
              <w:top w:w="90" w:type="dxa"/>
              <w:start w:w="120" w:type="dxa"/>
              <w:bottom w:w="90" w:type="dxa"/>
              <w:end w:w="120" w:type="dxa"/>
            </w:tcMar>
          </w:tcPr>
          <w:p>
            <w:pPr>
              <w:spacing w:after="20" w:line="252" w:lineRule="auto"/>
            </w:pPr>
            <w:r>
              <w:rPr>
                <w:rFonts w:ascii="Arial" w:hAnsi="Arial"/>
                <w:color w:val="0B1727"/>
                <w:sz w:val="17"/>
              </w:rPr>
              <w:t>All project-specific capacities, material properties, equipment selections and safety provisions require engineering verification</w:t>
            </w:r>
          </w:p>
        </w:tc>
      </w:tr>
      <w:tr>
        <w:tc>
          <w:tcPr>
            <w:tcW w:type="dxa" w:w="2200"/>
            <w:vAlign w:val="center"/>
            <w:tcMar>
              <w:top w:w="90" w:type="dxa"/>
              <w:start w:w="120" w:type="dxa"/>
              <w:bottom w:w="90" w:type="dxa"/>
              <w:end w:w="120" w:type="dxa"/>
            </w:tcMar>
          </w:tcPr>
          <w:p>
            <w:pPr>
              <w:spacing w:after="20" w:line="252" w:lineRule="auto"/>
            </w:pPr>
            <w:r>
              <w:rPr>
                <w:rFonts w:ascii="Arial" w:hAnsi="Arial"/>
                <w:color w:val="0B1727"/>
                <w:sz w:val="17"/>
              </w:rPr>
              <w:t>Company proof</w:t>
            </w:r>
          </w:p>
        </w:tc>
        <w:tc>
          <w:tcPr>
            <w:tcW w:type="dxa" w:w="7160"/>
            <w:vAlign w:val="center"/>
            <w:tcMar>
              <w:top w:w="90" w:type="dxa"/>
              <w:start w:w="120" w:type="dxa"/>
              <w:bottom w:w="90" w:type="dxa"/>
              <w:end w:w="120" w:type="dxa"/>
            </w:tcMar>
          </w:tcPr>
          <w:p>
            <w:pPr>
              <w:spacing w:after="20" w:line="252" w:lineRule="auto"/>
            </w:pPr>
            <w:r>
              <w:rPr>
                <w:rFonts w:ascii="Arial" w:hAnsi="Arial"/>
                <w:color w:val="0B1727"/>
                <w:sz w:val="17"/>
              </w:rPr>
              <w:t>Add approved project photographs, one verified example, registered contact details and relevant case-study links</w:t>
            </w:r>
          </w:p>
        </w:tc>
      </w:tr>
    </w:tbl>
    <w:p>
      <w:pPr>
        <w:spacing w:after="20"/>
      </w:pPr>
    </w:p>
    <w:p>
      <w:pPr>
        <w:pStyle w:val="Heading1"/>
      </w:pPr>
      <w:r>
        <w:t>Sources for Technical Review</w:t>
      </w:r>
    </w:p>
    <w:p>
      <w:r>
        <w:t>Use these as review inputs, not as substitutes for Indian statutory review or material-supplier instructions:</w:t>
      </w:r>
    </w:p>
    <w:p>
      <w:pPr>
        <w:pStyle w:val="ListBullet"/>
        <w:spacing w:after="60"/>
        <w:ind w:left="720" w:hanging="360"/>
      </w:pPr>
      <w:r>
        <w:t>The applicable Safety Data Sheet and technical data sheet issued by the selected aluminium powder or paste supplier.</w:t>
      </w:r>
    </w:p>
    <w:p>
      <w:pPr>
        <w:pStyle w:val="ListBullet"/>
        <w:spacing w:after="60"/>
        <w:ind w:left="720" w:hanging="360"/>
      </w:pPr>
      <w:r>
        <w:t>The Aluminum Association — health and safety resources for aluminium fines and powders: https://www.aluminum.org/health-safety</w:t>
      </w:r>
    </w:p>
    <w:p>
      <w:pPr>
        <w:pStyle w:val="ListBullet"/>
        <w:spacing w:after="60"/>
        <w:ind w:left="720" w:hanging="360"/>
      </w:pPr>
      <w:r>
        <w:t>AAC Worldwide — handling and storage of aluminium paste and powder: https://www.aac-worldwide.com/category/production-technology/handling-and-storage-of-aluminum-paste-and-powder-1705</w:t>
      </w:r>
    </w:p>
    <w:p>
      <w:pPr>
        <w:pStyle w:val="ListBullet"/>
        <w:spacing w:after="60"/>
        <w:ind w:left="720" w:hanging="360"/>
      </w:pPr>
      <w:r>
        <w:t>Aircrete project example describing an aluminium paste dosing system: https://www.aircrete.com/aircrete-news/holcims-aac-plant-in-romania/</w:t>
      </w:r>
    </w:p>
    <w:p>
      <w:pPr>
        <w:pStyle w:val="ListBullet"/>
        <w:spacing w:after="60"/>
        <w:ind w:left="720" w:hanging="360"/>
      </w:pPr>
      <w:r>
        <w:t>Applicable MoEFCC/CPCB and State Pollution Control Board requirements for the project location, confirmed at the time of design.</w:t>
      </w:r>
    </w:p>
    <w:p>
      <w:pPr>
        <w:pStyle w:val="VerificationNote"/>
      </w:pPr>
      <w:r>
        <w:t>No specific Indian Standard, performance figure or company project claim has been inserted because none was supplied as a confirmed fact.</w:t>
      </w:r>
    </w:p>
    <w:p>
      <w:pPr>
        <w:pStyle w:val="Heading1"/>
      </w:pPr>
      <w:r>
        <w:t>Final Pre-Publication Checklist</w:t>
      </w:r>
    </w:p>
    <w:p>
      <w:pPr>
        <w:pStyle w:val="ListBullet"/>
        <w:spacing w:after="60"/>
        <w:ind w:left="720" w:hanging="360"/>
      </w:pPr>
      <w:r>
        <w:t>Insert the verified technical author and reviewer names.</w:t>
      </w:r>
    </w:p>
    <w:p>
      <w:pPr>
        <w:pStyle w:val="ListBullet"/>
        <w:spacing w:after="60"/>
        <w:ind w:left="720" w:hanging="360"/>
      </w:pPr>
      <w:r>
        <w:t>Approve the aluminium safety wording against the selected product SDS.</w:t>
      </w:r>
    </w:p>
    <w:p>
      <w:pPr>
        <w:pStyle w:val="ListBullet"/>
        <w:spacing w:after="60"/>
        <w:ind w:left="720" w:hanging="360"/>
      </w:pPr>
      <w:r>
        <w:t>Confirm the terminology and source characteristics for pond ash, bottom ash and fly ash.</w:t>
      </w:r>
    </w:p>
    <w:p>
      <w:pPr>
        <w:pStyle w:val="ListBullet"/>
        <w:spacing w:after="60"/>
        <w:ind w:left="720" w:hanging="360"/>
      </w:pPr>
      <w:r>
        <w:t>Insert one technically approved storage-capacity example with all assumptions visible.</w:t>
      </w:r>
    </w:p>
    <w:p>
      <w:pPr>
        <w:pStyle w:val="ListBullet"/>
        <w:spacing w:after="60"/>
        <w:ind w:left="720" w:hanging="360"/>
      </w:pPr>
      <w:r>
        <w:t>Confirm bulker unloading and stationary transfer-vessel descriptions with the engineering team.</w:t>
      </w:r>
    </w:p>
    <w:p>
      <w:pPr>
        <w:pStyle w:val="ListBullet"/>
        <w:spacing w:after="60"/>
        <w:ind w:left="720" w:hanging="360"/>
      </w:pPr>
      <w:r>
        <w:t>Add one approved Laxmi project example and original photographs with descriptive captions.</w:t>
      </w:r>
    </w:p>
    <w:p>
      <w:pPr>
        <w:pStyle w:val="ListBullet"/>
        <w:spacing w:after="60"/>
        <w:ind w:left="720" w:hanging="360"/>
      </w:pPr>
      <w:r>
        <w:t>Add the registered company address, official contact details and final enquiry-form link.</w:t>
      </w:r>
    </w:p>
    <w:p>
      <w:pPr>
        <w:pStyle w:val="ListBullet"/>
        <w:spacing w:after="60"/>
        <w:ind w:left="720" w:hanging="360"/>
      </w:pPr>
      <w:r>
        <w:t>Publish supporting capacity, layout, raw-material preparation, batching and utility pages, then add the recommended internal links.</w:t>
      </w:r>
    </w:p>
    <w:p>
      <w:pPr>
        <w:pStyle w:val="ListBullet"/>
        <w:spacing w:after="60"/>
        <w:ind w:left="720" w:hanging="360"/>
      </w:pPr>
      <w:r>
        <w:t>Validate schema, canonical, mobile tables, image performance and indexability before launch.</w:t>
      </w:r>
    </w:p>
    <w:p>
      <w:pPr>
        <w:pStyle w:val="ListBullet"/>
        <w:spacing w:after="60"/>
        <w:ind w:left="720" w:hanging="360"/>
      </w:pPr>
      <w:r>
        <w:t>Review the page whenever safety guidance, regulations, material supply practices or Laxmi equipment scope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273"/>
        <w:sz w:val="16"/>
      </w:rPr>
      <w:t xml:space="preserve">AAC Plant Raw Material Storage Systems  •  Technical guide for project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6273"/>
        <w:sz w:val="16"/>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B172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C4F8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4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7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262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Answer">
    <w:name w:val="Lead Answer"/>
    <w:pPr>
      <w:spacing w:before="120" w:after="160" w:line="269" w:lineRule="auto"/>
      <w:ind w:left="259" w:right="259"/>
      <w:shd w:fill="EEF2F5"/>
      <w:pBdr>
        <w:left w:val="single" w:sz="18" w:color="0C4F80"/>
      </w:pBdr>
    </w:pPr>
    <w:rPr>
      <w:rFonts w:ascii="Arial" w:hAnsi="Arial"/>
      <w:color w:val="0B1727"/>
      <w:sz w:val="21"/>
    </w:rPr>
  </w:style>
  <w:style w:type="paragraph" w:customStyle="1" w:styleId="EngineeringNote">
    <w:name w:val="Engineering Note"/>
    <w:pPr>
      <w:spacing w:before="120" w:after="160" w:line="269" w:lineRule="auto"/>
      <w:ind w:left="259" w:right="259"/>
      <w:shd w:fill="F5F7F8"/>
      <w:pBdr>
        <w:left w:val="single" w:sz="18" w:color="0C4F80"/>
      </w:pBdr>
    </w:pPr>
    <w:rPr>
      <w:rFonts w:ascii="Arial" w:hAnsi="Arial"/>
      <w:color w:val="0B1727"/>
      <w:sz w:val="21"/>
    </w:rPr>
  </w:style>
  <w:style w:type="paragraph" w:customStyle="1" w:styleId="VerificationNote">
    <w:name w:val="Verification Note"/>
    <w:pPr>
      <w:spacing w:before="120" w:after="160" w:line="269" w:lineRule="auto"/>
      <w:ind w:left="259" w:right="259"/>
      <w:shd w:fill="FFF4D6"/>
      <w:pBdr>
        <w:left w:val="single" w:sz="18" w:color="C58A00"/>
      </w:pBdr>
    </w:pPr>
    <w:rPr>
      <w:rFonts w:ascii="Arial" w:hAnsi="Arial"/>
      <w:color w:val="7A5A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Raw Material Storage Systems</dc:title>
  <dc:subject>Publication-ready technical guide for AAC plant investors in India</dc:subject>
  <dc:creator>Laxmi En-Fab Pvt. Ltd. — technical author verification pending</dc:creator>
  <cp:keywords>AAC plant raw material storage, AAC plant silo system, fly ash storage, cement silo, lime transfer, gypsum dosing, aluminium handling, India</cp:keywords>
  <dc:description>generated by python-docx</dc:description>
  <cp:lastModifiedBy/>
  <cp:revision>1</cp:revision>
  <dcterms:created xsi:type="dcterms:W3CDTF">2013-12-23T23:15:00Z</dcterms:created>
  <dcterms:modified xsi:type="dcterms:W3CDTF">2013-12-23T23:15:00Z</dcterms:modified>
  <cp:category/>
</cp:coreProperties>
</file>