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Arial" w:hAnsi="Arial"/>
          <w:b/>
          <w:color w:val="0C4F80"/>
          <w:sz w:val="18"/>
        </w:rPr>
        <w:t>TECHNICAL PRODUCT GUIDE</w:t>
      </w:r>
    </w:p>
    <w:p>
      <w:pPr>
        <w:spacing w:after="100"/>
      </w:pPr>
      <w:r>
        <w:rPr>
          <w:rFonts w:ascii="Arial" w:hAnsi="Arial"/>
          <w:b/>
          <w:color w:val="0B1727"/>
          <w:sz w:val="50"/>
        </w:rPr>
        <w:t>AAC Batching System and</w:t>
        <w:br/>
        <w:t>Raw Material Preparation</w:t>
      </w:r>
    </w:p>
    <w:p>
      <w:pPr>
        <w:spacing w:after="240"/>
      </w:pPr>
      <w:r>
        <w:rPr>
          <w:color w:val="526273"/>
          <w:sz w:val="24"/>
        </w:rPr>
        <w:t>How fly ash, pond ash, sand, slurry density, weighing, mixing and aluminium dosing are brought together for controlled AAC production.</w:t>
      </w:r>
    </w:p>
    <w:tbl>
      <w:tblPr>
        <w:tblStyle w:val="TableGrid"/>
        <w:tblW w:type="dxa" w:w="9360"/>
        <w:jc w:val="center"/>
        <w:tblLayout w:type="fixed"/>
        <w:tblLook w:firstColumn="1" w:firstRow="1" w:lastColumn="0" w:lastRow="0" w:noHBand="0" w:noVBand="1" w:val="04A0"/>
      </w:tblPr>
      <w:tblGrid>
        <w:gridCol w:w="1900"/>
        <w:gridCol w:w="7460"/>
      </w:tblGrid>
      <w:tr>
        <w:trPr>
          <w:tblHeader w:val="true"/>
        </w:trPr>
        <w:tc>
          <w:tcPr>
            <w:tcW w:type="dxa" w:w="1900"/>
            <w:vAlign w:val="center"/>
            <w:tcMar>
              <w:top w:w="70" w:type="dxa"/>
              <w:start w:w="110" w:type="dxa"/>
              <w:bottom w:w="70" w:type="dxa"/>
              <w:end w:w="110" w:type="dxa"/>
            </w:tcMar>
            <w:shd w:fill="0B1727"/>
          </w:tcPr>
          <w:p>
            <w:pPr>
              <w:spacing w:after="0"/>
            </w:pPr>
            <w:r>
              <w:rPr>
                <w:rFonts w:ascii="Arial" w:hAnsi="Arial"/>
                <w:b/>
                <w:color w:val="FFFFFF"/>
                <w:sz w:val="18"/>
              </w:rPr>
              <w:t>SEO field</w:t>
            </w:r>
          </w:p>
        </w:tc>
        <w:tc>
          <w:tcPr>
            <w:tcW w:type="dxa" w:w="7460"/>
            <w:vAlign w:val="center"/>
            <w:tcMar>
              <w:top w:w="70" w:type="dxa"/>
              <w:start w:w="110" w:type="dxa"/>
              <w:bottom w:w="70" w:type="dxa"/>
              <w:end w:w="110" w:type="dxa"/>
            </w:tcMar>
            <w:shd w:fill="0B1727"/>
          </w:tcPr>
          <w:p>
            <w:pPr>
              <w:spacing w:after="0"/>
            </w:pPr>
            <w:r>
              <w:rPr>
                <w:rFonts w:ascii="Arial" w:hAnsi="Arial"/>
                <w:b/>
                <w:color w:val="FFFFFF"/>
                <w:sz w:val="18"/>
              </w:rPr>
              <w:t>Recommended text</w:t>
            </w:r>
          </w:p>
        </w:tc>
      </w:tr>
      <w:tr>
        <w:tc>
          <w:tcPr>
            <w:tcW w:type="dxa" w:w="1900"/>
            <w:vAlign w:val="center"/>
            <w:tcMar>
              <w:top w:w="70" w:type="dxa"/>
              <w:start w:w="110" w:type="dxa"/>
              <w:bottom w:w="70" w:type="dxa"/>
              <w:end w:w="110" w:type="dxa"/>
            </w:tcMar>
          </w:tcPr>
          <w:p>
            <w:pPr>
              <w:spacing w:after="0" w:line="252" w:lineRule="auto"/>
            </w:pPr>
            <w:r>
              <w:rPr>
                <w:rFonts w:ascii="Arial" w:hAnsi="Arial"/>
                <w:color w:val="0B1727"/>
                <w:sz w:val="17"/>
              </w:rPr>
              <w:t>SEO title</w:t>
            </w:r>
          </w:p>
        </w:tc>
        <w:tc>
          <w:tcPr>
            <w:tcW w:type="dxa" w:w="7460"/>
            <w:vAlign w:val="center"/>
            <w:tcMar>
              <w:top w:w="70" w:type="dxa"/>
              <w:start w:w="110" w:type="dxa"/>
              <w:bottom w:w="70" w:type="dxa"/>
              <w:end w:w="110" w:type="dxa"/>
            </w:tcMar>
          </w:tcPr>
          <w:p>
            <w:pPr>
              <w:spacing w:after="0" w:line="252" w:lineRule="auto"/>
            </w:pPr>
            <w:r>
              <w:rPr>
                <w:rFonts w:ascii="Arial" w:hAnsi="Arial"/>
                <w:color w:val="0B1727"/>
                <w:sz w:val="17"/>
              </w:rPr>
              <w:t>AAC Batching System &amp; Raw Material Preparation</w:t>
            </w:r>
          </w:p>
        </w:tc>
      </w:tr>
      <w:tr>
        <w:tc>
          <w:tcPr>
            <w:tcW w:type="dxa" w:w="1900"/>
            <w:shd w:fill="F5F7F8"/>
            <w:vAlign w:val="center"/>
            <w:tcMar>
              <w:top w:w="70" w:type="dxa"/>
              <w:start w:w="110" w:type="dxa"/>
              <w:bottom w:w="70" w:type="dxa"/>
              <w:end w:w="110" w:type="dxa"/>
            </w:tcMar>
          </w:tcPr>
          <w:p>
            <w:pPr>
              <w:spacing w:after="0" w:line="252" w:lineRule="auto"/>
            </w:pPr>
            <w:r>
              <w:rPr>
                <w:rFonts w:ascii="Arial" w:hAnsi="Arial"/>
                <w:color w:val="0B1727"/>
                <w:sz w:val="17"/>
              </w:rPr>
              <w:t>Meta description</w:t>
            </w:r>
          </w:p>
        </w:tc>
        <w:tc>
          <w:tcPr>
            <w:tcW w:type="dxa" w:w="7460"/>
            <w:shd w:fill="F5F7F8"/>
            <w:vAlign w:val="center"/>
            <w:tcMar>
              <w:top w:w="70" w:type="dxa"/>
              <w:start w:w="110" w:type="dxa"/>
              <w:bottom w:w="70" w:type="dxa"/>
              <w:end w:w="110" w:type="dxa"/>
            </w:tcMar>
          </w:tcPr>
          <w:p>
            <w:pPr>
              <w:spacing w:after="0" w:line="252" w:lineRule="auto"/>
            </w:pPr>
            <w:r>
              <w:rPr>
                <w:rFonts w:ascii="Arial" w:hAnsi="Arial"/>
                <w:color w:val="0B1727"/>
                <w:sz w:val="17"/>
              </w:rPr>
              <w:t>Understand AAC slurry preparation, density control, raw-material dosing, mixing and automation. Compare fly-ash, pond-ash and sand-based systems.</w:t>
            </w:r>
          </w:p>
        </w:tc>
      </w:tr>
      <w:tr>
        <w:tc>
          <w:tcPr>
            <w:tcW w:type="dxa" w:w="1900"/>
            <w:vAlign w:val="center"/>
            <w:tcMar>
              <w:top w:w="70" w:type="dxa"/>
              <w:start w:w="110" w:type="dxa"/>
              <w:bottom w:w="70" w:type="dxa"/>
              <w:end w:w="110" w:type="dxa"/>
            </w:tcMar>
          </w:tcPr>
          <w:p>
            <w:pPr>
              <w:spacing w:after="0" w:line="252" w:lineRule="auto"/>
            </w:pPr>
            <w:r>
              <w:rPr>
                <w:rFonts w:ascii="Arial" w:hAnsi="Arial"/>
                <w:color w:val="0B1727"/>
                <w:sz w:val="17"/>
              </w:rPr>
              <w:t>Suggested URL</w:t>
            </w:r>
          </w:p>
        </w:tc>
        <w:tc>
          <w:tcPr>
            <w:tcW w:type="dxa" w:w="7460"/>
            <w:vAlign w:val="center"/>
            <w:tcMar>
              <w:top w:w="70" w:type="dxa"/>
              <w:start w:w="110" w:type="dxa"/>
              <w:bottom w:w="70" w:type="dxa"/>
              <w:end w:w="110" w:type="dxa"/>
            </w:tcMar>
          </w:tcPr>
          <w:p>
            <w:pPr>
              <w:spacing w:after="0" w:line="252" w:lineRule="auto"/>
            </w:pPr>
            <w:r>
              <w:rPr>
                <w:rFonts w:ascii="Arial" w:hAnsi="Arial"/>
                <w:color w:val="0B1727"/>
                <w:sz w:val="17"/>
              </w:rPr>
              <w:t>/aac-batching-system-raw-material-preparation/</w:t>
            </w:r>
          </w:p>
        </w:tc>
      </w:tr>
      <w:tr>
        <w:tc>
          <w:tcPr>
            <w:tcW w:type="dxa" w:w="1900"/>
            <w:shd w:fill="F5F7F8"/>
            <w:vAlign w:val="center"/>
            <w:tcMar>
              <w:top w:w="70" w:type="dxa"/>
              <w:start w:w="110" w:type="dxa"/>
              <w:bottom w:w="70" w:type="dxa"/>
              <w:end w:w="110" w:type="dxa"/>
            </w:tcMar>
          </w:tcPr>
          <w:p>
            <w:pPr>
              <w:spacing w:after="0" w:line="252" w:lineRule="auto"/>
            </w:pPr>
            <w:r>
              <w:rPr>
                <w:rFonts w:ascii="Arial" w:hAnsi="Arial"/>
                <w:color w:val="0B1727"/>
                <w:sz w:val="17"/>
              </w:rPr>
              <w:t>Primary keyword</w:t>
            </w:r>
          </w:p>
        </w:tc>
        <w:tc>
          <w:tcPr>
            <w:tcW w:type="dxa" w:w="7460"/>
            <w:shd w:fill="F5F7F8"/>
            <w:vAlign w:val="center"/>
            <w:tcMar>
              <w:top w:w="70" w:type="dxa"/>
              <w:start w:w="110" w:type="dxa"/>
              <w:bottom w:w="70" w:type="dxa"/>
              <w:end w:w="110" w:type="dxa"/>
            </w:tcMar>
          </w:tcPr>
          <w:p>
            <w:pPr>
              <w:spacing w:after="0" w:line="252" w:lineRule="auto"/>
            </w:pPr>
            <w:r>
              <w:rPr>
                <w:rFonts w:ascii="Arial" w:hAnsi="Arial"/>
                <w:color w:val="0B1727"/>
                <w:sz w:val="17"/>
              </w:rPr>
              <w:t>AAC batching system</w:t>
            </w:r>
          </w:p>
        </w:tc>
      </w:tr>
    </w:tbl>
    <w:p>
      <w:pPr>
        <w:spacing w:after="20"/>
      </w:pPr>
    </w:p>
    <w:p>
      <w:pPr>
        <w:pStyle w:val="Heading1"/>
      </w:pPr>
      <w:r>
        <w:t>AAC Batching System: Direct Answer</w:t>
      </w:r>
    </w:p>
    <w:p>
      <w:r>
        <w:t>An AAC batching system measures, sequences and mixes the slurry, cement, lime, gypsum, water, aluminium and other approved ingredients required for each production batch. The system connects raw-material preparation with mould filling and may include storage, weighing, dosing, valves, pumps, conveyors, a batching mixer and PLC-based recipe control. Its purpose is to deliver each approved recipe in a repeatable and traceable manner.</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140" w:type="dxa"/>
              <w:start w:w="170" w:type="dxa"/>
              <w:bottom w:w="140" w:type="dxa"/>
              <w:end w:w="170" w:type="dxa"/>
            </w:tcMar>
            <w:shd w:fill="EEF2F5"/>
          </w:tcPr>
          <w:p>
            <w:pPr>
              <w:spacing w:after="0"/>
            </w:pPr>
            <w:r>
              <w:rPr>
                <w:b/>
                <w:color w:val="0C4F80"/>
              </w:rPr>
              <w:t xml:space="preserve">Engineering principle  </w:t>
            </w:r>
            <w:r>
              <w:t>A mixer cannot correct an unsuitable raw material or an incorrectly measured batch. Reliable AAC production begins with material testing, controlled preparation, calibrated measurement and a validated recipe.</w:t>
            </w:r>
          </w:p>
        </w:tc>
      </w:tr>
    </w:tbl>
    <w:p>
      <w:pPr>
        <w:spacing w:after="0"/>
      </w:pPr>
    </w:p>
    <w:p>
      <w:pPr>
        <w:pStyle w:val="Heading1"/>
      </w:pPr>
      <w:r>
        <w:t>Why Raw-Material Preparation Matters</w:t>
      </w:r>
    </w:p>
    <w:p>
      <w:r>
        <w:t>AAC quality is influenced before the material reaches the mould. Variations in slurry concentration, temperature, fineness, lime reactivity, ingredient quantity, mixing sequence or aluminium addition can change the behaviour of the green cake. Raw-material preparation and batching should therefore be designed as one connected process rather than as unrelated machines.</w:t>
      </w:r>
    </w:p>
    <w:p>
      <w:r>
        <w:t>The principal materials normally considered are:</w:t>
      </w:r>
    </w:p>
    <w:p>
      <w:pPr>
        <w:pStyle w:val="ListBullet"/>
        <w:spacing w:after="60"/>
        <w:ind w:left="360" w:hanging="216"/>
      </w:pPr>
      <w:r>
        <w:t>Fly ash, pond ash or sand as the principal siliceous material</w:t>
      </w:r>
    </w:p>
    <w:p>
      <w:pPr>
        <w:pStyle w:val="ListBullet"/>
        <w:spacing w:after="60"/>
        <w:ind w:left="360" w:hanging="216"/>
      </w:pPr>
      <w:r>
        <w:t>Cement and lime as calcium-bearing materials</w:t>
      </w:r>
    </w:p>
    <w:p>
      <w:pPr>
        <w:pStyle w:val="ListBullet"/>
        <w:spacing w:after="60"/>
        <w:ind w:left="360" w:hanging="216"/>
      </w:pPr>
      <w:r>
        <w:t>Gypsum, where required by the approved formulation</w:t>
      </w:r>
    </w:p>
    <w:p>
      <w:pPr>
        <w:pStyle w:val="ListBullet"/>
        <w:spacing w:after="60"/>
        <w:ind w:left="360" w:hanging="216"/>
      </w:pPr>
      <w:r>
        <w:t>Aluminium powder or paste as the gas-forming ingredient</w:t>
      </w:r>
    </w:p>
    <w:p>
      <w:pPr>
        <w:pStyle w:val="ListBullet"/>
        <w:spacing w:after="60"/>
        <w:ind w:left="360" w:hanging="216"/>
      </w:pPr>
      <w:r>
        <w:t>Water and any process additive established through testing</w:t>
      </w:r>
    </w:p>
    <w:p>
      <w:r>
        <w:t>The actual formulation, preparation route and operating values depend on the characteristics of the available materials and the required product. A standard recipe should not be assumed to suit every project.</w:t>
      </w:r>
    </w:p>
    <w:p>
      <w:pPr>
        <w:pStyle w:val="Heading1"/>
      </w:pPr>
      <w:r>
        <w:t>Raw-Material Preparation Routes</w:t>
      </w:r>
    </w:p>
    <w:tbl>
      <w:tblPr>
        <w:tblStyle w:val="TableGrid"/>
        <w:tblW w:type="dxa" w:w="9360"/>
        <w:jc w:val="center"/>
        <w:tblLayout w:type="fixed"/>
        <w:tblLook w:firstColumn="1" w:firstRow="1" w:lastColumn="0" w:lastRow="0" w:noHBand="0" w:noVBand="1" w:val="04A0"/>
      </w:tblPr>
      <w:tblGrid>
        <w:gridCol w:w="1750"/>
        <w:gridCol w:w="3510"/>
        <w:gridCol w:w="4100"/>
      </w:tblGrid>
      <w:tr>
        <w:trPr>
          <w:tblHeader w:val="true"/>
        </w:trPr>
        <w:tc>
          <w:tcPr>
            <w:tcW w:type="dxa" w:w="1750"/>
            <w:vAlign w:val="center"/>
            <w:tcMar>
              <w:top w:w="70" w:type="dxa"/>
              <w:start w:w="110" w:type="dxa"/>
              <w:bottom w:w="70" w:type="dxa"/>
              <w:end w:w="110" w:type="dxa"/>
            </w:tcMar>
            <w:shd w:fill="0B1727"/>
          </w:tcPr>
          <w:p>
            <w:pPr>
              <w:spacing w:after="0"/>
            </w:pPr>
            <w:r>
              <w:rPr>
                <w:rFonts w:ascii="Arial" w:hAnsi="Arial"/>
                <w:b/>
                <w:color w:val="FFFFFF"/>
                <w:sz w:val="18"/>
              </w:rPr>
              <w:t>Material route</w:t>
            </w:r>
          </w:p>
        </w:tc>
        <w:tc>
          <w:tcPr>
            <w:tcW w:type="dxa" w:w="3510"/>
            <w:vAlign w:val="center"/>
            <w:tcMar>
              <w:top w:w="70" w:type="dxa"/>
              <w:start w:w="110" w:type="dxa"/>
              <w:bottom w:w="70" w:type="dxa"/>
              <w:end w:w="110" w:type="dxa"/>
            </w:tcMar>
            <w:shd w:fill="0B1727"/>
          </w:tcPr>
          <w:p>
            <w:pPr>
              <w:spacing w:after="0"/>
            </w:pPr>
            <w:r>
              <w:rPr>
                <w:rFonts w:ascii="Arial" w:hAnsi="Arial"/>
                <w:b/>
                <w:color w:val="FFFFFF"/>
                <w:sz w:val="18"/>
              </w:rPr>
              <w:t>Typical preparation path</w:t>
            </w:r>
          </w:p>
        </w:tc>
        <w:tc>
          <w:tcPr>
            <w:tcW w:type="dxa" w:w="4100"/>
            <w:vAlign w:val="center"/>
            <w:tcMar>
              <w:top w:w="70" w:type="dxa"/>
              <w:start w:w="110" w:type="dxa"/>
              <w:bottom w:w="70" w:type="dxa"/>
              <w:end w:w="110" w:type="dxa"/>
            </w:tcMar>
            <w:shd w:fill="0B1727"/>
          </w:tcPr>
          <w:p>
            <w:pPr>
              <w:spacing w:after="0"/>
            </w:pPr>
            <w:r>
              <w:rPr>
                <w:rFonts w:ascii="Arial" w:hAnsi="Arial"/>
                <w:b/>
                <w:color w:val="FFFFFF"/>
                <w:sz w:val="18"/>
              </w:rPr>
              <w:t>Key design questions</w:t>
            </w:r>
          </w:p>
        </w:tc>
      </w:tr>
      <w:tr>
        <w:tc>
          <w:tcPr>
            <w:tcW w:type="dxa" w:w="1750"/>
            <w:vAlign w:val="center"/>
            <w:tcMar>
              <w:top w:w="70" w:type="dxa"/>
              <w:start w:w="110" w:type="dxa"/>
              <w:bottom w:w="70" w:type="dxa"/>
              <w:end w:w="110" w:type="dxa"/>
            </w:tcMar>
          </w:tcPr>
          <w:p>
            <w:pPr>
              <w:spacing w:after="0" w:line="252" w:lineRule="auto"/>
            </w:pPr>
            <w:r>
              <w:rPr>
                <w:rFonts w:ascii="Arial" w:hAnsi="Arial"/>
                <w:color w:val="0B1727"/>
                <w:sz w:val="17"/>
              </w:rPr>
              <w:t>Suitable dry fly ash</w:t>
            </w:r>
          </w:p>
        </w:tc>
        <w:tc>
          <w:tcPr>
            <w:tcW w:type="dxa" w:w="3510"/>
            <w:vAlign w:val="center"/>
            <w:tcMar>
              <w:top w:w="70" w:type="dxa"/>
              <w:start w:w="110" w:type="dxa"/>
              <w:bottom w:w="70" w:type="dxa"/>
              <w:end w:w="110" w:type="dxa"/>
            </w:tcMar>
          </w:tcPr>
          <w:p>
            <w:pPr>
              <w:spacing w:after="0" w:line="252" w:lineRule="auto"/>
            </w:pPr>
            <w:r>
              <w:rPr>
                <w:rFonts w:ascii="Arial" w:hAnsi="Arial"/>
                <w:color w:val="0B1727"/>
                <w:sz w:val="17"/>
              </w:rPr>
              <w:t>Controlled transfer → water addition → slurry preparation → screening → density verification → storage</w:t>
            </w:r>
          </w:p>
        </w:tc>
        <w:tc>
          <w:tcPr>
            <w:tcW w:type="dxa" w:w="4100"/>
            <w:vAlign w:val="center"/>
            <w:tcMar>
              <w:top w:w="70" w:type="dxa"/>
              <w:start w:w="110" w:type="dxa"/>
              <w:bottom w:w="70" w:type="dxa"/>
              <w:end w:w="110" w:type="dxa"/>
            </w:tcMar>
          </w:tcPr>
          <w:p>
            <w:pPr>
              <w:spacing w:after="0" w:line="252" w:lineRule="auto"/>
            </w:pPr>
            <w:r>
              <w:rPr>
                <w:rFonts w:ascii="Arial" w:hAnsi="Arial"/>
                <w:color w:val="0B1727"/>
                <w:sz w:val="17"/>
              </w:rPr>
              <w:t>Ash fineness and chemistry; conveying method; foreign matter; slurry concentration; storage agitation</w:t>
            </w:r>
          </w:p>
        </w:tc>
      </w:tr>
      <w:tr>
        <w:tc>
          <w:tcPr>
            <w:tcW w:type="dxa" w:w="1750"/>
            <w:shd w:fill="F5F7F8"/>
            <w:vAlign w:val="center"/>
            <w:tcMar>
              <w:top w:w="70" w:type="dxa"/>
              <w:start w:w="110" w:type="dxa"/>
              <w:bottom w:w="70" w:type="dxa"/>
              <w:end w:w="110" w:type="dxa"/>
            </w:tcMar>
          </w:tcPr>
          <w:p>
            <w:pPr>
              <w:spacing w:after="0" w:line="252" w:lineRule="auto"/>
            </w:pPr>
            <w:r>
              <w:rPr>
                <w:rFonts w:ascii="Arial" w:hAnsi="Arial"/>
                <w:color w:val="0B1727"/>
                <w:sz w:val="17"/>
              </w:rPr>
              <w:t>Pond ash or bottom ash</w:t>
            </w:r>
          </w:p>
        </w:tc>
        <w:tc>
          <w:tcPr>
            <w:tcW w:type="dxa" w:w="3510"/>
            <w:shd w:fill="F5F7F8"/>
            <w:vAlign w:val="center"/>
            <w:tcMar>
              <w:top w:w="70" w:type="dxa"/>
              <w:start w:w="110" w:type="dxa"/>
              <w:bottom w:w="70" w:type="dxa"/>
              <w:end w:w="110" w:type="dxa"/>
            </w:tcMar>
          </w:tcPr>
          <w:p>
            <w:pPr>
              <w:spacing w:after="0" w:line="252" w:lineRule="auto"/>
            </w:pPr>
            <w:r>
              <w:rPr>
                <w:rFonts w:ascii="Arial" w:hAnsi="Arial"/>
                <w:color w:val="0B1727"/>
                <w:sz w:val="17"/>
              </w:rPr>
              <w:t>Bulk feeding → preparation or grinding as required → screening → density verification → storage</w:t>
            </w:r>
          </w:p>
        </w:tc>
        <w:tc>
          <w:tcPr>
            <w:tcW w:type="dxa" w:w="4100"/>
            <w:shd w:fill="F5F7F8"/>
            <w:vAlign w:val="center"/>
            <w:tcMar>
              <w:top w:w="70" w:type="dxa"/>
              <w:start w:w="110" w:type="dxa"/>
              <w:bottom w:w="70" w:type="dxa"/>
              <w:end w:w="110" w:type="dxa"/>
            </w:tcMar>
          </w:tcPr>
          <w:p>
            <w:pPr>
              <w:spacing w:after="0" w:line="252" w:lineRule="auto"/>
            </w:pPr>
            <w:r>
              <w:rPr>
                <w:rFonts w:ascii="Arial" w:hAnsi="Arial"/>
                <w:color w:val="0B1727"/>
                <w:sz w:val="17"/>
              </w:rPr>
              <w:t>Moisture, particle-size distribution, chemistry, carbon/organic matter, consistency and trial suitability</w:t>
            </w:r>
          </w:p>
        </w:tc>
      </w:tr>
      <w:tr>
        <w:tc>
          <w:tcPr>
            <w:tcW w:type="dxa" w:w="1750"/>
            <w:vAlign w:val="center"/>
            <w:tcMar>
              <w:top w:w="70" w:type="dxa"/>
              <w:start w:w="110" w:type="dxa"/>
              <w:bottom w:w="70" w:type="dxa"/>
              <w:end w:w="110" w:type="dxa"/>
            </w:tcMar>
          </w:tcPr>
          <w:p>
            <w:pPr>
              <w:spacing w:after="0" w:line="252" w:lineRule="auto"/>
            </w:pPr>
            <w:r>
              <w:rPr>
                <w:rFonts w:ascii="Arial" w:hAnsi="Arial"/>
                <w:color w:val="0B1727"/>
                <w:sz w:val="17"/>
              </w:rPr>
              <w:t>Sand</w:t>
            </w:r>
          </w:p>
        </w:tc>
        <w:tc>
          <w:tcPr>
            <w:tcW w:type="dxa" w:w="3510"/>
            <w:vAlign w:val="center"/>
            <w:tcMar>
              <w:top w:w="70" w:type="dxa"/>
              <w:start w:w="110" w:type="dxa"/>
              <w:bottom w:w="70" w:type="dxa"/>
              <w:end w:w="110" w:type="dxa"/>
            </w:tcMar>
          </w:tcPr>
          <w:p>
            <w:pPr>
              <w:spacing w:after="0" w:line="252" w:lineRule="auto"/>
            </w:pPr>
            <w:r>
              <w:rPr>
                <w:rFonts w:ascii="Arial" w:hAnsi="Arial"/>
                <w:color w:val="0B1727"/>
                <w:sz w:val="17"/>
              </w:rPr>
              <w:t>Feeding → wet grinding → screening → density verification → agitated slurry storage</w:t>
            </w:r>
          </w:p>
        </w:tc>
        <w:tc>
          <w:tcPr>
            <w:tcW w:type="dxa" w:w="4100"/>
            <w:vAlign w:val="center"/>
            <w:tcMar>
              <w:top w:w="70" w:type="dxa"/>
              <w:start w:w="110" w:type="dxa"/>
              <w:bottom w:w="70" w:type="dxa"/>
              <w:end w:w="110" w:type="dxa"/>
            </w:tcMar>
          </w:tcPr>
          <w:p>
            <w:pPr>
              <w:spacing w:after="0" w:line="252" w:lineRule="auto"/>
            </w:pPr>
            <w:r>
              <w:rPr>
                <w:rFonts w:ascii="Arial" w:hAnsi="Arial"/>
                <w:color w:val="0B1727"/>
                <w:sz w:val="17"/>
              </w:rPr>
              <w:t>Required fineness; mill capacity; grinding-media separation; slurry temperature; storage residence and sedimentation</w:t>
            </w:r>
          </w:p>
        </w:tc>
      </w:tr>
    </w:tbl>
    <w:p>
      <w:pPr>
        <w:spacing w:after="20"/>
      </w:pPr>
    </w:p>
    <w:p>
      <w:pPr>
        <w:pStyle w:val="Heading2"/>
      </w:pPr>
      <w:r>
        <w:t>Dry Fly Ash Preparation</w:t>
      </w:r>
    </w:p>
    <w:p>
      <w:r>
        <w:t>Suitable dry fly ash may be transferred from storage to the slurry-preparation section through a selected enclosed conveying arrangement. A screw conveyor is one possible configuration; the final method should be selected according to the material condition, transfer distance, required feed rate, plant layout and dust-control strategy. Water is then added under controlled conditions to form the primary slurry.</w:t>
      </w:r>
    </w:p>
    <w:p>
      <w:pPr>
        <w:pStyle w:val="Heading2"/>
      </w:pPr>
      <w:r>
        <w:t>Pond Ash or Bottom Ash Preparation</w:t>
      </w:r>
    </w:p>
    <w:p>
      <w:r>
        <w:t>Pond ash or bottom ash may be considered only after its physical and chemical suitability has been established. A loader-fed arrangement can be used where the material is received and handled in bulk. Depending on the particle size and process requirement, further preparation or grinding may be required before slurry screening and storage.</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140" w:type="dxa"/>
              <w:start w:w="170" w:type="dxa"/>
              <w:bottom w:w="140" w:type="dxa"/>
              <w:end w:w="170" w:type="dxa"/>
            </w:tcMar>
            <w:shd w:fill="EEF2F5"/>
          </w:tcPr>
          <w:p>
            <w:pPr>
              <w:spacing w:after="0"/>
            </w:pPr>
            <w:r>
              <w:rPr>
                <w:b/>
                <w:color w:val="0C4F80"/>
              </w:rPr>
              <w:t xml:space="preserve">Material-suitability note  </w:t>
            </w:r>
            <w:r>
              <w:t>The terms pond ash and bottom ash do not by themselves confirm suitability for AAC. Representative sampling, laboratory evaluation and production trials should guide the formulation and equipment design.</w:t>
            </w:r>
          </w:p>
        </w:tc>
      </w:tr>
    </w:tbl>
    <w:p>
      <w:pPr>
        <w:spacing w:after="0"/>
      </w:pPr>
    </w:p>
    <w:p>
      <w:pPr>
        <w:pStyle w:val="Heading2"/>
      </w:pPr>
      <w:r>
        <w:t>Sand Grinding and Sand Slurry Preparation</w:t>
      </w:r>
    </w:p>
    <w:p>
      <w:r>
        <w:t>Sand normally requires particle-size evaluation and commonly requires wet grinding before it can be used in the AAC process. In a sand-based system, a ball mill reduces the material to the fineness established for the selected formulation. The resulting slurry is screened to separate oversize material and foreign matter before density verification and storage.</w:t>
      </w:r>
    </w:p>
    <w:p>
      <w:r>
        <w:t>Sand slurry can settle during storage because the solid particles and water have different densities. Storage tanks therefore require an appropriate agitation and circulation strategy. Slurry temperature after grinding and the available storage residence time should also be considered because both can influence the downstream mixing and rising process.</w:t>
      </w:r>
    </w:p>
    <w:p>
      <w:pPr>
        <w:pStyle w:val="Heading2"/>
      </w:pPr>
      <w:r>
        <w:t>Slurry Screening and Storage</w:t>
      </w:r>
    </w:p>
    <w:p>
      <w:r>
        <w:t>Screening helps remove oversize particles, foreign matter and, where applicable, grinding-media fragments before the slurry reaches downstream equipment. Screen selection should consider particle size, flow rate, cleaning access and the abrasiveness of the material. The screened slurry is transferred to storage tanks equipped for the required agitation, level monitoring and controlled delivery to batching.</w:t>
      </w:r>
    </w:p>
    <w:p>
      <w:pPr>
        <w:pStyle w:val="Heading1"/>
      </w:pPr>
      <w:r>
        <w:t>How Slurry Density Affects Batch Accuracy</w:t>
      </w:r>
    </w:p>
    <w:p>
      <w:r>
        <w:t>Slurry density is an important process-control indicator because it reflects the relationship between the liquid and suspended solids. If slurry concentration changes, the amount of fly ash or sand delivered in a nominally identical slurry quantity can also change. The recipe must therefore use a verified relationship between density, material composition and solid content rather than relying only on slurry volume.</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140" w:type="dxa"/>
              <w:start w:w="170" w:type="dxa"/>
              <w:bottom w:w="140" w:type="dxa"/>
              <w:end w:w="170" w:type="dxa"/>
            </w:tcMar>
            <w:shd w:fill="EEF2F5"/>
          </w:tcPr>
          <w:p>
            <w:pPr>
              <w:spacing w:after="0"/>
            </w:pPr>
            <w:r>
              <w:rPr>
                <w:b/>
                <w:color w:val="0C4F80"/>
              </w:rPr>
              <w:t xml:space="preserve">Important limitation  </w:t>
            </w:r>
            <w:r>
              <w:t>Density alone does not provide a universal solid-content value for every raw material. The plant should use a material-specific, technically validated method for density measurement, sampling and recipe correction.</w:t>
            </w:r>
          </w:p>
        </w:tc>
      </w:tr>
    </w:tbl>
    <w:p>
      <w:pPr>
        <w:spacing w:after="0"/>
      </w:pPr>
    </w:p>
    <w:tbl>
      <w:tblPr>
        <w:tblStyle w:val="TableGrid"/>
        <w:tblW w:type="dxa" w:w="9360"/>
        <w:jc w:val="center"/>
        <w:tblLayout w:type="fixed"/>
        <w:tblLook w:firstColumn="1" w:firstRow="1" w:lastColumn="0" w:lastRow="0" w:noHBand="0" w:noVBand="1" w:val="04A0"/>
      </w:tblPr>
      <w:tblGrid>
        <w:gridCol w:w="2050"/>
        <w:gridCol w:w="3340"/>
        <w:gridCol w:w="3970"/>
      </w:tblGrid>
      <w:tr>
        <w:trPr>
          <w:tblHeader w:val="true"/>
        </w:trPr>
        <w:tc>
          <w:tcPr>
            <w:tcW w:type="dxa" w:w="2050"/>
            <w:vAlign w:val="center"/>
            <w:tcMar>
              <w:top w:w="70" w:type="dxa"/>
              <w:start w:w="110" w:type="dxa"/>
              <w:bottom w:w="70" w:type="dxa"/>
              <w:end w:w="110" w:type="dxa"/>
            </w:tcMar>
            <w:shd w:fill="0B1727"/>
          </w:tcPr>
          <w:p>
            <w:pPr>
              <w:spacing w:after="0"/>
            </w:pPr>
            <w:r>
              <w:rPr>
                <w:rFonts w:ascii="Arial" w:hAnsi="Arial"/>
                <w:b/>
                <w:color w:val="FFFFFF"/>
                <w:sz w:val="18"/>
              </w:rPr>
              <w:t>Control point</w:t>
            </w:r>
          </w:p>
        </w:tc>
        <w:tc>
          <w:tcPr>
            <w:tcW w:type="dxa" w:w="3340"/>
            <w:vAlign w:val="center"/>
            <w:tcMar>
              <w:top w:w="70" w:type="dxa"/>
              <w:start w:w="110" w:type="dxa"/>
              <w:bottom w:w="70" w:type="dxa"/>
              <w:end w:w="110" w:type="dxa"/>
            </w:tcMar>
            <w:shd w:fill="0B1727"/>
          </w:tcPr>
          <w:p>
            <w:pPr>
              <w:spacing w:after="0"/>
            </w:pPr>
            <w:r>
              <w:rPr>
                <w:rFonts w:ascii="Arial" w:hAnsi="Arial"/>
                <w:b/>
                <w:color w:val="FFFFFF"/>
                <w:sz w:val="18"/>
              </w:rPr>
              <w:t>Purpose</w:t>
            </w:r>
          </w:p>
        </w:tc>
        <w:tc>
          <w:tcPr>
            <w:tcW w:type="dxa" w:w="3970"/>
            <w:vAlign w:val="center"/>
            <w:tcMar>
              <w:top w:w="70" w:type="dxa"/>
              <w:start w:w="110" w:type="dxa"/>
              <w:bottom w:w="70" w:type="dxa"/>
              <w:end w:w="110" w:type="dxa"/>
            </w:tcMar>
            <w:shd w:fill="0B1727"/>
          </w:tcPr>
          <w:p>
            <w:pPr>
              <w:spacing w:after="0"/>
            </w:pPr>
            <w:r>
              <w:rPr>
                <w:rFonts w:ascii="Arial" w:hAnsi="Arial"/>
                <w:b/>
                <w:color w:val="FFFFFF"/>
                <w:sz w:val="18"/>
              </w:rPr>
              <w:t>Typical verification approach</w:t>
            </w:r>
          </w:p>
        </w:tc>
      </w:tr>
      <w:tr>
        <w:tc>
          <w:tcPr>
            <w:tcW w:type="dxa" w:w="2050"/>
            <w:vAlign w:val="center"/>
            <w:tcMar>
              <w:top w:w="70" w:type="dxa"/>
              <w:start w:w="110" w:type="dxa"/>
              <w:bottom w:w="70" w:type="dxa"/>
              <w:end w:w="110" w:type="dxa"/>
            </w:tcMar>
          </w:tcPr>
          <w:p>
            <w:pPr>
              <w:spacing w:after="0" w:line="252" w:lineRule="auto"/>
            </w:pPr>
            <w:r>
              <w:rPr>
                <w:rFonts w:ascii="Arial" w:hAnsi="Arial"/>
                <w:color w:val="0B1727"/>
                <w:sz w:val="17"/>
              </w:rPr>
              <w:t>Slurry density or concentration</w:t>
            </w:r>
          </w:p>
        </w:tc>
        <w:tc>
          <w:tcPr>
            <w:tcW w:type="dxa" w:w="3340"/>
            <w:vAlign w:val="center"/>
            <w:tcMar>
              <w:top w:w="70" w:type="dxa"/>
              <w:start w:w="110" w:type="dxa"/>
              <w:bottom w:w="70" w:type="dxa"/>
              <w:end w:w="110" w:type="dxa"/>
            </w:tcMar>
          </w:tcPr>
          <w:p>
            <w:pPr>
              <w:spacing w:after="0" w:line="252" w:lineRule="auto"/>
            </w:pPr>
            <w:r>
              <w:rPr>
                <w:rFonts w:ascii="Arial" w:hAnsi="Arial"/>
                <w:color w:val="0B1727"/>
                <w:sz w:val="17"/>
              </w:rPr>
              <w:t>Estimate whether the slurry matches the approved batching condition</w:t>
            </w:r>
          </w:p>
        </w:tc>
        <w:tc>
          <w:tcPr>
            <w:tcW w:type="dxa" w:w="3970"/>
            <w:vAlign w:val="center"/>
            <w:tcMar>
              <w:top w:w="70" w:type="dxa"/>
              <w:start w:w="110" w:type="dxa"/>
              <w:bottom w:w="70" w:type="dxa"/>
              <w:end w:w="110" w:type="dxa"/>
            </w:tcMar>
          </w:tcPr>
          <w:p>
            <w:pPr>
              <w:spacing w:after="0" w:line="252" w:lineRule="auto"/>
            </w:pPr>
            <w:r>
              <w:rPr>
                <w:rFonts w:ascii="Arial" w:hAnsi="Arial"/>
                <w:color w:val="0B1727"/>
                <w:sz w:val="17"/>
              </w:rPr>
              <w:t>Manual or instrument-based measurement supported by a validated material relationship</w:t>
            </w:r>
          </w:p>
        </w:tc>
      </w:tr>
      <w:tr>
        <w:tc>
          <w:tcPr>
            <w:tcW w:type="dxa" w:w="2050"/>
            <w:shd w:fill="F5F7F8"/>
            <w:vAlign w:val="center"/>
            <w:tcMar>
              <w:top w:w="70" w:type="dxa"/>
              <w:start w:w="110" w:type="dxa"/>
              <w:bottom w:w="70" w:type="dxa"/>
              <w:end w:w="110" w:type="dxa"/>
            </w:tcMar>
          </w:tcPr>
          <w:p>
            <w:pPr>
              <w:spacing w:after="0" w:line="252" w:lineRule="auto"/>
            </w:pPr>
            <w:r>
              <w:rPr>
                <w:rFonts w:ascii="Arial" w:hAnsi="Arial"/>
                <w:color w:val="0B1727"/>
                <w:sz w:val="17"/>
              </w:rPr>
              <w:t>Slurry temperature</w:t>
            </w:r>
          </w:p>
        </w:tc>
        <w:tc>
          <w:tcPr>
            <w:tcW w:type="dxa" w:w="3340"/>
            <w:shd w:fill="F5F7F8"/>
            <w:vAlign w:val="center"/>
            <w:tcMar>
              <w:top w:w="70" w:type="dxa"/>
              <w:start w:w="110" w:type="dxa"/>
              <w:bottom w:w="70" w:type="dxa"/>
              <w:end w:w="110" w:type="dxa"/>
            </w:tcMar>
          </w:tcPr>
          <w:p>
            <w:pPr>
              <w:spacing w:after="0" w:line="252" w:lineRule="auto"/>
            </w:pPr>
            <w:r>
              <w:rPr>
                <w:rFonts w:ascii="Arial" w:hAnsi="Arial"/>
                <w:color w:val="0B1727"/>
                <w:sz w:val="17"/>
              </w:rPr>
              <w:t>Identify temperature variation entering mixing and rising</w:t>
            </w:r>
          </w:p>
        </w:tc>
        <w:tc>
          <w:tcPr>
            <w:tcW w:type="dxa" w:w="3970"/>
            <w:shd w:fill="F5F7F8"/>
            <w:vAlign w:val="center"/>
            <w:tcMar>
              <w:top w:w="70" w:type="dxa"/>
              <w:start w:w="110" w:type="dxa"/>
              <w:bottom w:w="70" w:type="dxa"/>
              <w:end w:w="110" w:type="dxa"/>
            </w:tcMar>
          </w:tcPr>
          <w:p>
            <w:pPr>
              <w:spacing w:after="0" w:line="252" w:lineRule="auto"/>
            </w:pPr>
            <w:r>
              <w:rPr>
                <w:rFonts w:ascii="Arial" w:hAnsi="Arial"/>
                <w:color w:val="0B1727"/>
                <w:sz w:val="17"/>
              </w:rPr>
              <w:t>Defined sampling or sensor location with an approved operating range</w:t>
            </w:r>
          </w:p>
        </w:tc>
      </w:tr>
      <w:tr>
        <w:tc>
          <w:tcPr>
            <w:tcW w:type="dxa" w:w="2050"/>
            <w:vAlign w:val="center"/>
            <w:tcMar>
              <w:top w:w="70" w:type="dxa"/>
              <w:start w:w="110" w:type="dxa"/>
              <w:bottom w:w="70" w:type="dxa"/>
              <w:end w:w="110" w:type="dxa"/>
            </w:tcMar>
          </w:tcPr>
          <w:p>
            <w:pPr>
              <w:spacing w:after="0" w:line="252" w:lineRule="auto"/>
            </w:pPr>
            <w:r>
              <w:rPr>
                <w:rFonts w:ascii="Arial" w:hAnsi="Arial"/>
                <w:color w:val="0B1727"/>
                <w:sz w:val="17"/>
              </w:rPr>
              <w:t>Agitation and circulation</w:t>
            </w:r>
          </w:p>
        </w:tc>
        <w:tc>
          <w:tcPr>
            <w:tcW w:type="dxa" w:w="3340"/>
            <w:vAlign w:val="center"/>
            <w:tcMar>
              <w:top w:w="70" w:type="dxa"/>
              <w:start w:w="110" w:type="dxa"/>
              <w:bottom w:w="70" w:type="dxa"/>
              <w:end w:w="110" w:type="dxa"/>
            </w:tcMar>
          </w:tcPr>
          <w:p>
            <w:pPr>
              <w:spacing w:after="0" w:line="252" w:lineRule="auto"/>
            </w:pPr>
            <w:r>
              <w:rPr>
                <w:rFonts w:ascii="Arial" w:hAnsi="Arial"/>
                <w:color w:val="0B1727"/>
                <w:sz w:val="17"/>
              </w:rPr>
              <w:t>Limit sedimentation and concentration gradients</w:t>
            </w:r>
          </w:p>
        </w:tc>
        <w:tc>
          <w:tcPr>
            <w:tcW w:type="dxa" w:w="3970"/>
            <w:vAlign w:val="center"/>
            <w:tcMar>
              <w:top w:w="70" w:type="dxa"/>
              <w:start w:w="110" w:type="dxa"/>
              <w:bottom w:w="70" w:type="dxa"/>
              <w:end w:w="110" w:type="dxa"/>
            </w:tcMar>
          </w:tcPr>
          <w:p>
            <w:pPr>
              <w:spacing w:after="0" w:line="252" w:lineRule="auto"/>
            </w:pPr>
            <w:r>
              <w:rPr>
                <w:rFonts w:ascii="Arial" w:hAnsi="Arial"/>
                <w:color w:val="0B1727"/>
                <w:sz w:val="17"/>
              </w:rPr>
              <w:t>Tank observation, circulation check and representative sampling</w:t>
            </w:r>
          </w:p>
        </w:tc>
      </w:tr>
      <w:tr>
        <w:tc>
          <w:tcPr>
            <w:tcW w:type="dxa" w:w="2050"/>
            <w:shd w:fill="F5F7F8"/>
            <w:vAlign w:val="center"/>
            <w:tcMar>
              <w:top w:w="70" w:type="dxa"/>
              <w:start w:w="110" w:type="dxa"/>
              <w:bottom w:w="70" w:type="dxa"/>
              <w:end w:w="110" w:type="dxa"/>
            </w:tcMar>
          </w:tcPr>
          <w:p>
            <w:pPr>
              <w:spacing w:after="0" w:line="252" w:lineRule="auto"/>
            </w:pPr>
            <w:r>
              <w:rPr>
                <w:rFonts w:ascii="Arial" w:hAnsi="Arial"/>
                <w:color w:val="0B1727"/>
                <w:sz w:val="17"/>
              </w:rPr>
              <w:t>Tank level and availability</w:t>
            </w:r>
          </w:p>
        </w:tc>
        <w:tc>
          <w:tcPr>
            <w:tcW w:type="dxa" w:w="3340"/>
            <w:shd w:fill="F5F7F8"/>
            <w:vAlign w:val="center"/>
            <w:tcMar>
              <w:top w:w="70" w:type="dxa"/>
              <w:start w:w="110" w:type="dxa"/>
              <w:bottom w:w="70" w:type="dxa"/>
              <w:end w:w="110" w:type="dxa"/>
            </w:tcMar>
          </w:tcPr>
          <w:p>
            <w:pPr>
              <w:spacing w:after="0" w:line="252" w:lineRule="auto"/>
            </w:pPr>
            <w:r>
              <w:rPr>
                <w:rFonts w:ascii="Arial" w:hAnsi="Arial"/>
                <w:color w:val="0B1727"/>
                <w:sz w:val="17"/>
              </w:rPr>
              <w:t>Prevent incomplete or interrupted batches</w:t>
            </w:r>
          </w:p>
        </w:tc>
        <w:tc>
          <w:tcPr>
            <w:tcW w:type="dxa" w:w="3970"/>
            <w:shd w:fill="F5F7F8"/>
            <w:vAlign w:val="center"/>
            <w:tcMar>
              <w:top w:w="70" w:type="dxa"/>
              <w:start w:w="110" w:type="dxa"/>
              <w:bottom w:w="70" w:type="dxa"/>
              <w:end w:w="110" w:type="dxa"/>
            </w:tcMar>
          </w:tcPr>
          <w:p>
            <w:pPr>
              <w:spacing w:after="0" w:line="252" w:lineRule="auto"/>
            </w:pPr>
            <w:r>
              <w:rPr>
                <w:rFonts w:ascii="Arial" w:hAnsi="Arial"/>
                <w:color w:val="0B1727"/>
                <w:sz w:val="17"/>
              </w:rPr>
              <w:t>Level indication and PLC permissive where provided</w:t>
            </w:r>
          </w:p>
        </w:tc>
      </w:tr>
      <w:tr>
        <w:tc>
          <w:tcPr>
            <w:tcW w:type="dxa" w:w="2050"/>
            <w:vAlign w:val="center"/>
            <w:tcMar>
              <w:top w:w="70" w:type="dxa"/>
              <w:start w:w="110" w:type="dxa"/>
              <w:bottom w:w="70" w:type="dxa"/>
              <w:end w:w="110" w:type="dxa"/>
            </w:tcMar>
          </w:tcPr>
          <w:p>
            <w:pPr>
              <w:spacing w:after="0" w:line="252" w:lineRule="auto"/>
            </w:pPr>
            <w:r>
              <w:rPr>
                <w:rFonts w:ascii="Arial" w:hAnsi="Arial"/>
                <w:color w:val="0B1727"/>
                <w:sz w:val="17"/>
              </w:rPr>
              <w:t>Transfer quantity</w:t>
            </w:r>
          </w:p>
        </w:tc>
        <w:tc>
          <w:tcPr>
            <w:tcW w:type="dxa" w:w="3340"/>
            <w:vAlign w:val="center"/>
            <w:tcMar>
              <w:top w:w="70" w:type="dxa"/>
              <w:start w:w="110" w:type="dxa"/>
              <w:bottom w:w="70" w:type="dxa"/>
              <w:end w:w="110" w:type="dxa"/>
            </w:tcMar>
          </w:tcPr>
          <w:p>
            <w:pPr>
              <w:spacing w:after="0" w:line="252" w:lineRule="auto"/>
            </w:pPr>
            <w:r>
              <w:rPr>
                <w:rFonts w:ascii="Arial" w:hAnsi="Arial"/>
                <w:color w:val="0B1727"/>
                <w:sz w:val="17"/>
              </w:rPr>
              <w:t>Deliver the recipe requirement</w:t>
            </w:r>
          </w:p>
        </w:tc>
        <w:tc>
          <w:tcPr>
            <w:tcW w:type="dxa" w:w="3970"/>
            <w:vAlign w:val="center"/>
            <w:tcMar>
              <w:top w:w="70" w:type="dxa"/>
              <w:start w:w="110" w:type="dxa"/>
              <w:bottom w:w="70" w:type="dxa"/>
              <w:end w:w="110" w:type="dxa"/>
            </w:tcMar>
          </w:tcPr>
          <w:p>
            <w:pPr>
              <w:spacing w:after="0" w:line="252" w:lineRule="auto"/>
            </w:pPr>
            <w:r>
              <w:rPr>
                <w:rFonts w:ascii="Arial" w:hAnsi="Arial"/>
                <w:color w:val="0B1727"/>
                <w:sz w:val="17"/>
              </w:rPr>
              <w:t>Calibrated weighing or another verified measurement method</w:t>
            </w:r>
          </w:p>
        </w:tc>
      </w:tr>
    </w:tbl>
    <w:p>
      <w:pPr>
        <w:spacing w:after="20"/>
      </w:pPr>
    </w:p>
    <w:p>
      <w:pPr>
        <w:pStyle w:val="Heading1"/>
      </w:pPr>
      <w:r>
        <w:t>Equipment Included in an AAC Batching System</w:t>
      </w:r>
    </w:p>
    <w:p>
      <w:r>
        <w:t>The final scope depends on the raw material, batch size, plant layout and automation philosophy. A system may include the following functional groups:</w:t>
      </w:r>
    </w:p>
    <w:tbl>
      <w:tblPr>
        <w:tblStyle w:val="TableGrid"/>
        <w:tblW w:type="dxa" w:w="9360"/>
        <w:jc w:val="center"/>
        <w:tblLayout w:type="fixed"/>
        <w:tblLook w:firstColumn="1" w:firstRow="1" w:lastColumn="0" w:lastRow="0" w:noHBand="0" w:noVBand="1" w:val="04A0"/>
      </w:tblPr>
      <w:tblGrid>
        <w:gridCol w:w="1750"/>
        <w:gridCol w:w="3220"/>
        <w:gridCol w:w="4390"/>
      </w:tblGrid>
      <w:tr>
        <w:trPr>
          <w:tblHeader w:val="true"/>
        </w:trPr>
        <w:tc>
          <w:tcPr>
            <w:tcW w:type="dxa" w:w="1750"/>
            <w:vAlign w:val="center"/>
            <w:tcMar>
              <w:top w:w="70" w:type="dxa"/>
              <w:start w:w="110" w:type="dxa"/>
              <w:bottom w:w="70" w:type="dxa"/>
              <w:end w:w="110" w:type="dxa"/>
            </w:tcMar>
            <w:shd w:fill="0B1727"/>
          </w:tcPr>
          <w:p>
            <w:pPr>
              <w:spacing w:after="0"/>
            </w:pPr>
            <w:r>
              <w:rPr>
                <w:rFonts w:ascii="Arial" w:hAnsi="Arial"/>
                <w:b/>
                <w:color w:val="FFFFFF"/>
                <w:sz w:val="18"/>
              </w:rPr>
              <w:t>Function</w:t>
            </w:r>
          </w:p>
        </w:tc>
        <w:tc>
          <w:tcPr>
            <w:tcW w:type="dxa" w:w="3220"/>
            <w:vAlign w:val="center"/>
            <w:tcMar>
              <w:top w:w="70" w:type="dxa"/>
              <w:start w:w="110" w:type="dxa"/>
              <w:bottom w:w="70" w:type="dxa"/>
              <w:end w:w="110" w:type="dxa"/>
            </w:tcMar>
            <w:shd w:fill="0B1727"/>
          </w:tcPr>
          <w:p>
            <w:pPr>
              <w:spacing w:after="0"/>
            </w:pPr>
            <w:r>
              <w:rPr>
                <w:rFonts w:ascii="Arial" w:hAnsi="Arial"/>
                <w:b/>
                <w:color w:val="FFFFFF"/>
                <w:sz w:val="18"/>
              </w:rPr>
              <w:t>Possible equipment</w:t>
            </w:r>
          </w:p>
        </w:tc>
        <w:tc>
          <w:tcPr>
            <w:tcW w:type="dxa" w:w="4390"/>
            <w:vAlign w:val="center"/>
            <w:tcMar>
              <w:top w:w="70" w:type="dxa"/>
              <w:start w:w="110" w:type="dxa"/>
              <w:bottom w:w="70" w:type="dxa"/>
              <w:end w:w="110" w:type="dxa"/>
            </w:tcMar>
            <w:shd w:fill="0B1727"/>
          </w:tcPr>
          <w:p>
            <w:pPr>
              <w:spacing w:after="0"/>
            </w:pPr>
            <w:r>
              <w:rPr>
                <w:rFonts w:ascii="Arial" w:hAnsi="Arial"/>
                <w:b/>
                <w:color w:val="FFFFFF"/>
                <w:sz w:val="18"/>
              </w:rPr>
              <w:t>Selection considerations</w:t>
            </w:r>
          </w:p>
        </w:tc>
      </w:tr>
      <w:tr>
        <w:tc>
          <w:tcPr>
            <w:tcW w:type="dxa" w:w="1750"/>
            <w:vAlign w:val="center"/>
            <w:tcMar>
              <w:top w:w="70" w:type="dxa"/>
              <w:start w:w="110" w:type="dxa"/>
              <w:bottom w:w="70" w:type="dxa"/>
              <w:end w:w="110" w:type="dxa"/>
            </w:tcMar>
          </w:tcPr>
          <w:p>
            <w:pPr>
              <w:spacing w:after="0" w:line="252" w:lineRule="auto"/>
            </w:pPr>
            <w:r>
              <w:rPr>
                <w:rFonts w:ascii="Arial" w:hAnsi="Arial"/>
                <w:color w:val="0B1727"/>
                <w:sz w:val="17"/>
              </w:rPr>
              <w:t>Dry-material storage</w:t>
            </w:r>
          </w:p>
        </w:tc>
        <w:tc>
          <w:tcPr>
            <w:tcW w:type="dxa" w:w="3220"/>
            <w:vAlign w:val="center"/>
            <w:tcMar>
              <w:top w:w="70" w:type="dxa"/>
              <w:start w:w="110" w:type="dxa"/>
              <w:bottom w:w="70" w:type="dxa"/>
              <w:end w:w="110" w:type="dxa"/>
            </w:tcMar>
          </w:tcPr>
          <w:p>
            <w:pPr>
              <w:spacing w:after="0" w:line="252" w:lineRule="auto"/>
            </w:pPr>
            <w:r>
              <w:rPr>
                <w:rFonts w:ascii="Arial" w:hAnsi="Arial"/>
                <w:color w:val="0B1727"/>
                <w:sz w:val="17"/>
              </w:rPr>
              <w:t>Cement, lime and gypsum silos; level devices; dust collection</w:t>
            </w:r>
          </w:p>
        </w:tc>
        <w:tc>
          <w:tcPr>
            <w:tcW w:type="dxa" w:w="4390"/>
            <w:vAlign w:val="center"/>
            <w:tcMar>
              <w:top w:w="70" w:type="dxa"/>
              <w:start w:w="110" w:type="dxa"/>
              <w:bottom w:w="70" w:type="dxa"/>
              <w:end w:w="110" w:type="dxa"/>
            </w:tcMar>
          </w:tcPr>
          <w:p>
            <w:pPr>
              <w:spacing w:after="0" w:line="252" w:lineRule="auto"/>
            </w:pPr>
            <w:r>
              <w:rPr>
                <w:rFonts w:ascii="Arial" w:hAnsi="Arial"/>
                <w:color w:val="0B1727"/>
                <w:sz w:val="17"/>
              </w:rPr>
              <w:t>Consumption, delivery method, autonomy, moisture protection and maintenance access</w:t>
            </w:r>
          </w:p>
        </w:tc>
      </w:tr>
      <w:tr>
        <w:tc>
          <w:tcPr>
            <w:tcW w:type="dxa" w:w="1750"/>
            <w:shd w:fill="F5F7F8"/>
            <w:vAlign w:val="center"/>
            <w:tcMar>
              <w:top w:w="70" w:type="dxa"/>
              <w:start w:w="110" w:type="dxa"/>
              <w:bottom w:w="70" w:type="dxa"/>
              <w:end w:w="110" w:type="dxa"/>
            </w:tcMar>
          </w:tcPr>
          <w:p>
            <w:pPr>
              <w:spacing w:after="0" w:line="252" w:lineRule="auto"/>
            </w:pPr>
            <w:r>
              <w:rPr>
                <w:rFonts w:ascii="Arial" w:hAnsi="Arial"/>
                <w:color w:val="0B1727"/>
                <w:sz w:val="17"/>
              </w:rPr>
              <w:t>Dry-material transfer</w:t>
            </w:r>
          </w:p>
        </w:tc>
        <w:tc>
          <w:tcPr>
            <w:tcW w:type="dxa" w:w="3220"/>
            <w:shd w:fill="F5F7F8"/>
            <w:vAlign w:val="center"/>
            <w:tcMar>
              <w:top w:w="70" w:type="dxa"/>
              <w:start w:w="110" w:type="dxa"/>
              <w:bottom w:w="70" w:type="dxa"/>
              <w:end w:w="110" w:type="dxa"/>
            </w:tcMar>
          </w:tcPr>
          <w:p>
            <w:pPr>
              <w:spacing w:after="0" w:line="252" w:lineRule="auto"/>
            </w:pPr>
            <w:r>
              <w:rPr>
                <w:rFonts w:ascii="Arial" w:hAnsi="Arial"/>
                <w:color w:val="0B1727"/>
                <w:sz w:val="17"/>
              </w:rPr>
              <w:t>Screw conveyors, feeders, valves or pneumatic systems</w:t>
            </w:r>
          </w:p>
        </w:tc>
        <w:tc>
          <w:tcPr>
            <w:tcW w:type="dxa" w:w="4390"/>
            <w:shd w:fill="F5F7F8"/>
            <w:vAlign w:val="center"/>
            <w:tcMar>
              <w:top w:w="70" w:type="dxa"/>
              <w:start w:w="110" w:type="dxa"/>
              <w:bottom w:w="70" w:type="dxa"/>
              <w:end w:w="110" w:type="dxa"/>
            </w:tcMar>
          </w:tcPr>
          <w:p>
            <w:pPr>
              <w:spacing w:after="0" w:line="252" w:lineRule="auto"/>
            </w:pPr>
            <w:r>
              <w:rPr>
                <w:rFonts w:ascii="Arial" w:hAnsi="Arial"/>
                <w:color w:val="0B1727"/>
                <w:sz w:val="17"/>
              </w:rPr>
              <w:t>Material flow behaviour, distance, accuracy, dust and wear</w:t>
            </w:r>
          </w:p>
        </w:tc>
      </w:tr>
      <w:tr>
        <w:tc>
          <w:tcPr>
            <w:tcW w:type="dxa" w:w="1750"/>
            <w:vAlign w:val="center"/>
            <w:tcMar>
              <w:top w:w="70" w:type="dxa"/>
              <w:start w:w="110" w:type="dxa"/>
              <w:bottom w:w="70" w:type="dxa"/>
              <w:end w:w="110" w:type="dxa"/>
            </w:tcMar>
          </w:tcPr>
          <w:p>
            <w:pPr>
              <w:spacing w:after="0" w:line="252" w:lineRule="auto"/>
            </w:pPr>
            <w:r>
              <w:rPr>
                <w:rFonts w:ascii="Arial" w:hAnsi="Arial"/>
                <w:color w:val="0B1727"/>
                <w:sz w:val="17"/>
              </w:rPr>
              <w:t>Slurry preparation</w:t>
            </w:r>
          </w:p>
        </w:tc>
        <w:tc>
          <w:tcPr>
            <w:tcW w:type="dxa" w:w="3220"/>
            <w:vAlign w:val="center"/>
            <w:tcMar>
              <w:top w:w="70" w:type="dxa"/>
              <w:start w:w="110" w:type="dxa"/>
              <w:bottom w:w="70" w:type="dxa"/>
              <w:end w:w="110" w:type="dxa"/>
            </w:tcMar>
          </w:tcPr>
          <w:p>
            <w:pPr>
              <w:spacing w:after="0" w:line="252" w:lineRule="auto"/>
            </w:pPr>
            <w:r>
              <w:rPr>
                <w:rFonts w:ascii="Arial" w:hAnsi="Arial"/>
                <w:color w:val="0B1727"/>
                <w:sz w:val="17"/>
              </w:rPr>
              <w:t>Preparation tank, agitator, water addition, pumps and piping</w:t>
            </w:r>
          </w:p>
        </w:tc>
        <w:tc>
          <w:tcPr>
            <w:tcW w:type="dxa" w:w="4390"/>
            <w:vAlign w:val="center"/>
            <w:tcMar>
              <w:top w:w="70" w:type="dxa"/>
              <w:start w:w="110" w:type="dxa"/>
              <w:bottom w:w="70" w:type="dxa"/>
              <w:end w:w="110" w:type="dxa"/>
            </w:tcMar>
          </w:tcPr>
          <w:p>
            <w:pPr>
              <w:spacing w:after="0" w:line="252" w:lineRule="auto"/>
            </w:pPr>
            <w:r>
              <w:rPr>
                <w:rFonts w:ascii="Arial" w:hAnsi="Arial"/>
                <w:color w:val="0B1727"/>
                <w:sz w:val="17"/>
              </w:rPr>
              <w:t>Material route, required throughput, mixing energy and cleaning</w:t>
            </w:r>
          </w:p>
        </w:tc>
      </w:tr>
      <w:tr>
        <w:tc>
          <w:tcPr>
            <w:tcW w:type="dxa" w:w="1750"/>
            <w:shd w:fill="F5F7F8"/>
            <w:vAlign w:val="center"/>
            <w:tcMar>
              <w:top w:w="70" w:type="dxa"/>
              <w:start w:w="110" w:type="dxa"/>
              <w:bottom w:w="70" w:type="dxa"/>
              <w:end w:w="110" w:type="dxa"/>
            </w:tcMar>
          </w:tcPr>
          <w:p>
            <w:pPr>
              <w:spacing w:after="0" w:line="252" w:lineRule="auto"/>
            </w:pPr>
            <w:r>
              <w:rPr>
                <w:rFonts w:ascii="Arial" w:hAnsi="Arial"/>
                <w:color w:val="0B1727"/>
                <w:sz w:val="17"/>
              </w:rPr>
              <w:t>Sand preparation</w:t>
            </w:r>
          </w:p>
        </w:tc>
        <w:tc>
          <w:tcPr>
            <w:tcW w:type="dxa" w:w="3220"/>
            <w:shd w:fill="F5F7F8"/>
            <w:vAlign w:val="center"/>
            <w:tcMar>
              <w:top w:w="70" w:type="dxa"/>
              <w:start w:w="110" w:type="dxa"/>
              <w:bottom w:w="70" w:type="dxa"/>
              <w:end w:w="110" w:type="dxa"/>
            </w:tcMar>
          </w:tcPr>
          <w:p>
            <w:pPr>
              <w:spacing w:after="0" w:line="252" w:lineRule="auto"/>
            </w:pPr>
            <w:r>
              <w:rPr>
                <w:rFonts w:ascii="Arial" w:hAnsi="Arial"/>
                <w:color w:val="0B1727"/>
                <w:sz w:val="17"/>
              </w:rPr>
              <w:t>Feeding arrangement, ball mill, screen and slurry transfer</w:t>
            </w:r>
          </w:p>
        </w:tc>
        <w:tc>
          <w:tcPr>
            <w:tcW w:type="dxa" w:w="4390"/>
            <w:shd w:fill="F5F7F8"/>
            <w:vAlign w:val="center"/>
            <w:tcMar>
              <w:top w:w="70" w:type="dxa"/>
              <w:start w:w="110" w:type="dxa"/>
              <w:bottom w:w="70" w:type="dxa"/>
              <w:end w:w="110" w:type="dxa"/>
            </w:tcMar>
          </w:tcPr>
          <w:p>
            <w:pPr>
              <w:spacing w:after="0" w:line="252" w:lineRule="auto"/>
            </w:pPr>
            <w:r>
              <w:rPr>
                <w:rFonts w:ascii="Arial" w:hAnsi="Arial"/>
                <w:color w:val="0B1727"/>
                <w:sz w:val="17"/>
              </w:rPr>
              <w:t>Fineness requirement, mill duty, temperature and wear</w:t>
            </w:r>
          </w:p>
        </w:tc>
      </w:tr>
      <w:tr>
        <w:tc>
          <w:tcPr>
            <w:tcW w:type="dxa" w:w="1750"/>
            <w:vAlign w:val="center"/>
            <w:tcMar>
              <w:top w:w="70" w:type="dxa"/>
              <w:start w:w="110" w:type="dxa"/>
              <w:bottom w:w="70" w:type="dxa"/>
              <w:end w:w="110" w:type="dxa"/>
            </w:tcMar>
          </w:tcPr>
          <w:p>
            <w:pPr>
              <w:spacing w:after="0" w:line="252" w:lineRule="auto"/>
            </w:pPr>
            <w:r>
              <w:rPr>
                <w:rFonts w:ascii="Arial" w:hAnsi="Arial"/>
                <w:color w:val="0B1727"/>
                <w:sz w:val="17"/>
              </w:rPr>
              <w:t>Slurry storage</w:t>
            </w:r>
          </w:p>
        </w:tc>
        <w:tc>
          <w:tcPr>
            <w:tcW w:type="dxa" w:w="3220"/>
            <w:vAlign w:val="center"/>
            <w:tcMar>
              <w:top w:w="70" w:type="dxa"/>
              <w:start w:w="110" w:type="dxa"/>
              <w:bottom w:w="70" w:type="dxa"/>
              <w:end w:w="110" w:type="dxa"/>
            </w:tcMar>
          </w:tcPr>
          <w:p>
            <w:pPr>
              <w:spacing w:after="0" w:line="252" w:lineRule="auto"/>
            </w:pPr>
            <w:r>
              <w:rPr>
                <w:rFonts w:ascii="Arial" w:hAnsi="Arial"/>
                <w:color w:val="0B1727"/>
                <w:sz w:val="17"/>
              </w:rPr>
              <w:t>Agitated tanks, circulation, level instruments and transfer pumps</w:t>
            </w:r>
          </w:p>
        </w:tc>
        <w:tc>
          <w:tcPr>
            <w:tcW w:type="dxa" w:w="4390"/>
            <w:vAlign w:val="center"/>
            <w:tcMar>
              <w:top w:w="70" w:type="dxa"/>
              <w:start w:w="110" w:type="dxa"/>
              <w:bottom w:w="70" w:type="dxa"/>
              <w:end w:w="110" w:type="dxa"/>
            </w:tcMar>
          </w:tcPr>
          <w:p>
            <w:pPr>
              <w:spacing w:after="0" w:line="252" w:lineRule="auto"/>
            </w:pPr>
            <w:r>
              <w:rPr>
                <w:rFonts w:ascii="Arial" w:hAnsi="Arial"/>
                <w:color w:val="0B1727"/>
                <w:sz w:val="17"/>
              </w:rPr>
              <w:t>Residence time, sedimentation risk, capacity and redundancy</w:t>
            </w:r>
          </w:p>
        </w:tc>
      </w:tr>
      <w:tr>
        <w:tc>
          <w:tcPr>
            <w:tcW w:type="dxa" w:w="1750"/>
            <w:shd w:fill="F5F7F8"/>
            <w:vAlign w:val="center"/>
            <w:tcMar>
              <w:top w:w="70" w:type="dxa"/>
              <w:start w:w="110" w:type="dxa"/>
              <w:bottom w:w="70" w:type="dxa"/>
              <w:end w:w="110" w:type="dxa"/>
            </w:tcMar>
          </w:tcPr>
          <w:p>
            <w:pPr>
              <w:spacing w:after="0" w:line="252" w:lineRule="auto"/>
            </w:pPr>
            <w:r>
              <w:rPr>
                <w:rFonts w:ascii="Arial" w:hAnsi="Arial"/>
                <w:color w:val="0B1727"/>
                <w:sz w:val="17"/>
              </w:rPr>
              <w:t>Weighing and dosing</w:t>
            </w:r>
          </w:p>
        </w:tc>
        <w:tc>
          <w:tcPr>
            <w:tcW w:type="dxa" w:w="3220"/>
            <w:shd w:fill="F5F7F8"/>
            <w:vAlign w:val="center"/>
            <w:tcMar>
              <w:top w:w="70" w:type="dxa"/>
              <w:start w:w="110" w:type="dxa"/>
              <w:bottom w:w="70" w:type="dxa"/>
              <w:end w:w="110" w:type="dxa"/>
            </w:tcMar>
          </w:tcPr>
          <w:p>
            <w:pPr>
              <w:spacing w:after="0" w:line="252" w:lineRule="auto"/>
            </w:pPr>
            <w:r>
              <w:rPr>
                <w:rFonts w:ascii="Arial" w:hAnsi="Arial"/>
                <w:color w:val="0B1727"/>
                <w:sz w:val="17"/>
              </w:rPr>
              <w:t>Weigh hoppers, load cells, flow controls, valves and feeders</w:t>
            </w:r>
          </w:p>
        </w:tc>
        <w:tc>
          <w:tcPr>
            <w:tcW w:type="dxa" w:w="4390"/>
            <w:shd w:fill="F5F7F8"/>
            <w:vAlign w:val="center"/>
            <w:tcMar>
              <w:top w:w="70" w:type="dxa"/>
              <w:start w:w="110" w:type="dxa"/>
              <w:bottom w:w="70" w:type="dxa"/>
              <w:end w:w="110" w:type="dxa"/>
            </w:tcMar>
          </w:tcPr>
          <w:p>
            <w:pPr>
              <w:spacing w:after="0" w:line="252" w:lineRule="auto"/>
            </w:pPr>
            <w:r>
              <w:rPr>
                <w:rFonts w:ascii="Arial" w:hAnsi="Arial"/>
                <w:color w:val="0B1727"/>
                <w:sz w:val="17"/>
              </w:rPr>
              <w:t>Ingredient quantity, tolerance, calibration and refill time</w:t>
            </w:r>
          </w:p>
        </w:tc>
      </w:tr>
      <w:tr>
        <w:tc>
          <w:tcPr>
            <w:tcW w:type="dxa" w:w="1750"/>
            <w:vAlign w:val="center"/>
            <w:tcMar>
              <w:top w:w="70" w:type="dxa"/>
              <w:start w:w="110" w:type="dxa"/>
              <w:bottom w:w="70" w:type="dxa"/>
              <w:end w:w="110" w:type="dxa"/>
            </w:tcMar>
          </w:tcPr>
          <w:p>
            <w:pPr>
              <w:spacing w:after="0" w:line="252" w:lineRule="auto"/>
            </w:pPr>
            <w:r>
              <w:rPr>
                <w:rFonts w:ascii="Arial" w:hAnsi="Arial"/>
                <w:color w:val="0B1727"/>
                <w:sz w:val="17"/>
              </w:rPr>
              <w:t>Mixing and pouring</w:t>
            </w:r>
          </w:p>
        </w:tc>
        <w:tc>
          <w:tcPr>
            <w:tcW w:type="dxa" w:w="3220"/>
            <w:vAlign w:val="center"/>
            <w:tcMar>
              <w:top w:w="70" w:type="dxa"/>
              <w:start w:w="110" w:type="dxa"/>
              <w:bottom w:w="70" w:type="dxa"/>
              <w:end w:w="110" w:type="dxa"/>
            </w:tcMar>
          </w:tcPr>
          <w:p>
            <w:pPr>
              <w:spacing w:after="0" w:line="252" w:lineRule="auto"/>
            </w:pPr>
            <w:r>
              <w:rPr>
                <w:rFonts w:ascii="Arial" w:hAnsi="Arial"/>
                <w:color w:val="0B1727"/>
                <w:sz w:val="17"/>
              </w:rPr>
              <w:t>AAC batching mixer, discharge arrangement and mould interface</w:t>
            </w:r>
          </w:p>
        </w:tc>
        <w:tc>
          <w:tcPr>
            <w:tcW w:type="dxa" w:w="4390"/>
            <w:vAlign w:val="center"/>
            <w:tcMar>
              <w:top w:w="70" w:type="dxa"/>
              <w:start w:w="110" w:type="dxa"/>
              <w:bottom w:w="70" w:type="dxa"/>
              <w:end w:w="110" w:type="dxa"/>
            </w:tcMar>
          </w:tcPr>
          <w:p>
            <w:pPr>
              <w:spacing w:after="0" w:line="252" w:lineRule="auto"/>
            </w:pPr>
            <w:r>
              <w:rPr>
                <w:rFonts w:ascii="Arial" w:hAnsi="Arial"/>
                <w:color w:val="0B1727"/>
                <w:sz w:val="17"/>
              </w:rPr>
              <w:t>Batch volume, mixing sequence, cycle demand and cleaning</w:t>
            </w:r>
          </w:p>
        </w:tc>
      </w:tr>
      <w:tr>
        <w:tc>
          <w:tcPr>
            <w:tcW w:type="dxa" w:w="1750"/>
            <w:shd w:fill="F5F7F8"/>
            <w:vAlign w:val="center"/>
            <w:tcMar>
              <w:top w:w="70" w:type="dxa"/>
              <w:start w:w="110" w:type="dxa"/>
              <w:bottom w:w="70" w:type="dxa"/>
              <w:end w:w="110" w:type="dxa"/>
            </w:tcMar>
          </w:tcPr>
          <w:p>
            <w:pPr>
              <w:spacing w:after="0" w:line="252" w:lineRule="auto"/>
            </w:pPr>
            <w:r>
              <w:rPr>
                <w:rFonts w:ascii="Arial" w:hAnsi="Arial"/>
                <w:color w:val="0B1727"/>
                <w:sz w:val="17"/>
              </w:rPr>
              <w:t>Aluminium preparation</w:t>
            </w:r>
          </w:p>
        </w:tc>
        <w:tc>
          <w:tcPr>
            <w:tcW w:type="dxa" w:w="3220"/>
            <w:shd w:fill="F5F7F8"/>
            <w:vAlign w:val="center"/>
            <w:tcMar>
              <w:top w:w="70" w:type="dxa"/>
              <w:start w:w="110" w:type="dxa"/>
              <w:bottom w:w="70" w:type="dxa"/>
              <w:end w:w="110" w:type="dxa"/>
            </w:tcMar>
          </w:tcPr>
          <w:p>
            <w:pPr>
              <w:spacing w:after="0" w:line="252" w:lineRule="auto"/>
            </w:pPr>
            <w:r>
              <w:rPr>
                <w:rFonts w:ascii="Arial" w:hAnsi="Arial"/>
                <w:color w:val="0B1727"/>
                <w:sz w:val="17"/>
              </w:rPr>
              <w:t>Enclosed preparation, agitation and controlled dosing arrangement</w:t>
            </w:r>
          </w:p>
        </w:tc>
        <w:tc>
          <w:tcPr>
            <w:tcW w:type="dxa" w:w="4390"/>
            <w:shd w:fill="F5F7F8"/>
            <w:vAlign w:val="center"/>
            <w:tcMar>
              <w:top w:w="70" w:type="dxa"/>
              <w:start w:w="110" w:type="dxa"/>
              <w:bottom w:w="70" w:type="dxa"/>
              <w:end w:w="110" w:type="dxa"/>
            </w:tcMar>
          </w:tcPr>
          <w:p>
            <w:pPr>
              <w:spacing w:after="0" w:line="252" w:lineRule="auto"/>
            </w:pPr>
            <w:r>
              <w:rPr>
                <w:rFonts w:ascii="Arial" w:hAnsi="Arial"/>
                <w:color w:val="0B1727"/>
                <w:sz w:val="17"/>
              </w:rPr>
              <w:t>Powder or paste form, safety, repeatability and cleaning</w:t>
            </w:r>
          </w:p>
        </w:tc>
      </w:tr>
      <w:tr>
        <w:tc>
          <w:tcPr>
            <w:tcW w:type="dxa" w:w="1750"/>
            <w:vAlign w:val="center"/>
            <w:tcMar>
              <w:top w:w="70" w:type="dxa"/>
              <w:start w:w="110" w:type="dxa"/>
              <w:bottom w:w="70" w:type="dxa"/>
              <w:end w:w="110" w:type="dxa"/>
            </w:tcMar>
          </w:tcPr>
          <w:p>
            <w:pPr>
              <w:spacing w:after="0" w:line="252" w:lineRule="auto"/>
            </w:pPr>
            <w:r>
              <w:rPr>
                <w:rFonts w:ascii="Arial" w:hAnsi="Arial"/>
                <w:color w:val="0B1727"/>
                <w:sz w:val="17"/>
              </w:rPr>
              <w:t>Automation</w:t>
            </w:r>
          </w:p>
        </w:tc>
        <w:tc>
          <w:tcPr>
            <w:tcW w:type="dxa" w:w="3220"/>
            <w:vAlign w:val="center"/>
            <w:tcMar>
              <w:top w:w="70" w:type="dxa"/>
              <w:start w:w="110" w:type="dxa"/>
              <w:bottom w:w="70" w:type="dxa"/>
              <w:end w:w="110" w:type="dxa"/>
            </w:tcMar>
          </w:tcPr>
          <w:p>
            <w:pPr>
              <w:spacing w:after="0" w:line="252" w:lineRule="auto"/>
            </w:pPr>
            <w:r>
              <w:rPr>
                <w:rFonts w:ascii="Arial" w:hAnsi="Arial"/>
                <w:color w:val="0B1727"/>
                <w:sz w:val="17"/>
              </w:rPr>
              <w:t>PLC/HMI, recipe management, alarms, interlocks and batch records</w:t>
            </w:r>
          </w:p>
        </w:tc>
        <w:tc>
          <w:tcPr>
            <w:tcW w:type="dxa" w:w="4390"/>
            <w:vAlign w:val="center"/>
            <w:tcMar>
              <w:top w:w="70" w:type="dxa"/>
              <w:start w:w="110" w:type="dxa"/>
              <w:bottom w:w="70" w:type="dxa"/>
              <w:end w:w="110" w:type="dxa"/>
            </w:tcMar>
          </w:tcPr>
          <w:p>
            <w:pPr>
              <w:spacing w:after="0" w:line="252" w:lineRule="auto"/>
            </w:pPr>
            <w:r>
              <w:rPr>
                <w:rFonts w:ascii="Arial" w:hAnsi="Arial"/>
                <w:color w:val="0B1727"/>
                <w:sz w:val="17"/>
              </w:rPr>
              <w:t>Required integration, reporting, access control and service support</w:t>
            </w:r>
          </w:p>
        </w:tc>
      </w:tr>
    </w:tbl>
    <w:p>
      <w:pPr>
        <w:spacing w:after="20"/>
      </w:pPr>
    </w:p>
    <w:p>
      <w:pPr>
        <w:pStyle w:val="Heading1"/>
      </w:pPr>
      <w:r>
        <w:t>Typical AAC Batching and Mixing Sequence</w:t>
      </w:r>
    </w:p>
    <w:p>
      <w:r>
        <w:t>The exact order and timing must be established for the approved recipe and plant configuration. A typical controlled sequence is:</w:t>
      </w:r>
    </w:p>
    <w:p>
      <w:pPr>
        <w:pStyle w:val="ListNumber"/>
        <w:spacing w:after="60"/>
        <w:ind w:left="432" w:hanging="259"/>
      </w:pPr>
      <w:r>
        <w:t>Confirm that the selected recipe, material availability and equipment status permit a batch.</w:t>
      </w:r>
    </w:p>
    <w:p>
      <w:pPr>
        <w:pStyle w:val="ListNumber"/>
        <w:spacing w:after="60"/>
        <w:ind w:left="432" w:hanging="259"/>
      </w:pPr>
      <w:r>
        <w:t>Measure the required slurry and dry materials through the configured weighing or dosing devices.</w:t>
      </w:r>
    </w:p>
    <w:p>
      <w:pPr>
        <w:pStyle w:val="ListNumber"/>
        <w:spacing w:after="60"/>
        <w:ind w:left="432" w:hanging="259"/>
      </w:pPr>
      <w:r>
        <w:t>Transfer slurry, cement, lime, gypsum, water and approved additives in the defined sequence.</w:t>
      </w:r>
    </w:p>
    <w:p>
      <w:pPr>
        <w:pStyle w:val="ListNumber"/>
        <w:spacing w:after="60"/>
        <w:ind w:left="432" w:hanging="259"/>
      </w:pPr>
      <w:r>
        <w:t>Mix for the validated initial period while monitoring the required process conditions.</w:t>
      </w:r>
    </w:p>
    <w:p>
      <w:pPr>
        <w:pStyle w:val="ListNumber"/>
        <w:spacing w:after="60"/>
        <w:ind w:left="432" w:hanging="259"/>
      </w:pPr>
      <w:r>
        <w:t>Introduce the specified aluminium quantity at the validated stage of the cycle.</w:t>
      </w:r>
    </w:p>
    <w:p>
      <w:pPr>
        <w:pStyle w:val="ListNumber"/>
        <w:spacing w:after="60"/>
        <w:ind w:left="432" w:hanging="259"/>
      </w:pPr>
      <w:r>
        <w:t>Complete final mixing for the recipe-specific duration.</w:t>
      </w:r>
    </w:p>
    <w:p>
      <w:pPr>
        <w:pStyle w:val="ListNumber"/>
        <w:spacing w:after="60"/>
        <w:ind w:left="432" w:hanging="259"/>
      </w:pPr>
      <w:r>
        <w:t>Permit discharge only when the sequence and essential interlocks are satisfied.</w:t>
      </w:r>
    </w:p>
    <w:p>
      <w:pPr>
        <w:pStyle w:val="ListNumber"/>
        <w:spacing w:after="60"/>
        <w:ind w:left="432" w:hanging="259"/>
      </w:pPr>
      <w:r>
        <w:t>Fill the mould and record the required batch data for traceability.</w:t>
      </w:r>
    </w:p>
    <w:p>
      <w:r>
        <w:t>Aluminium is normally added toward the final part of the validated mixing sequence because the gas-forming reaction begins after it contacts the alkaline mixture. The precise addition point and mixing duration are project-specific and should be established during recipe development and commissioning; they should not be treated as one universal time for every AAC plant.</w:t>
      </w:r>
    </w:p>
    <w:p>
      <w:pPr>
        <w:pStyle w:val="Heading1"/>
      </w:pPr>
      <w:r>
        <w:t>What Makes an AAC Batching System Automatic?</w:t>
      </w:r>
    </w:p>
    <w:p>
      <w:r>
        <w:t>The word “automatic” should describe the functions performed by the control system, not merely the presence of a PLC. Buyers should verify which operations are measured, sequenced, interlocked and recorded.</w:t>
      </w:r>
    </w:p>
    <w:tbl>
      <w:tblPr>
        <w:tblStyle w:val="TableGrid"/>
        <w:tblW w:type="dxa" w:w="9360"/>
        <w:jc w:val="center"/>
        <w:tblLayout w:type="fixed"/>
        <w:tblLook w:firstColumn="1" w:firstRow="1" w:lastColumn="0" w:lastRow="0" w:noHBand="0" w:noVBand="1" w:val="04A0"/>
      </w:tblPr>
      <w:tblGrid>
        <w:gridCol w:w="2820"/>
        <w:gridCol w:w="6540"/>
      </w:tblGrid>
      <w:tr>
        <w:trPr>
          <w:tblHeader w:val="true"/>
        </w:trPr>
        <w:tc>
          <w:tcPr>
            <w:tcW w:type="dxa" w:w="2820"/>
            <w:vAlign w:val="center"/>
            <w:tcMar>
              <w:top w:w="70" w:type="dxa"/>
              <w:start w:w="110" w:type="dxa"/>
              <w:bottom w:w="70" w:type="dxa"/>
              <w:end w:w="110" w:type="dxa"/>
            </w:tcMar>
            <w:shd w:fill="0B1727"/>
          </w:tcPr>
          <w:p>
            <w:pPr>
              <w:spacing w:after="0"/>
            </w:pPr>
            <w:r>
              <w:rPr>
                <w:rFonts w:ascii="Arial" w:hAnsi="Arial"/>
                <w:b/>
                <w:color w:val="FFFFFF"/>
                <w:sz w:val="18"/>
              </w:rPr>
              <w:t>Automation function</w:t>
            </w:r>
          </w:p>
        </w:tc>
        <w:tc>
          <w:tcPr>
            <w:tcW w:type="dxa" w:w="6540"/>
            <w:vAlign w:val="center"/>
            <w:tcMar>
              <w:top w:w="70" w:type="dxa"/>
              <w:start w:w="110" w:type="dxa"/>
              <w:bottom w:w="70" w:type="dxa"/>
              <w:end w:w="110" w:type="dxa"/>
            </w:tcMar>
            <w:shd w:fill="0B1727"/>
          </w:tcPr>
          <w:p>
            <w:pPr>
              <w:spacing w:after="0"/>
            </w:pPr>
            <w:r>
              <w:rPr>
                <w:rFonts w:ascii="Arial" w:hAnsi="Arial"/>
                <w:b/>
                <w:color w:val="FFFFFF"/>
                <w:sz w:val="18"/>
              </w:rPr>
              <w:t>What the buyer should verify</w:t>
            </w:r>
          </w:p>
        </w:tc>
      </w:tr>
      <w:tr>
        <w:tc>
          <w:tcPr>
            <w:tcW w:type="dxa" w:w="2820"/>
            <w:vAlign w:val="center"/>
            <w:tcMar>
              <w:top w:w="70" w:type="dxa"/>
              <w:start w:w="110" w:type="dxa"/>
              <w:bottom w:w="70" w:type="dxa"/>
              <w:end w:w="110" w:type="dxa"/>
            </w:tcMar>
          </w:tcPr>
          <w:p>
            <w:pPr>
              <w:spacing w:after="0" w:line="252" w:lineRule="auto"/>
            </w:pPr>
            <w:r>
              <w:rPr>
                <w:rFonts w:ascii="Arial" w:hAnsi="Arial"/>
                <w:color w:val="0B1727"/>
                <w:sz w:val="17"/>
              </w:rPr>
              <w:t>Recipe selection</w:t>
            </w:r>
          </w:p>
        </w:tc>
        <w:tc>
          <w:tcPr>
            <w:tcW w:type="dxa" w:w="6540"/>
            <w:vAlign w:val="center"/>
            <w:tcMar>
              <w:top w:w="70" w:type="dxa"/>
              <w:start w:w="110" w:type="dxa"/>
              <w:bottom w:w="70" w:type="dxa"/>
              <w:end w:w="110" w:type="dxa"/>
            </w:tcMar>
          </w:tcPr>
          <w:p>
            <w:pPr>
              <w:spacing w:after="0" w:line="252" w:lineRule="auto"/>
            </w:pPr>
            <w:r>
              <w:rPr>
                <w:rFonts w:ascii="Arial" w:hAnsi="Arial"/>
                <w:color w:val="0B1727"/>
                <w:sz w:val="17"/>
              </w:rPr>
              <w:t>Approved recipes, access permissions and change history</w:t>
            </w:r>
          </w:p>
        </w:tc>
      </w:tr>
      <w:tr>
        <w:tc>
          <w:tcPr>
            <w:tcW w:type="dxa" w:w="2820"/>
            <w:shd w:fill="F5F7F8"/>
            <w:vAlign w:val="center"/>
            <w:tcMar>
              <w:top w:w="70" w:type="dxa"/>
              <w:start w:w="110" w:type="dxa"/>
              <w:bottom w:w="70" w:type="dxa"/>
              <w:end w:w="110" w:type="dxa"/>
            </w:tcMar>
          </w:tcPr>
          <w:p>
            <w:pPr>
              <w:spacing w:after="0" w:line="252" w:lineRule="auto"/>
            </w:pPr>
            <w:r>
              <w:rPr>
                <w:rFonts w:ascii="Arial" w:hAnsi="Arial"/>
                <w:color w:val="0B1727"/>
                <w:sz w:val="17"/>
              </w:rPr>
              <w:t>Automatic weighing</w:t>
            </w:r>
          </w:p>
        </w:tc>
        <w:tc>
          <w:tcPr>
            <w:tcW w:type="dxa" w:w="6540"/>
            <w:shd w:fill="F5F7F8"/>
            <w:vAlign w:val="center"/>
            <w:tcMar>
              <w:top w:w="70" w:type="dxa"/>
              <w:start w:w="110" w:type="dxa"/>
              <w:bottom w:w="70" w:type="dxa"/>
              <w:end w:w="110" w:type="dxa"/>
            </w:tcMar>
          </w:tcPr>
          <w:p>
            <w:pPr>
              <w:spacing w:after="0" w:line="252" w:lineRule="auto"/>
            </w:pPr>
            <w:r>
              <w:rPr>
                <w:rFonts w:ascii="Arial" w:hAnsi="Arial"/>
                <w:color w:val="0B1727"/>
                <w:sz w:val="17"/>
              </w:rPr>
              <w:t>Target and actual values, tolerances, refill logic and calibration method</w:t>
            </w:r>
          </w:p>
        </w:tc>
      </w:tr>
      <w:tr>
        <w:tc>
          <w:tcPr>
            <w:tcW w:type="dxa" w:w="2820"/>
            <w:vAlign w:val="center"/>
            <w:tcMar>
              <w:top w:w="70" w:type="dxa"/>
              <w:start w:w="110" w:type="dxa"/>
              <w:bottom w:w="70" w:type="dxa"/>
              <w:end w:w="110" w:type="dxa"/>
            </w:tcMar>
          </w:tcPr>
          <w:p>
            <w:pPr>
              <w:spacing w:after="0" w:line="252" w:lineRule="auto"/>
            </w:pPr>
            <w:r>
              <w:rPr>
                <w:rFonts w:ascii="Arial" w:hAnsi="Arial"/>
                <w:color w:val="0B1727"/>
                <w:sz w:val="17"/>
              </w:rPr>
              <w:t>Sequence control</w:t>
            </w:r>
          </w:p>
        </w:tc>
        <w:tc>
          <w:tcPr>
            <w:tcW w:type="dxa" w:w="6540"/>
            <w:vAlign w:val="center"/>
            <w:tcMar>
              <w:top w:w="70" w:type="dxa"/>
              <w:start w:w="110" w:type="dxa"/>
              <w:bottom w:w="70" w:type="dxa"/>
              <w:end w:w="110" w:type="dxa"/>
            </w:tcMar>
          </w:tcPr>
          <w:p>
            <w:pPr>
              <w:spacing w:after="0" w:line="252" w:lineRule="auto"/>
            </w:pPr>
            <w:r>
              <w:rPr>
                <w:rFonts w:ascii="Arial" w:hAnsi="Arial"/>
                <w:color w:val="0B1727"/>
                <w:sz w:val="17"/>
              </w:rPr>
              <w:t>Order of addition, mixing stages, discharge permissives and timeout handling</w:t>
            </w:r>
          </w:p>
        </w:tc>
      </w:tr>
      <w:tr>
        <w:tc>
          <w:tcPr>
            <w:tcW w:type="dxa" w:w="2820"/>
            <w:shd w:fill="F5F7F8"/>
            <w:vAlign w:val="center"/>
            <w:tcMar>
              <w:top w:w="70" w:type="dxa"/>
              <w:start w:w="110" w:type="dxa"/>
              <w:bottom w:w="70" w:type="dxa"/>
              <w:end w:w="110" w:type="dxa"/>
            </w:tcMar>
          </w:tcPr>
          <w:p>
            <w:pPr>
              <w:spacing w:after="0" w:line="252" w:lineRule="auto"/>
            </w:pPr>
            <w:r>
              <w:rPr>
                <w:rFonts w:ascii="Arial" w:hAnsi="Arial"/>
                <w:color w:val="0B1727"/>
                <w:sz w:val="17"/>
              </w:rPr>
              <w:t>Aluminium dosing</w:t>
            </w:r>
          </w:p>
        </w:tc>
        <w:tc>
          <w:tcPr>
            <w:tcW w:type="dxa" w:w="6540"/>
            <w:shd w:fill="F5F7F8"/>
            <w:vAlign w:val="center"/>
            <w:tcMar>
              <w:top w:w="70" w:type="dxa"/>
              <w:start w:w="110" w:type="dxa"/>
              <w:bottom w:w="70" w:type="dxa"/>
              <w:end w:w="110" w:type="dxa"/>
            </w:tcMar>
          </w:tcPr>
          <w:p>
            <w:pPr>
              <w:spacing w:after="0" w:line="252" w:lineRule="auto"/>
            </w:pPr>
            <w:r>
              <w:rPr>
                <w:rFonts w:ascii="Arial" w:hAnsi="Arial"/>
                <w:color w:val="0B1727"/>
                <w:sz w:val="17"/>
              </w:rPr>
              <w:t>Preparation method, quantity control, addition permissive and safe handling</w:t>
            </w:r>
          </w:p>
        </w:tc>
      </w:tr>
      <w:tr>
        <w:tc>
          <w:tcPr>
            <w:tcW w:type="dxa" w:w="2820"/>
            <w:vAlign w:val="center"/>
            <w:tcMar>
              <w:top w:w="70" w:type="dxa"/>
              <w:start w:w="110" w:type="dxa"/>
              <w:bottom w:w="70" w:type="dxa"/>
              <w:end w:w="110" w:type="dxa"/>
            </w:tcMar>
          </w:tcPr>
          <w:p>
            <w:pPr>
              <w:spacing w:after="0" w:line="252" w:lineRule="auto"/>
            </w:pPr>
            <w:r>
              <w:rPr>
                <w:rFonts w:ascii="Arial" w:hAnsi="Arial"/>
                <w:color w:val="0B1727"/>
                <w:sz w:val="17"/>
              </w:rPr>
              <w:t>Alarms and interlocks</w:t>
            </w:r>
          </w:p>
        </w:tc>
        <w:tc>
          <w:tcPr>
            <w:tcW w:type="dxa" w:w="6540"/>
            <w:vAlign w:val="center"/>
            <w:tcMar>
              <w:top w:w="70" w:type="dxa"/>
              <w:start w:w="110" w:type="dxa"/>
              <w:bottom w:w="70" w:type="dxa"/>
              <w:end w:w="110" w:type="dxa"/>
            </w:tcMar>
          </w:tcPr>
          <w:p>
            <w:pPr>
              <w:spacing w:after="0" w:line="252" w:lineRule="auto"/>
            </w:pPr>
            <w:r>
              <w:rPr>
                <w:rFonts w:ascii="Arial" w:hAnsi="Arial"/>
                <w:color w:val="0B1727"/>
                <w:sz w:val="17"/>
              </w:rPr>
              <w:t>Response to missing material, weight deviation, pump/valve failure or unsafe status</w:t>
            </w:r>
          </w:p>
        </w:tc>
      </w:tr>
      <w:tr>
        <w:tc>
          <w:tcPr>
            <w:tcW w:type="dxa" w:w="2820"/>
            <w:shd w:fill="F5F7F8"/>
            <w:vAlign w:val="center"/>
            <w:tcMar>
              <w:top w:w="70" w:type="dxa"/>
              <w:start w:w="110" w:type="dxa"/>
              <w:bottom w:w="70" w:type="dxa"/>
              <w:end w:w="110" w:type="dxa"/>
            </w:tcMar>
          </w:tcPr>
          <w:p>
            <w:pPr>
              <w:spacing w:after="0" w:line="252" w:lineRule="auto"/>
            </w:pPr>
            <w:r>
              <w:rPr>
                <w:rFonts w:ascii="Arial" w:hAnsi="Arial"/>
                <w:color w:val="0B1727"/>
                <w:sz w:val="17"/>
              </w:rPr>
              <w:t>Batch reporting</w:t>
            </w:r>
          </w:p>
        </w:tc>
        <w:tc>
          <w:tcPr>
            <w:tcW w:type="dxa" w:w="6540"/>
            <w:shd w:fill="F5F7F8"/>
            <w:vAlign w:val="center"/>
            <w:tcMar>
              <w:top w:w="70" w:type="dxa"/>
              <w:start w:w="110" w:type="dxa"/>
              <w:bottom w:w="70" w:type="dxa"/>
              <w:end w:w="110" w:type="dxa"/>
            </w:tcMar>
          </w:tcPr>
          <w:p>
            <w:pPr>
              <w:spacing w:after="0" w:line="252" w:lineRule="auto"/>
            </w:pPr>
            <w:r>
              <w:rPr>
                <w:rFonts w:ascii="Arial" w:hAnsi="Arial"/>
                <w:color w:val="0B1727"/>
                <w:sz w:val="17"/>
              </w:rPr>
              <w:t>Batch number, recipe, target/actual quantities, timings, alarms and operator actions</w:t>
            </w:r>
          </w:p>
        </w:tc>
      </w:tr>
      <w:tr>
        <w:tc>
          <w:tcPr>
            <w:tcW w:type="dxa" w:w="2820"/>
            <w:vAlign w:val="center"/>
            <w:tcMar>
              <w:top w:w="70" w:type="dxa"/>
              <w:start w:w="110" w:type="dxa"/>
              <w:bottom w:w="70" w:type="dxa"/>
              <w:end w:w="110" w:type="dxa"/>
            </w:tcMar>
          </w:tcPr>
          <w:p>
            <w:pPr>
              <w:spacing w:after="0" w:line="252" w:lineRule="auto"/>
            </w:pPr>
            <w:r>
              <w:rPr>
                <w:rFonts w:ascii="Arial" w:hAnsi="Arial"/>
                <w:color w:val="0B1727"/>
                <w:sz w:val="17"/>
              </w:rPr>
              <w:t>Manual mode</w:t>
            </w:r>
          </w:p>
        </w:tc>
        <w:tc>
          <w:tcPr>
            <w:tcW w:type="dxa" w:w="6540"/>
            <w:vAlign w:val="center"/>
            <w:tcMar>
              <w:top w:w="70" w:type="dxa"/>
              <w:start w:w="110" w:type="dxa"/>
              <w:bottom w:w="70" w:type="dxa"/>
              <w:end w:w="110" w:type="dxa"/>
            </w:tcMar>
          </w:tcPr>
          <w:p>
            <w:pPr>
              <w:spacing w:after="0" w:line="252" w:lineRule="auto"/>
            </w:pPr>
            <w:r>
              <w:rPr>
                <w:rFonts w:ascii="Arial" w:hAnsi="Arial"/>
                <w:color w:val="0B1727"/>
                <w:sz w:val="17"/>
              </w:rPr>
              <w:t>Authorisation, maintenance use and prevention of uncontrolled production bypass</w:t>
            </w:r>
          </w:p>
        </w:tc>
      </w:tr>
    </w:tbl>
    <w:p>
      <w:pPr>
        <w:spacing w:after="20"/>
      </w:pPr>
    </w:p>
    <w:p>
      <w:pPr>
        <w:pStyle w:val="Heading1"/>
      </w:pPr>
      <w:r>
        <w:t>Critical Process Parameters</w:t>
      </w:r>
    </w:p>
    <w:tbl>
      <w:tblPr>
        <w:tblStyle w:val="TableGrid"/>
        <w:tblW w:type="dxa" w:w="9360"/>
        <w:jc w:val="center"/>
        <w:tblLayout w:type="fixed"/>
        <w:tblLook w:firstColumn="1" w:firstRow="1" w:lastColumn="0" w:lastRow="0" w:noHBand="0" w:noVBand="1" w:val="04A0"/>
      </w:tblPr>
      <w:tblGrid>
        <w:gridCol w:w="2290"/>
        <w:gridCol w:w="3470"/>
        <w:gridCol w:w="3600"/>
      </w:tblGrid>
      <w:tr>
        <w:trPr>
          <w:tblHeader w:val="true"/>
        </w:trPr>
        <w:tc>
          <w:tcPr>
            <w:tcW w:type="dxa" w:w="2290"/>
            <w:vAlign w:val="center"/>
            <w:tcMar>
              <w:top w:w="70" w:type="dxa"/>
              <w:start w:w="110" w:type="dxa"/>
              <w:bottom w:w="70" w:type="dxa"/>
              <w:end w:w="110" w:type="dxa"/>
            </w:tcMar>
            <w:shd w:fill="0B1727"/>
          </w:tcPr>
          <w:p>
            <w:pPr>
              <w:spacing w:after="0"/>
            </w:pPr>
            <w:r>
              <w:rPr>
                <w:rFonts w:ascii="Arial" w:hAnsi="Arial"/>
                <w:b/>
                <w:color w:val="FFFFFF"/>
                <w:sz w:val="18"/>
              </w:rPr>
              <w:t>Parameter</w:t>
            </w:r>
          </w:p>
        </w:tc>
        <w:tc>
          <w:tcPr>
            <w:tcW w:type="dxa" w:w="3470"/>
            <w:vAlign w:val="center"/>
            <w:tcMar>
              <w:top w:w="70" w:type="dxa"/>
              <w:start w:w="110" w:type="dxa"/>
              <w:bottom w:w="70" w:type="dxa"/>
              <w:end w:w="110" w:type="dxa"/>
            </w:tcMar>
            <w:shd w:fill="0B1727"/>
          </w:tcPr>
          <w:p>
            <w:pPr>
              <w:spacing w:after="0"/>
            </w:pPr>
            <w:r>
              <w:rPr>
                <w:rFonts w:ascii="Arial" w:hAnsi="Arial"/>
                <w:b/>
                <w:color w:val="FFFFFF"/>
                <w:sz w:val="18"/>
              </w:rPr>
              <w:t>Why it matters</w:t>
            </w:r>
          </w:p>
        </w:tc>
        <w:tc>
          <w:tcPr>
            <w:tcW w:type="dxa" w:w="3600"/>
            <w:vAlign w:val="center"/>
            <w:tcMar>
              <w:top w:w="70" w:type="dxa"/>
              <w:start w:w="110" w:type="dxa"/>
              <w:bottom w:w="70" w:type="dxa"/>
              <w:end w:w="110" w:type="dxa"/>
            </w:tcMar>
            <w:shd w:fill="0B1727"/>
          </w:tcPr>
          <w:p>
            <w:pPr>
              <w:spacing w:after="0"/>
            </w:pPr>
            <w:r>
              <w:rPr>
                <w:rFonts w:ascii="Arial" w:hAnsi="Arial"/>
                <w:b/>
                <w:color w:val="FFFFFF"/>
                <w:sz w:val="18"/>
              </w:rPr>
              <w:t>If it varies</w:t>
            </w:r>
          </w:p>
        </w:tc>
      </w:tr>
      <w:tr>
        <w:tc>
          <w:tcPr>
            <w:tcW w:type="dxa" w:w="2290"/>
            <w:vAlign w:val="center"/>
            <w:tcMar>
              <w:top w:w="70" w:type="dxa"/>
              <w:start w:w="110" w:type="dxa"/>
              <w:bottom w:w="70" w:type="dxa"/>
              <w:end w:w="110" w:type="dxa"/>
            </w:tcMar>
          </w:tcPr>
          <w:p>
            <w:pPr>
              <w:spacing w:after="0" w:line="252" w:lineRule="auto"/>
            </w:pPr>
            <w:r>
              <w:rPr>
                <w:rFonts w:ascii="Arial" w:hAnsi="Arial"/>
                <w:color w:val="0B1727"/>
                <w:sz w:val="17"/>
              </w:rPr>
              <w:t>Raw-material characteristics</w:t>
            </w:r>
          </w:p>
        </w:tc>
        <w:tc>
          <w:tcPr>
            <w:tcW w:type="dxa" w:w="3470"/>
            <w:vAlign w:val="center"/>
            <w:tcMar>
              <w:top w:w="70" w:type="dxa"/>
              <w:start w:w="110" w:type="dxa"/>
              <w:bottom w:w="70" w:type="dxa"/>
              <w:end w:w="110" w:type="dxa"/>
            </w:tcMar>
          </w:tcPr>
          <w:p>
            <w:pPr>
              <w:spacing w:after="0" w:line="252" w:lineRule="auto"/>
            </w:pPr>
            <w:r>
              <w:rPr>
                <w:rFonts w:ascii="Arial" w:hAnsi="Arial"/>
                <w:color w:val="0B1727"/>
                <w:sz w:val="17"/>
              </w:rPr>
              <w:t>Determine preparation, reaction and recipe requirements</w:t>
            </w:r>
          </w:p>
        </w:tc>
        <w:tc>
          <w:tcPr>
            <w:tcW w:type="dxa" w:w="3600"/>
            <w:vAlign w:val="center"/>
            <w:tcMar>
              <w:top w:w="70" w:type="dxa"/>
              <w:start w:w="110" w:type="dxa"/>
              <w:bottom w:w="70" w:type="dxa"/>
              <w:end w:w="110" w:type="dxa"/>
            </w:tcMar>
          </w:tcPr>
          <w:p>
            <w:pPr>
              <w:spacing w:after="0" w:line="252" w:lineRule="auto"/>
            </w:pPr>
            <w:r>
              <w:rPr>
                <w:rFonts w:ascii="Arial" w:hAnsi="Arial"/>
                <w:color w:val="0B1727"/>
                <w:sz w:val="17"/>
              </w:rPr>
              <w:t>The same machinery settings may not produce the same process behaviour</w:t>
            </w:r>
          </w:p>
        </w:tc>
      </w:tr>
      <w:tr>
        <w:tc>
          <w:tcPr>
            <w:tcW w:type="dxa" w:w="2290"/>
            <w:shd w:fill="F5F7F8"/>
            <w:vAlign w:val="center"/>
            <w:tcMar>
              <w:top w:w="70" w:type="dxa"/>
              <w:start w:w="110" w:type="dxa"/>
              <w:bottom w:w="70" w:type="dxa"/>
              <w:end w:w="110" w:type="dxa"/>
            </w:tcMar>
          </w:tcPr>
          <w:p>
            <w:pPr>
              <w:spacing w:after="0" w:line="252" w:lineRule="auto"/>
            </w:pPr>
            <w:r>
              <w:rPr>
                <w:rFonts w:ascii="Arial" w:hAnsi="Arial"/>
                <w:color w:val="0B1727"/>
                <w:sz w:val="17"/>
              </w:rPr>
              <w:t>Slurry concentration and temperature</w:t>
            </w:r>
          </w:p>
        </w:tc>
        <w:tc>
          <w:tcPr>
            <w:tcW w:type="dxa" w:w="3470"/>
            <w:shd w:fill="F5F7F8"/>
            <w:vAlign w:val="center"/>
            <w:tcMar>
              <w:top w:w="70" w:type="dxa"/>
              <w:start w:w="110" w:type="dxa"/>
              <w:bottom w:w="70" w:type="dxa"/>
              <w:end w:w="110" w:type="dxa"/>
            </w:tcMar>
          </w:tcPr>
          <w:p>
            <w:pPr>
              <w:spacing w:after="0" w:line="252" w:lineRule="auto"/>
            </w:pPr>
            <w:r>
              <w:rPr>
                <w:rFonts w:ascii="Arial" w:hAnsi="Arial"/>
                <w:color w:val="0B1727"/>
                <w:sz w:val="17"/>
              </w:rPr>
              <w:t>Influence material quantity and mixing/rising conditions</w:t>
            </w:r>
          </w:p>
        </w:tc>
        <w:tc>
          <w:tcPr>
            <w:tcW w:type="dxa" w:w="3600"/>
            <w:shd w:fill="F5F7F8"/>
            <w:vAlign w:val="center"/>
            <w:tcMar>
              <w:top w:w="70" w:type="dxa"/>
              <w:start w:w="110" w:type="dxa"/>
              <w:bottom w:w="70" w:type="dxa"/>
              <w:end w:w="110" w:type="dxa"/>
            </w:tcMar>
          </w:tcPr>
          <w:p>
            <w:pPr>
              <w:spacing w:after="0" w:line="252" w:lineRule="auto"/>
            </w:pPr>
            <w:r>
              <w:rPr>
                <w:rFonts w:ascii="Arial" w:hAnsi="Arial"/>
                <w:color w:val="0B1727"/>
                <w:sz w:val="17"/>
              </w:rPr>
              <w:t>Batch composition or green-cake behaviour may change</w:t>
            </w:r>
          </w:p>
        </w:tc>
      </w:tr>
      <w:tr>
        <w:tc>
          <w:tcPr>
            <w:tcW w:type="dxa" w:w="2290"/>
            <w:vAlign w:val="center"/>
            <w:tcMar>
              <w:top w:w="70" w:type="dxa"/>
              <w:start w:w="110" w:type="dxa"/>
              <w:bottom w:w="70" w:type="dxa"/>
              <w:end w:w="110" w:type="dxa"/>
            </w:tcMar>
          </w:tcPr>
          <w:p>
            <w:pPr>
              <w:spacing w:after="0" w:line="252" w:lineRule="auto"/>
            </w:pPr>
            <w:r>
              <w:rPr>
                <w:rFonts w:ascii="Arial" w:hAnsi="Arial"/>
                <w:color w:val="0B1727"/>
                <w:sz w:val="17"/>
              </w:rPr>
              <w:t>Dry-material quantity</w:t>
            </w:r>
          </w:p>
        </w:tc>
        <w:tc>
          <w:tcPr>
            <w:tcW w:type="dxa" w:w="3470"/>
            <w:vAlign w:val="center"/>
            <w:tcMar>
              <w:top w:w="70" w:type="dxa"/>
              <w:start w:w="110" w:type="dxa"/>
              <w:bottom w:w="70" w:type="dxa"/>
              <w:end w:w="110" w:type="dxa"/>
            </w:tcMar>
          </w:tcPr>
          <w:p>
            <w:pPr>
              <w:spacing w:after="0" w:line="252" w:lineRule="auto"/>
            </w:pPr>
            <w:r>
              <w:rPr>
                <w:rFonts w:ascii="Arial" w:hAnsi="Arial"/>
                <w:color w:val="0B1727"/>
                <w:sz w:val="17"/>
              </w:rPr>
              <w:t>Controls the approved formulation</w:t>
            </w:r>
          </w:p>
        </w:tc>
        <w:tc>
          <w:tcPr>
            <w:tcW w:type="dxa" w:w="3600"/>
            <w:vAlign w:val="center"/>
            <w:tcMar>
              <w:top w:w="70" w:type="dxa"/>
              <w:start w:w="110" w:type="dxa"/>
              <w:bottom w:w="70" w:type="dxa"/>
              <w:end w:w="110" w:type="dxa"/>
            </w:tcMar>
          </w:tcPr>
          <w:p>
            <w:pPr>
              <w:spacing w:after="0" w:line="252" w:lineRule="auto"/>
            </w:pPr>
            <w:r>
              <w:rPr>
                <w:rFonts w:ascii="Arial" w:hAnsi="Arial"/>
                <w:color w:val="0B1727"/>
                <w:sz w:val="17"/>
              </w:rPr>
              <w:t>Setting, rising, density or strength consistency may be affected</w:t>
            </w:r>
          </w:p>
        </w:tc>
      </w:tr>
      <w:tr>
        <w:tc>
          <w:tcPr>
            <w:tcW w:type="dxa" w:w="2290"/>
            <w:shd w:fill="F5F7F8"/>
            <w:vAlign w:val="center"/>
            <w:tcMar>
              <w:top w:w="70" w:type="dxa"/>
              <w:start w:w="110" w:type="dxa"/>
              <w:bottom w:w="70" w:type="dxa"/>
              <w:end w:w="110" w:type="dxa"/>
            </w:tcMar>
          </w:tcPr>
          <w:p>
            <w:pPr>
              <w:spacing w:after="0" w:line="252" w:lineRule="auto"/>
            </w:pPr>
            <w:r>
              <w:rPr>
                <w:rFonts w:ascii="Arial" w:hAnsi="Arial"/>
                <w:color w:val="0B1727"/>
                <w:sz w:val="17"/>
              </w:rPr>
              <w:t>Mixing efficiency and duration</w:t>
            </w:r>
          </w:p>
        </w:tc>
        <w:tc>
          <w:tcPr>
            <w:tcW w:type="dxa" w:w="3470"/>
            <w:shd w:fill="F5F7F8"/>
            <w:vAlign w:val="center"/>
            <w:tcMar>
              <w:top w:w="70" w:type="dxa"/>
              <w:start w:w="110" w:type="dxa"/>
              <w:bottom w:w="70" w:type="dxa"/>
              <w:end w:w="110" w:type="dxa"/>
            </w:tcMar>
          </w:tcPr>
          <w:p>
            <w:pPr>
              <w:spacing w:after="0" w:line="252" w:lineRule="auto"/>
            </w:pPr>
            <w:r>
              <w:rPr>
                <w:rFonts w:ascii="Arial" w:hAnsi="Arial"/>
                <w:color w:val="0B1727"/>
                <w:sz w:val="17"/>
              </w:rPr>
              <w:t>Distribute ingredients through the batch</w:t>
            </w:r>
          </w:p>
        </w:tc>
        <w:tc>
          <w:tcPr>
            <w:tcW w:type="dxa" w:w="3600"/>
            <w:shd w:fill="F5F7F8"/>
            <w:vAlign w:val="center"/>
            <w:tcMar>
              <w:top w:w="70" w:type="dxa"/>
              <w:start w:w="110" w:type="dxa"/>
              <w:bottom w:w="70" w:type="dxa"/>
              <w:end w:w="110" w:type="dxa"/>
            </w:tcMar>
          </w:tcPr>
          <w:p>
            <w:pPr>
              <w:spacing w:after="0" w:line="252" w:lineRule="auto"/>
            </w:pPr>
            <w:r>
              <w:rPr>
                <w:rFonts w:ascii="Arial" w:hAnsi="Arial"/>
                <w:color w:val="0B1727"/>
                <w:sz w:val="17"/>
              </w:rPr>
              <w:t>Local non-uniformity or inconsistent reaction may occur</w:t>
            </w:r>
          </w:p>
        </w:tc>
      </w:tr>
      <w:tr>
        <w:tc>
          <w:tcPr>
            <w:tcW w:type="dxa" w:w="2290"/>
            <w:vAlign w:val="center"/>
            <w:tcMar>
              <w:top w:w="70" w:type="dxa"/>
              <w:start w:w="110" w:type="dxa"/>
              <w:bottom w:w="70" w:type="dxa"/>
              <w:end w:w="110" w:type="dxa"/>
            </w:tcMar>
          </w:tcPr>
          <w:p>
            <w:pPr>
              <w:spacing w:after="0" w:line="252" w:lineRule="auto"/>
            </w:pPr>
            <w:r>
              <w:rPr>
                <w:rFonts w:ascii="Arial" w:hAnsi="Arial"/>
                <w:color w:val="0B1727"/>
                <w:sz w:val="17"/>
              </w:rPr>
              <w:t>Aluminium quantity and timing</w:t>
            </w:r>
          </w:p>
        </w:tc>
        <w:tc>
          <w:tcPr>
            <w:tcW w:type="dxa" w:w="3470"/>
            <w:vAlign w:val="center"/>
            <w:tcMar>
              <w:top w:w="70" w:type="dxa"/>
              <w:start w:w="110" w:type="dxa"/>
              <w:bottom w:w="70" w:type="dxa"/>
              <w:end w:w="110" w:type="dxa"/>
            </w:tcMar>
          </w:tcPr>
          <w:p>
            <w:pPr>
              <w:spacing w:after="0" w:line="252" w:lineRule="auto"/>
            </w:pPr>
            <w:r>
              <w:rPr>
                <w:rFonts w:ascii="Arial" w:hAnsi="Arial"/>
                <w:color w:val="0B1727"/>
                <w:sz w:val="17"/>
              </w:rPr>
              <w:t>Influence gas generation and pore formation</w:t>
            </w:r>
          </w:p>
        </w:tc>
        <w:tc>
          <w:tcPr>
            <w:tcW w:type="dxa" w:w="3600"/>
            <w:vAlign w:val="center"/>
            <w:tcMar>
              <w:top w:w="70" w:type="dxa"/>
              <w:start w:w="110" w:type="dxa"/>
              <w:bottom w:w="70" w:type="dxa"/>
              <w:end w:w="110" w:type="dxa"/>
            </w:tcMar>
          </w:tcPr>
          <w:p>
            <w:pPr>
              <w:spacing w:after="0" w:line="252" w:lineRule="auto"/>
            </w:pPr>
            <w:r>
              <w:rPr>
                <w:rFonts w:ascii="Arial" w:hAnsi="Arial"/>
                <w:color w:val="0B1727"/>
                <w:sz w:val="17"/>
              </w:rPr>
              <w:t>Rising and pore structure may become inconsistent</w:t>
            </w:r>
          </w:p>
        </w:tc>
      </w:tr>
      <w:tr>
        <w:tc>
          <w:tcPr>
            <w:tcW w:type="dxa" w:w="2290"/>
            <w:shd w:fill="F5F7F8"/>
            <w:vAlign w:val="center"/>
            <w:tcMar>
              <w:top w:w="70" w:type="dxa"/>
              <w:start w:w="110" w:type="dxa"/>
              <w:bottom w:w="70" w:type="dxa"/>
              <w:end w:w="110" w:type="dxa"/>
            </w:tcMar>
          </w:tcPr>
          <w:p>
            <w:pPr>
              <w:spacing w:after="0" w:line="252" w:lineRule="auto"/>
            </w:pPr>
            <w:r>
              <w:rPr>
                <w:rFonts w:ascii="Arial" w:hAnsi="Arial"/>
                <w:color w:val="0B1727"/>
                <w:sz w:val="17"/>
              </w:rPr>
              <w:t>Calibration and equipment condition</w:t>
            </w:r>
          </w:p>
        </w:tc>
        <w:tc>
          <w:tcPr>
            <w:tcW w:type="dxa" w:w="3470"/>
            <w:shd w:fill="F5F7F8"/>
            <w:vAlign w:val="center"/>
            <w:tcMar>
              <w:top w:w="70" w:type="dxa"/>
              <w:start w:w="110" w:type="dxa"/>
              <w:bottom w:w="70" w:type="dxa"/>
              <w:end w:w="110" w:type="dxa"/>
            </w:tcMar>
          </w:tcPr>
          <w:p>
            <w:pPr>
              <w:spacing w:after="0" w:line="252" w:lineRule="auto"/>
            </w:pPr>
            <w:r>
              <w:rPr>
                <w:rFonts w:ascii="Arial" w:hAnsi="Arial"/>
                <w:color w:val="0B1727"/>
                <w:sz w:val="17"/>
              </w:rPr>
              <w:t>Support trustworthy measurement and execution</w:t>
            </w:r>
          </w:p>
        </w:tc>
        <w:tc>
          <w:tcPr>
            <w:tcW w:type="dxa" w:w="3600"/>
            <w:shd w:fill="F5F7F8"/>
            <w:vAlign w:val="center"/>
            <w:tcMar>
              <w:top w:w="70" w:type="dxa"/>
              <w:start w:w="110" w:type="dxa"/>
              <w:bottom w:w="70" w:type="dxa"/>
              <w:end w:w="110" w:type="dxa"/>
            </w:tcMar>
          </w:tcPr>
          <w:p>
            <w:pPr>
              <w:spacing w:after="0" w:line="252" w:lineRule="auto"/>
            </w:pPr>
            <w:r>
              <w:rPr>
                <w:rFonts w:ascii="Arial" w:hAnsi="Arial"/>
                <w:color w:val="0B1727"/>
                <w:sz w:val="17"/>
              </w:rPr>
              <w:t>Displayed values may not represent actual delivered quantities</w:t>
            </w:r>
          </w:p>
        </w:tc>
      </w:tr>
    </w:tbl>
    <w:p>
      <w:pPr>
        <w:spacing w:after="20"/>
      </w:pPr>
    </w:p>
    <w:p>
      <w:pPr>
        <w:pStyle w:val="Heading1"/>
      </w:pPr>
      <w:r>
        <w:t>How to Select the Right System</w:t>
      </w:r>
    </w:p>
    <w:p>
      <w:r>
        <w:t>A technically useful proposal should begin with the material and production requirement—not with a standard machine list. The supplier should review:</w:t>
      </w:r>
    </w:p>
    <w:p>
      <w:pPr>
        <w:pStyle w:val="ListBullet"/>
        <w:spacing w:after="60"/>
        <w:ind w:left="360" w:hanging="216"/>
      </w:pPr>
      <w:r>
        <w:t>Representative raw-material test data and seasonal variability</w:t>
      </w:r>
    </w:p>
    <w:p>
      <w:pPr>
        <w:pStyle w:val="ListBullet"/>
        <w:spacing w:after="60"/>
        <w:ind w:left="360" w:hanging="216"/>
      </w:pPr>
      <w:r>
        <w:t>Required AAC product range and approved process concept</w:t>
      </w:r>
    </w:p>
    <w:p>
      <w:pPr>
        <w:pStyle w:val="ListBullet"/>
        <w:spacing w:after="60"/>
        <w:ind w:left="360" w:hanging="216"/>
      </w:pPr>
      <w:r>
        <w:t>Planned plant capacity, mould volume and expected batch frequency</w:t>
      </w:r>
    </w:p>
    <w:p>
      <w:pPr>
        <w:pStyle w:val="ListBullet"/>
        <w:spacing w:after="60"/>
        <w:ind w:left="360" w:hanging="216"/>
      </w:pPr>
      <w:r>
        <w:t>Fly-ash, pond-ash or sand preparation route</w:t>
      </w:r>
    </w:p>
    <w:p>
      <w:pPr>
        <w:pStyle w:val="ListBullet"/>
        <w:spacing w:after="60"/>
        <w:ind w:left="360" w:hanging="216"/>
      </w:pPr>
      <w:r>
        <w:t>Storage autonomy, operating shifts and delivery pattern</w:t>
      </w:r>
    </w:p>
    <w:p>
      <w:pPr>
        <w:pStyle w:val="ListBullet"/>
        <w:spacing w:after="60"/>
        <w:ind w:left="360" w:hanging="216"/>
      </w:pPr>
      <w:r>
        <w:t>Required automation, reporting and plant-wide integration</w:t>
      </w:r>
    </w:p>
    <w:p>
      <w:pPr>
        <w:pStyle w:val="ListBullet"/>
        <w:spacing w:after="60"/>
        <w:ind w:left="360" w:hanging="216"/>
      </w:pPr>
      <w:r>
        <w:t>Available land, building height, material-flow direction and maintenance access</w:t>
      </w:r>
    </w:p>
    <w:p>
      <w:pPr>
        <w:pStyle w:val="ListBullet"/>
        <w:spacing w:after="60"/>
        <w:ind w:left="360" w:hanging="216"/>
      </w:pPr>
      <w:r>
        <w:t>Expansion plan, redundancy requirement and existing equipment where applicable</w:t>
      </w:r>
    </w:p>
    <w:p>
      <w:pPr>
        <w:pStyle w:val="ListBullet"/>
        <w:spacing w:after="60"/>
        <w:ind w:left="360" w:hanging="216"/>
      </w:pPr>
      <w:r>
        <w:t>Local utility conditions and responsibility split for civil, electrical, piping and commissioning work</w:t>
      </w:r>
    </w:p>
    <w:p>
      <w:pPr>
        <w:pStyle w:val="Heading2"/>
      </w:pPr>
      <w:r>
        <w:t>Capacity, Utilities and Expansion</w:t>
      </w:r>
    </w:p>
    <w:p>
      <w:r>
        <w:t>Batching capacity should be evaluated from usable batch volume, required batches per hour, actual mixing and discharge cycle, refill time, material availability and the interaction with mould handling and pre-curing. A high nominal mixer volume does not by itself confirm plant output. Storage tanks, weigh hoppers, conveyors, pumps and controls must support the same operating demand.</w:t>
      </w:r>
    </w:p>
    <w:p>
      <w:r>
        <w:t>Electrical power, process water, compressed air and dust-control requirements depend on the selected equipment and layout. Future expansion should be considered while selecting structural space, silo and tank capacity, transfer routes, PLC capacity and access for additional equipment. Project-specific utility figures should be issued only after the system configuration is defined.</w:t>
      </w:r>
    </w:p>
    <w:p>
      <w:pPr>
        <w:pStyle w:val="Heading1"/>
      </w:pPr>
      <w:r>
        <w:t>Safety, Maintenance and Calibration</w:t>
      </w:r>
    </w:p>
    <w:p>
      <w:r>
        <w:t>Safe and repeatable operation depends on both design and discipline. The final plant should be reviewed by competent engineering and safety personnel for the applicable materials, equipment and local statutory requirements.</w:t>
      </w:r>
    </w:p>
    <w:p>
      <w:pPr>
        <w:pStyle w:val="ListBullet"/>
        <w:spacing w:after="60"/>
        <w:ind w:left="360" w:hanging="216"/>
      </w:pPr>
      <w:r>
        <w:t>Provide controlled handling, housekeeping and ignition-risk management for aluminium powder or paste as applicable.</w:t>
      </w:r>
    </w:p>
    <w:p>
      <w:pPr>
        <w:pStyle w:val="ListBullet"/>
        <w:spacing w:after="60"/>
        <w:ind w:left="360" w:hanging="216"/>
      </w:pPr>
      <w:r>
        <w:t>Control dust at dry-material transfer points and provide safe access to filters, feeders and silos.</w:t>
      </w:r>
    </w:p>
    <w:p>
      <w:pPr>
        <w:pStyle w:val="ListBullet"/>
        <w:spacing w:after="60"/>
        <w:ind w:left="360" w:hanging="216"/>
      </w:pPr>
      <w:r>
        <w:t>Guard moving equipment and establish isolation and lockout procedures before maintenance.</w:t>
      </w:r>
    </w:p>
    <w:p>
      <w:pPr>
        <w:pStyle w:val="ListBullet"/>
        <w:spacing w:after="60"/>
        <w:ind w:left="360" w:hanging="216"/>
      </w:pPr>
      <w:r>
        <w:t>Provide safe cleaning and inspection access to mixers, tanks, screens, hoppers and conveyors.</w:t>
      </w:r>
    </w:p>
    <w:p>
      <w:pPr>
        <w:pStyle w:val="ListBullet"/>
        <w:spacing w:after="60"/>
        <w:ind w:left="360" w:hanging="216"/>
      </w:pPr>
      <w:r>
        <w:t>Calibrate load cells and dosing devices at defined intervals and after relevant maintenance.</w:t>
      </w:r>
    </w:p>
    <w:p>
      <w:pPr>
        <w:pStyle w:val="ListBullet"/>
        <w:spacing w:after="60"/>
        <w:ind w:left="360" w:hanging="216"/>
      </w:pPr>
      <w:r>
        <w:t>Check valve leakage, pump condition, agitator performance, screen condition and material build-up.</w:t>
      </w:r>
    </w:p>
    <w:p>
      <w:pPr>
        <w:pStyle w:val="ListBullet"/>
        <w:spacing w:after="60"/>
        <w:ind w:left="360" w:hanging="216"/>
      </w:pPr>
      <w:r>
        <w:t>Control software changes, recipes and manual overrides through defined permissions and records.</w:t>
      </w:r>
    </w:p>
    <w:p>
      <w:pPr>
        <w:pStyle w:val="Heading1"/>
      </w:pPr>
      <w:r>
        <w:t>Common Mistakes to Avoid</w:t>
      </w:r>
    </w:p>
    <w:tbl>
      <w:tblPr>
        <w:tblStyle w:val="TableGrid"/>
        <w:tblW w:type="dxa" w:w="9360"/>
        <w:jc w:val="center"/>
        <w:tblLayout w:type="fixed"/>
        <w:tblLook w:firstColumn="1" w:firstRow="1" w:lastColumn="0" w:lastRow="0" w:noHBand="0" w:noVBand="1" w:val="04A0"/>
      </w:tblPr>
      <w:tblGrid>
        <w:gridCol w:w="2250"/>
        <w:gridCol w:w="3360"/>
        <w:gridCol w:w="3750"/>
      </w:tblGrid>
      <w:tr>
        <w:trPr>
          <w:tblHeader w:val="true"/>
        </w:trPr>
        <w:tc>
          <w:tcPr>
            <w:tcW w:type="dxa" w:w="2250"/>
            <w:vAlign w:val="center"/>
            <w:tcMar>
              <w:top w:w="70" w:type="dxa"/>
              <w:start w:w="110" w:type="dxa"/>
              <w:bottom w:w="70" w:type="dxa"/>
              <w:end w:w="110" w:type="dxa"/>
            </w:tcMar>
            <w:shd w:fill="0B1727"/>
          </w:tcPr>
          <w:p>
            <w:pPr>
              <w:spacing w:after="0"/>
            </w:pPr>
            <w:r>
              <w:rPr>
                <w:rFonts w:ascii="Arial" w:hAnsi="Arial"/>
                <w:b/>
                <w:color w:val="FFFFFF"/>
                <w:sz w:val="18"/>
              </w:rPr>
              <w:t>Mistake</w:t>
            </w:r>
          </w:p>
        </w:tc>
        <w:tc>
          <w:tcPr>
            <w:tcW w:type="dxa" w:w="3360"/>
            <w:vAlign w:val="center"/>
            <w:tcMar>
              <w:top w:w="70" w:type="dxa"/>
              <w:start w:w="110" w:type="dxa"/>
              <w:bottom w:w="70" w:type="dxa"/>
              <w:end w:w="110" w:type="dxa"/>
            </w:tcMar>
            <w:shd w:fill="0B1727"/>
          </w:tcPr>
          <w:p>
            <w:pPr>
              <w:spacing w:after="0"/>
            </w:pPr>
            <w:r>
              <w:rPr>
                <w:rFonts w:ascii="Arial" w:hAnsi="Arial"/>
                <w:b/>
                <w:color w:val="FFFFFF"/>
                <w:sz w:val="18"/>
              </w:rPr>
              <w:t>Why it creates risk</w:t>
            </w:r>
          </w:p>
        </w:tc>
        <w:tc>
          <w:tcPr>
            <w:tcW w:type="dxa" w:w="3750"/>
            <w:vAlign w:val="center"/>
            <w:tcMar>
              <w:top w:w="70" w:type="dxa"/>
              <w:start w:w="110" w:type="dxa"/>
              <w:bottom w:w="70" w:type="dxa"/>
              <w:end w:w="110" w:type="dxa"/>
            </w:tcMar>
            <w:shd w:fill="0B1727"/>
          </w:tcPr>
          <w:p>
            <w:pPr>
              <w:spacing w:after="0"/>
            </w:pPr>
            <w:r>
              <w:rPr>
                <w:rFonts w:ascii="Arial" w:hAnsi="Arial"/>
                <w:b/>
                <w:color w:val="FFFFFF"/>
                <w:sz w:val="18"/>
              </w:rPr>
              <w:t>Better approach</w:t>
            </w:r>
          </w:p>
        </w:tc>
      </w:tr>
      <w:tr>
        <w:tc>
          <w:tcPr>
            <w:tcW w:type="dxa" w:w="2250"/>
            <w:vAlign w:val="center"/>
            <w:tcMar>
              <w:top w:w="70" w:type="dxa"/>
              <w:start w:w="110" w:type="dxa"/>
              <w:bottom w:w="70" w:type="dxa"/>
              <w:end w:w="110" w:type="dxa"/>
            </w:tcMar>
          </w:tcPr>
          <w:p>
            <w:pPr>
              <w:spacing w:after="0" w:line="252" w:lineRule="auto"/>
            </w:pPr>
            <w:r>
              <w:rPr>
                <w:rFonts w:ascii="Arial" w:hAnsi="Arial"/>
                <w:color w:val="0B1727"/>
                <w:sz w:val="17"/>
              </w:rPr>
              <w:t>Selecting machinery before testing raw materials</w:t>
            </w:r>
          </w:p>
        </w:tc>
        <w:tc>
          <w:tcPr>
            <w:tcW w:type="dxa" w:w="3360"/>
            <w:vAlign w:val="center"/>
            <w:tcMar>
              <w:top w:w="70" w:type="dxa"/>
              <w:start w:w="110" w:type="dxa"/>
              <w:bottom w:w="70" w:type="dxa"/>
              <w:end w:w="110" w:type="dxa"/>
            </w:tcMar>
          </w:tcPr>
          <w:p>
            <w:pPr>
              <w:spacing w:after="0" w:line="252" w:lineRule="auto"/>
            </w:pPr>
            <w:r>
              <w:rPr>
                <w:rFonts w:ascii="Arial" w:hAnsi="Arial"/>
                <w:color w:val="0B1727"/>
                <w:sz w:val="17"/>
              </w:rPr>
              <w:t>The preparation route and recipe may not suit the available material</w:t>
            </w:r>
          </w:p>
        </w:tc>
        <w:tc>
          <w:tcPr>
            <w:tcW w:type="dxa" w:w="3750"/>
            <w:vAlign w:val="center"/>
            <w:tcMar>
              <w:top w:w="70" w:type="dxa"/>
              <w:start w:w="110" w:type="dxa"/>
              <w:bottom w:w="70" w:type="dxa"/>
              <w:end w:w="110" w:type="dxa"/>
            </w:tcMar>
          </w:tcPr>
          <w:p>
            <w:pPr>
              <w:spacing w:after="0" w:line="252" w:lineRule="auto"/>
            </w:pPr>
            <w:r>
              <w:rPr>
                <w:rFonts w:ascii="Arial" w:hAnsi="Arial"/>
                <w:color w:val="0B1727"/>
                <w:sz w:val="17"/>
              </w:rPr>
              <w:t>Test representative materials before freezing the system scope</w:t>
            </w:r>
          </w:p>
        </w:tc>
      </w:tr>
      <w:tr>
        <w:tc>
          <w:tcPr>
            <w:tcW w:type="dxa" w:w="2250"/>
            <w:shd w:fill="F5F7F8"/>
            <w:vAlign w:val="center"/>
            <w:tcMar>
              <w:top w:w="70" w:type="dxa"/>
              <w:start w:w="110" w:type="dxa"/>
              <w:bottom w:w="70" w:type="dxa"/>
              <w:end w:w="110" w:type="dxa"/>
            </w:tcMar>
          </w:tcPr>
          <w:p>
            <w:pPr>
              <w:spacing w:after="0" w:line="252" w:lineRule="auto"/>
            </w:pPr>
            <w:r>
              <w:rPr>
                <w:rFonts w:ascii="Arial" w:hAnsi="Arial"/>
                <w:color w:val="0B1727"/>
                <w:sz w:val="17"/>
              </w:rPr>
              <w:t>Treating slurry volume as constant solid quantity</w:t>
            </w:r>
          </w:p>
        </w:tc>
        <w:tc>
          <w:tcPr>
            <w:tcW w:type="dxa" w:w="3360"/>
            <w:shd w:fill="F5F7F8"/>
            <w:vAlign w:val="center"/>
            <w:tcMar>
              <w:top w:w="70" w:type="dxa"/>
              <w:start w:w="110" w:type="dxa"/>
              <w:bottom w:w="70" w:type="dxa"/>
              <w:end w:w="110" w:type="dxa"/>
            </w:tcMar>
          </w:tcPr>
          <w:p>
            <w:pPr>
              <w:spacing w:after="0" w:line="252" w:lineRule="auto"/>
            </w:pPr>
            <w:r>
              <w:rPr>
                <w:rFonts w:ascii="Arial" w:hAnsi="Arial"/>
                <w:color w:val="0B1727"/>
                <w:sz w:val="17"/>
              </w:rPr>
              <w:t>Concentration changes may alter the actual solids delivered</w:t>
            </w:r>
          </w:p>
        </w:tc>
        <w:tc>
          <w:tcPr>
            <w:tcW w:type="dxa" w:w="3750"/>
            <w:shd w:fill="F5F7F8"/>
            <w:vAlign w:val="center"/>
            <w:tcMar>
              <w:top w:w="70" w:type="dxa"/>
              <w:start w:w="110" w:type="dxa"/>
              <w:bottom w:w="70" w:type="dxa"/>
              <w:end w:w="110" w:type="dxa"/>
            </w:tcMar>
          </w:tcPr>
          <w:p>
            <w:pPr>
              <w:spacing w:after="0" w:line="252" w:lineRule="auto"/>
            </w:pPr>
            <w:r>
              <w:rPr>
                <w:rFonts w:ascii="Arial" w:hAnsi="Arial"/>
                <w:color w:val="0B1727"/>
                <w:sz w:val="17"/>
              </w:rPr>
              <w:t>Use a validated density/concentration and measurement method</w:t>
            </w:r>
          </w:p>
        </w:tc>
      </w:tr>
      <w:tr>
        <w:tc>
          <w:tcPr>
            <w:tcW w:type="dxa" w:w="2250"/>
            <w:vAlign w:val="center"/>
            <w:tcMar>
              <w:top w:w="70" w:type="dxa"/>
              <w:start w:w="110" w:type="dxa"/>
              <w:bottom w:w="70" w:type="dxa"/>
              <w:end w:w="110" w:type="dxa"/>
            </w:tcMar>
          </w:tcPr>
          <w:p>
            <w:pPr>
              <w:spacing w:after="0" w:line="252" w:lineRule="auto"/>
            </w:pPr>
            <w:r>
              <w:rPr>
                <w:rFonts w:ascii="Arial" w:hAnsi="Arial"/>
                <w:color w:val="0B1727"/>
                <w:sz w:val="17"/>
              </w:rPr>
              <w:t>Using one fixed aluminium timing for every recipe</w:t>
            </w:r>
          </w:p>
        </w:tc>
        <w:tc>
          <w:tcPr>
            <w:tcW w:type="dxa" w:w="3360"/>
            <w:vAlign w:val="center"/>
            <w:tcMar>
              <w:top w:w="70" w:type="dxa"/>
              <w:start w:w="110" w:type="dxa"/>
              <w:bottom w:w="70" w:type="dxa"/>
              <w:end w:w="110" w:type="dxa"/>
            </w:tcMar>
          </w:tcPr>
          <w:p>
            <w:pPr>
              <w:spacing w:after="0" w:line="252" w:lineRule="auto"/>
            </w:pPr>
            <w:r>
              <w:rPr>
                <w:rFonts w:ascii="Arial" w:hAnsi="Arial"/>
                <w:color w:val="0B1727"/>
                <w:sz w:val="17"/>
              </w:rPr>
              <w:t>Reaction conditions vary by material and process</w:t>
            </w:r>
          </w:p>
        </w:tc>
        <w:tc>
          <w:tcPr>
            <w:tcW w:type="dxa" w:w="3750"/>
            <w:vAlign w:val="center"/>
            <w:tcMar>
              <w:top w:w="70" w:type="dxa"/>
              <w:start w:w="110" w:type="dxa"/>
              <w:bottom w:w="70" w:type="dxa"/>
              <w:end w:w="110" w:type="dxa"/>
            </w:tcMar>
          </w:tcPr>
          <w:p>
            <w:pPr>
              <w:spacing w:after="0" w:line="252" w:lineRule="auto"/>
            </w:pPr>
            <w:r>
              <w:rPr>
                <w:rFonts w:ascii="Arial" w:hAnsi="Arial"/>
                <w:color w:val="0B1727"/>
                <w:sz w:val="17"/>
              </w:rPr>
              <w:t>Validate quantity, addition stage and mixing duration during commissioning</w:t>
            </w:r>
          </w:p>
        </w:tc>
      </w:tr>
      <w:tr>
        <w:tc>
          <w:tcPr>
            <w:tcW w:type="dxa" w:w="2250"/>
            <w:shd w:fill="F5F7F8"/>
            <w:vAlign w:val="center"/>
            <w:tcMar>
              <w:top w:w="70" w:type="dxa"/>
              <w:start w:w="110" w:type="dxa"/>
              <w:bottom w:w="70" w:type="dxa"/>
              <w:end w:w="110" w:type="dxa"/>
            </w:tcMar>
          </w:tcPr>
          <w:p>
            <w:pPr>
              <w:spacing w:after="0" w:line="252" w:lineRule="auto"/>
            </w:pPr>
            <w:r>
              <w:rPr>
                <w:rFonts w:ascii="Arial" w:hAnsi="Arial"/>
                <w:color w:val="0B1727"/>
                <w:sz w:val="17"/>
              </w:rPr>
              <w:t>Calling a PLC-controlled panel fully automatic</w:t>
            </w:r>
          </w:p>
        </w:tc>
        <w:tc>
          <w:tcPr>
            <w:tcW w:type="dxa" w:w="3360"/>
            <w:shd w:fill="F5F7F8"/>
            <w:vAlign w:val="center"/>
            <w:tcMar>
              <w:top w:w="70" w:type="dxa"/>
              <w:start w:w="110" w:type="dxa"/>
              <w:bottom w:w="70" w:type="dxa"/>
              <w:end w:w="110" w:type="dxa"/>
            </w:tcMar>
          </w:tcPr>
          <w:p>
            <w:pPr>
              <w:spacing w:after="0" w:line="252" w:lineRule="auto"/>
            </w:pPr>
            <w:r>
              <w:rPr>
                <w:rFonts w:ascii="Arial" w:hAnsi="Arial"/>
                <w:color w:val="0B1727"/>
                <w:sz w:val="17"/>
              </w:rPr>
              <w:t>Important decisions may still depend on manual action</w:t>
            </w:r>
          </w:p>
        </w:tc>
        <w:tc>
          <w:tcPr>
            <w:tcW w:type="dxa" w:w="3750"/>
            <w:shd w:fill="F5F7F8"/>
            <w:vAlign w:val="center"/>
            <w:tcMar>
              <w:top w:w="70" w:type="dxa"/>
              <w:start w:w="110" w:type="dxa"/>
              <w:bottom w:w="70" w:type="dxa"/>
              <w:end w:w="110" w:type="dxa"/>
            </w:tcMar>
          </w:tcPr>
          <w:p>
            <w:pPr>
              <w:spacing w:after="0" w:line="252" w:lineRule="auto"/>
            </w:pPr>
            <w:r>
              <w:rPr>
                <w:rFonts w:ascii="Arial" w:hAnsi="Arial"/>
                <w:color w:val="0B1727"/>
                <w:sz w:val="17"/>
              </w:rPr>
              <w:t>Define weighing, sequencing, interlocks, records and exception handling</w:t>
            </w:r>
          </w:p>
        </w:tc>
      </w:tr>
      <w:tr>
        <w:tc>
          <w:tcPr>
            <w:tcW w:type="dxa" w:w="2250"/>
            <w:vAlign w:val="center"/>
            <w:tcMar>
              <w:top w:w="70" w:type="dxa"/>
              <w:start w:w="110" w:type="dxa"/>
              <w:bottom w:w="70" w:type="dxa"/>
              <w:end w:w="110" w:type="dxa"/>
            </w:tcMar>
          </w:tcPr>
          <w:p>
            <w:pPr>
              <w:spacing w:after="0" w:line="252" w:lineRule="auto"/>
            </w:pPr>
            <w:r>
              <w:rPr>
                <w:rFonts w:ascii="Arial" w:hAnsi="Arial"/>
                <w:color w:val="0B1727"/>
                <w:sz w:val="17"/>
              </w:rPr>
              <w:t>Ignoring slurry storage agitation</w:t>
            </w:r>
          </w:p>
        </w:tc>
        <w:tc>
          <w:tcPr>
            <w:tcW w:type="dxa" w:w="3360"/>
            <w:vAlign w:val="center"/>
            <w:tcMar>
              <w:top w:w="70" w:type="dxa"/>
              <w:start w:w="110" w:type="dxa"/>
              <w:bottom w:w="70" w:type="dxa"/>
              <w:end w:w="110" w:type="dxa"/>
            </w:tcMar>
          </w:tcPr>
          <w:p>
            <w:pPr>
              <w:spacing w:after="0" w:line="252" w:lineRule="auto"/>
            </w:pPr>
            <w:r>
              <w:rPr>
                <w:rFonts w:ascii="Arial" w:hAnsi="Arial"/>
                <w:color w:val="0B1727"/>
                <w:sz w:val="17"/>
              </w:rPr>
              <w:t>Settling can produce non-representative transfer</w:t>
            </w:r>
          </w:p>
        </w:tc>
        <w:tc>
          <w:tcPr>
            <w:tcW w:type="dxa" w:w="3750"/>
            <w:vAlign w:val="center"/>
            <w:tcMar>
              <w:top w:w="70" w:type="dxa"/>
              <w:start w:w="110" w:type="dxa"/>
              <w:bottom w:w="70" w:type="dxa"/>
              <w:end w:w="110" w:type="dxa"/>
            </w:tcMar>
          </w:tcPr>
          <w:p>
            <w:pPr>
              <w:spacing w:after="0" w:line="252" w:lineRule="auto"/>
            </w:pPr>
            <w:r>
              <w:rPr>
                <w:rFonts w:ascii="Arial" w:hAnsi="Arial"/>
                <w:color w:val="0B1727"/>
                <w:sz w:val="17"/>
              </w:rPr>
              <w:t>Design agitation, circulation, sampling and storage residence together</w:t>
            </w:r>
          </w:p>
        </w:tc>
      </w:tr>
      <w:tr>
        <w:tc>
          <w:tcPr>
            <w:tcW w:type="dxa" w:w="2250"/>
            <w:shd w:fill="F5F7F8"/>
            <w:vAlign w:val="center"/>
            <w:tcMar>
              <w:top w:w="70" w:type="dxa"/>
              <w:start w:w="110" w:type="dxa"/>
              <w:bottom w:w="70" w:type="dxa"/>
              <w:end w:w="110" w:type="dxa"/>
            </w:tcMar>
          </w:tcPr>
          <w:p>
            <w:pPr>
              <w:spacing w:after="0" w:line="252" w:lineRule="auto"/>
            </w:pPr>
            <w:r>
              <w:rPr>
                <w:rFonts w:ascii="Arial" w:hAnsi="Arial"/>
                <w:color w:val="0B1727"/>
                <w:sz w:val="17"/>
              </w:rPr>
              <w:t>Comparing only mixer size</w:t>
            </w:r>
          </w:p>
        </w:tc>
        <w:tc>
          <w:tcPr>
            <w:tcW w:type="dxa" w:w="3360"/>
            <w:shd w:fill="F5F7F8"/>
            <w:vAlign w:val="center"/>
            <w:tcMar>
              <w:top w:w="70" w:type="dxa"/>
              <w:start w:w="110" w:type="dxa"/>
              <w:bottom w:w="70" w:type="dxa"/>
              <w:end w:w="110" w:type="dxa"/>
            </w:tcMar>
          </w:tcPr>
          <w:p>
            <w:pPr>
              <w:spacing w:after="0" w:line="252" w:lineRule="auto"/>
            </w:pPr>
            <w:r>
              <w:rPr>
                <w:rFonts w:ascii="Arial" w:hAnsi="Arial"/>
                <w:color w:val="0B1727"/>
                <w:sz w:val="17"/>
              </w:rPr>
              <w:t>The bottleneck may be weighing, refill, transfer or mould availability</w:t>
            </w:r>
          </w:p>
        </w:tc>
        <w:tc>
          <w:tcPr>
            <w:tcW w:type="dxa" w:w="3750"/>
            <w:shd w:fill="F5F7F8"/>
            <w:vAlign w:val="center"/>
            <w:tcMar>
              <w:top w:w="70" w:type="dxa"/>
              <w:start w:w="110" w:type="dxa"/>
              <w:bottom w:w="70" w:type="dxa"/>
              <w:end w:w="110" w:type="dxa"/>
            </w:tcMar>
          </w:tcPr>
          <w:p>
            <w:pPr>
              <w:spacing w:after="0" w:line="252" w:lineRule="auto"/>
            </w:pPr>
            <w:r>
              <w:rPr>
                <w:rFonts w:ascii="Arial" w:hAnsi="Arial"/>
                <w:color w:val="0B1727"/>
                <w:sz w:val="17"/>
              </w:rPr>
              <w:t>Evaluate the complete cycle and connected equipment</w:t>
            </w:r>
          </w:p>
        </w:tc>
      </w:tr>
      <w:tr>
        <w:tc>
          <w:tcPr>
            <w:tcW w:type="dxa" w:w="2250"/>
            <w:vAlign w:val="center"/>
            <w:tcMar>
              <w:top w:w="70" w:type="dxa"/>
              <w:start w:w="110" w:type="dxa"/>
              <w:bottom w:w="70" w:type="dxa"/>
              <w:end w:w="110" w:type="dxa"/>
            </w:tcMar>
          </w:tcPr>
          <w:p>
            <w:pPr>
              <w:spacing w:after="0" w:line="252" w:lineRule="auto"/>
            </w:pPr>
            <w:r>
              <w:rPr>
                <w:rFonts w:ascii="Arial" w:hAnsi="Arial"/>
                <w:color w:val="0B1727"/>
                <w:sz w:val="17"/>
              </w:rPr>
              <w:t>Skipping calibration records</w:t>
            </w:r>
          </w:p>
        </w:tc>
        <w:tc>
          <w:tcPr>
            <w:tcW w:type="dxa" w:w="3360"/>
            <w:vAlign w:val="center"/>
            <w:tcMar>
              <w:top w:w="70" w:type="dxa"/>
              <w:start w:w="110" w:type="dxa"/>
              <w:bottom w:w="70" w:type="dxa"/>
              <w:end w:w="110" w:type="dxa"/>
            </w:tcMar>
          </w:tcPr>
          <w:p>
            <w:pPr>
              <w:spacing w:after="0" w:line="252" w:lineRule="auto"/>
            </w:pPr>
            <w:r>
              <w:rPr>
                <w:rFonts w:ascii="Arial" w:hAnsi="Arial"/>
                <w:color w:val="0B1727"/>
                <w:sz w:val="17"/>
              </w:rPr>
              <w:t>Actual delivery may differ from displayed values</w:t>
            </w:r>
          </w:p>
        </w:tc>
        <w:tc>
          <w:tcPr>
            <w:tcW w:type="dxa" w:w="3750"/>
            <w:vAlign w:val="center"/>
            <w:tcMar>
              <w:top w:w="70" w:type="dxa"/>
              <w:start w:w="110" w:type="dxa"/>
              <w:bottom w:w="70" w:type="dxa"/>
              <w:end w:w="110" w:type="dxa"/>
            </w:tcMar>
          </w:tcPr>
          <w:p>
            <w:pPr>
              <w:spacing w:after="0" w:line="252" w:lineRule="auto"/>
            </w:pPr>
            <w:r>
              <w:rPr>
                <w:rFonts w:ascii="Arial" w:hAnsi="Arial"/>
                <w:color w:val="0B1727"/>
                <w:sz w:val="17"/>
              </w:rPr>
              <w:t>Use documented calibration and batch verification</w:t>
            </w:r>
          </w:p>
        </w:tc>
      </w:tr>
    </w:tbl>
    <w:p>
      <w:pPr>
        <w:spacing w:after="20"/>
      </w:pPr>
    </w:p>
    <w:p>
      <w:pPr>
        <w:pStyle w:val="Heading1"/>
      </w:pPr>
      <w:r>
        <w:t>Installation and Commissioning Checks</w:t>
      </w:r>
    </w:p>
    <w:p>
      <w:r>
        <w:t>The final acceptance plan should be agreed for the actual supply scope. It may include:</w:t>
      </w:r>
    </w:p>
    <w:p>
      <w:pPr>
        <w:pStyle w:val="ListBullet"/>
        <w:spacing w:after="60"/>
        <w:ind w:left="360" w:hanging="216"/>
      </w:pPr>
      <w:r>
        <w:t>Mechanical inspection, rotation checks, alignment and safe access</w:t>
      </w:r>
    </w:p>
    <w:p>
      <w:pPr>
        <w:pStyle w:val="ListBullet"/>
        <w:spacing w:after="60"/>
        <w:ind w:left="360" w:hanging="216"/>
      </w:pPr>
      <w:r>
        <w:t>Load-cell, dosing-device, level-instrument and sensor calibration</w:t>
      </w:r>
    </w:p>
    <w:p>
      <w:pPr>
        <w:pStyle w:val="ListBullet"/>
        <w:spacing w:after="60"/>
        <w:ind w:left="360" w:hanging="216"/>
      </w:pPr>
      <w:r>
        <w:t>Water trials for tanks, pumps, piping, valves and leakage checks</w:t>
      </w:r>
    </w:p>
    <w:p>
      <w:pPr>
        <w:pStyle w:val="ListBullet"/>
        <w:spacing w:after="60"/>
        <w:ind w:left="360" w:hanging="216"/>
      </w:pPr>
      <w:r>
        <w:t>Dry-material transfer and dust-control trials</w:t>
      </w:r>
    </w:p>
    <w:p>
      <w:pPr>
        <w:pStyle w:val="ListBullet"/>
        <w:spacing w:after="60"/>
        <w:ind w:left="360" w:hanging="216"/>
      </w:pPr>
      <w:r>
        <w:t>PLC input/output checks, permissives, alarms, interlocks and manual-mode controls</w:t>
      </w:r>
    </w:p>
    <w:p>
      <w:pPr>
        <w:pStyle w:val="ListBullet"/>
        <w:spacing w:after="60"/>
        <w:ind w:left="360" w:hanging="216"/>
      </w:pPr>
      <w:r>
        <w:t>Recipe trials using approved materials under agreed operating conditions</w:t>
      </w:r>
    </w:p>
    <w:p>
      <w:pPr>
        <w:pStyle w:val="ListBullet"/>
        <w:spacing w:after="60"/>
        <w:ind w:left="360" w:hanging="216"/>
      </w:pPr>
      <w:r>
        <w:t>Target-versus-actual batch record review</w:t>
      </w:r>
    </w:p>
    <w:p>
      <w:pPr>
        <w:pStyle w:val="ListBullet"/>
        <w:spacing w:after="60"/>
        <w:ind w:left="360" w:hanging="216"/>
      </w:pPr>
      <w:r>
        <w:t>Operator and maintenance training with documented handover</w:t>
      </w:r>
    </w:p>
    <w:p>
      <w:pPr>
        <w:pStyle w:val="Heading1"/>
      </w:pPr>
      <w:r>
        <w:t>Integrated Engineering by Laxmi En-Fab</w:t>
      </w:r>
    </w:p>
    <w:p>
      <w:r>
        <w:t>Laxmi En-Fab Pvt. Ltd. approaches raw-material preparation, storage, batching, mixing, mould filling and automation as connected parts of the AAC production process. The proposed configuration is developed around the selected raw material, required plant capacity, layout constraints and automation scope.</w:t>
      </w:r>
    </w:p>
    <w:p>
      <w:r>
        <w:t>For a meaningful technical discussion, buyers should share representative raw-material reports, planned capacity, project location, intended product range, proposed layout and future-expansion requirement. These inputs help define the preparation route and preliminary equipment scope before a detailed proposal is issued.</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140" w:type="dxa"/>
              <w:start w:w="170" w:type="dxa"/>
              <w:bottom w:w="140" w:type="dxa"/>
              <w:end w:w="170" w:type="dxa"/>
            </w:tcMar>
            <w:shd w:fill="EEF2F5"/>
          </w:tcPr>
          <w:p>
            <w:pPr>
              <w:spacing w:after="0"/>
            </w:pPr>
            <w:r>
              <w:rPr>
                <w:b/>
                <w:color w:val="0C4F80"/>
              </w:rPr>
              <w:t xml:space="preserve">Primary call to action  </w:t>
            </w:r>
            <w:r>
              <w:t>Get a batching-system configuration for your raw materials. Share your planned capacity, project location, siliceous material and automation requirement with the Laxmi En-Fab team.</w:t>
            </w:r>
          </w:p>
        </w:tc>
      </w:tr>
    </w:tbl>
    <w:p>
      <w:pPr>
        <w:spacing w:after="0"/>
      </w:pP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140" w:type="dxa"/>
              <w:start w:w="170" w:type="dxa"/>
              <w:bottom w:w="140" w:type="dxa"/>
              <w:end w:w="170" w:type="dxa"/>
            </w:tcMar>
            <w:shd w:fill="EEF2F5"/>
          </w:tcPr>
          <w:p>
            <w:pPr>
              <w:spacing w:after="0"/>
            </w:pPr>
            <w:r>
              <w:rPr>
                <w:b/>
                <w:color w:val="0C4F80"/>
              </w:rPr>
              <w:t xml:space="preserve">Lower-commitment next step  </w:t>
            </w:r>
            <w:r>
              <w:t>Request the AAC raw-material testing checklist before finalising your plant equipment scope.</w:t>
            </w:r>
          </w:p>
        </w:tc>
      </w:tr>
    </w:tbl>
    <w:p>
      <w:pPr>
        <w:spacing w:after="0"/>
      </w:pPr>
    </w:p>
    <w:p>
      <w:pPr>
        <w:pStyle w:val="Heading1"/>
      </w:pPr>
      <w:r>
        <w:t>Frequently Asked Questions</w:t>
      </w:r>
    </w:p>
    <w:p>
      <w:pPr>
        <w:keepNext/>
        <w:spacing w:before="140" w:after="40"/>
      </w:pPr>
      <w:r>
        <w:rPr>
          <w:b/>
          <w:color w:val="0B1727"/>
        </w:rPr>
        <w:t>What is an AAC batching system?</w:t>
      </w:r>
    </w:p>
    <w:p>
      <w:pPr>
        <w:spacing w:after="100"/>
      </w:pPr>
      <w:r>
        <w:t>It is the group of equipment and controls used to measure, sequence and mix slurry, cement, lime, gypsum, water, aluminium and other approved ingredients for each AAC batch. The exact scope varies with the raw material, plant capacity, layout and automation requirement.</w:t>
      </w:r>
    </w:p>
    <w:p>
      <w:pPr>
        <w:keepNext/>
        <w:spacing w:before="140" w:after="40"/>
      </w:pPr>
      <w:r>
        <w:rPr>
          <w:b/>
          <w:color w:val="0B1727"/>
        </w:rPr>
        <w:t>Why is slurry density important in an AAC plant?</w:t>
      </w:r>
    </w:p>
    <w:p>
      <w:pPr>
        <w:spacing w:after="100"/>
      </w:pPr>
      <w:r>
        <w:t>A change in slurry concentration can change the amount of solid material delivered in a batch. Density is therefore used as an important control indicator, but the relationship between density and solid content must be validated for the specific material.</w:t>
      </w:r>
    </w:p>
    <w:p>
      <w:pPr>
        <w:keepNext/>
        <w:spacing w:before="140" w:after="40"/>
      </w:pPr>
      <w:r>
        <w:rPr>
          <w:b/>
          <w:color w:val="0B1727"/>
        </w:rPr>
        <w:t>Can dry fly ash be used for slurry preparation?</w:t>
      </w:r>
    </w:p>
    <w:p>
      <w:pPr>
        <w:spacing w:after="100"/>
      </w:pPr>
      <w:r>
        <w:t>Suitable dry fly ash may be transferred to a controlled slurry-preparation system and mixed with water. Its chemical and physical characteristics, fineness, consistency and contamination risk should be evaluated before the system and recipe are finalised.</w:t>
      </w:r>
    </w:p>
    <w:p>
      <w:pPr>
        <w:keepNext/>
        <w:spacing w:before="140" w:after="40"/>
      </w:pPr>
      <w:r>
        <w:rPr>
          <w:b/>
          <w:color w:val="0B1727"/>
        </w:rPr>
        <w:t>Can pond ash or bottom ash be used in AAC production?</w:t>
      </w:r>
    </w:p>
    <w:p>
      <w:pPr>
        <w:spacing w:after="100"/>
      </w:pPr>
      <w:r>
        <w:t>It may be considered when representative testing and production trials establish suitability. Moisture, chemistry, particle-size distribution, carbon or organic matter and consistency should be assessed. The material name alone is not proof of suitability.</w:t>
      </w:r>
    </w:p>
    <w:p>
      <w:pPr>
        <w:keepNext/>
        <w:spacing w:before="140" w:after="40"/>
      </w:pPr>
      <w:r>
        <w:rPr>
          <w:b/>
          <w:color w:val="0B1727"/>
        </w:rPr>
        <w:t>Why is sand ground before AAC batching?</w:t>
      </w:r>
    </w:p>
    <w:p>
      <w:pPr>
        <w:spacing w:after="100"/>
      </w:pPr>
      <w:r>
        <w:t>Sand commonly requires wet grinding to reach the fineness established for the selected AAC formulation. After grinding, the slurry is screened, checked and stored under controlled agitation before batching.</w:t>
      </w:r>
    </w:p>
    <w:p>
      <w:pPr>
        <w:keepNext/>
        <w:spacing w:before="140" w:after="40"/>
      </w:pPr>
      <w:r>
        <w:rPr>
          <w:b/>
          <w:color w:val="0B1727"/>
        </w:rPr>
        <w:t>Is AAC slurry measured by weight or volume?</w:t>
      </w:r>
    </w:p>
    <w:p>
      <w:pPr>
        <w:spacing w:after="100"/>
      </w:pPr>
      <w:r>
        <w:t>The selected method depends on the plant design. The important requirement is that the system delivers the approved material quantity using a calibrated and technically validated measurement method that accounts for relevant slurry variation.</w:t>
      </w:r>
    </w:p>
    <w:p>
      <w:pPr>
        <w:keepNext/>
        <w:spacing w:before="140" w:after="40"/>
      </w:pPr>
      <w:r>
        <w:rPr>
          <w:b/>
          <w:color w:val="0B1727"/>
        </w:rPr>
        <w:t>When is aluminium added to the AAC mixer?</w:t>
      </w:r>
    </w:p>
    <w:p>
      <w:pPr>
        <w:spacing w:after="100"/>
      </w:pPr>
      <w:r>
        <w:t>Aluminium is normally introduced toward the final part of the validated mixing sequence. Its quantity, preparation method, addition point and final mixing duration are specific to the material, recipe, mixer and operating conditions.</w:t>
      </w:r>
    </w:p>
    <w:p>
      <w:pPr>
        <w:keepNext/>
        <w:spacing w:before="140" w:after="40"/>
      </w:pPr>
      <w:r>
        <w:rPr>
          <w:b/>
          <w:color w:val="0B1727"/>
        </w:rPr>
        <w:t>What does an automatic AAC batching system include?</w:t>
      </w:r>
    </w:p>
    <w:p>
      <w:pPr>
        <w:spacing w:after="100"/>
      </w:pPr>
      <w:r>
        <w:t xml:space="preserve">A properly defined automatic system may include recipe selection, automatic weighing, sequence control, tolerance checks, alarms, interlocks, controlled aluminium dosing and batch reporting. Buyers should verify the exact included functions rather than relying only on the word ‘automatic’. </w:t>
      </w:r>
    </w:p>
    <w:p>
      <w:pPr>
        <w:keepNext/>
        <w:spacing w:before="140" w:after="40"/>
      </w:pPr>
      <w:r>
        <w:rPr>
          <w:b/>
          <w:color w:val="0B1727"/>
        </w:rPr>
        <w:t>Can an existing AAC batching system be upgraded?</w:t>
      </w:r>
    </w:p>
    <w:p>
      <w:pPr>
        <w:spacing w:after="100"/>
      </w:pPr>
      <w:r>
        <w:t>An upgrade may be possible after reviewing the mechanical equipment, weighing arrangement, controls, available space, cycle requirement and integration with the rest of the plant. The practical scope must be established through a site and system assessment.</w:t>
      </w:r>
    </w:p>
    <w:p>
      <w:pPr>
        <w:keepNext/>
        <w:spacing w:before="140" w:after="40"/>
      </w:pPr>
      <w:r>
        <w:rPr>
          <w:b/>
          <w:color w:val="0B1727"/>
        </w:rPr>
        <w:t>What information is needed for a preliminary proposal?</w:t>
      </w:r>
    </w:p>
    <w:p>
      <w:pPr>
        <w:spacing w:after="100"/>
      </w:pPr>
      <w:r>
        <w:t>Provide the planned or existing plant capacity, project location, principal siliceous material, available raw-material test reports, required automation, intended product range, layout information and future-expansion plan.</w:t>
      </w:r>
    </w:p>
    <w:p>
      <w:pPr>
        <w:pStyle w:val="Heading1"/>
      </w:pPr>
      <w:r>
        <w:t>Recommended Internal Links</w:t>
      </w:r>
    </w:p>
    <w:p>
      <w:pPr>
        <w:pStyle w:val="ListBullet"/>
        <w:spacing w:after="60"/>
        <w:ind w:left="360" w:hanging="216"/>
      </w:pPr>
      <w:r>
        <w:t>Complete AAC block manufacturing process</w:t>
      </w:r>
    </w:p>
    <w:p>
      <w:pPr>
        <w:pStyle w:val="ListBullet"/>
        <w:spacing w:after="60"/>
        <w:ind w:left="360" w:hanging="216"/>
      </w:pPr>
      <w:r>
        <w:t>AAC plant capacity selection</w:t>
      </w:r>
    </w:p>
    <w:p>
      <w:pPr>
        <w:pStyle w:val="ListBullet"/>
        <w:spacing w:after="60"/>
        <w:ind w:left="360" w:hanging="216"/>
      </w:pPr>
      <w:r>
        <w:t>AAC plant automation levels</w:t>
      </w:r>
    </w:p>
    <w:p>
      <w:pPr>
        <w:pStyle w:val="ListBullet"/>
        <w:spacing w:after="60"/>
        <w:ind w:left="360" w:hanging="216"/>
      </w:pPr>
      <w:r>
        <w:t>AAC plant raw-material storage</w:t>
      </w:r>
    </w:p>
    <w:p>
      <w:pPr>
        <w:pStyle w:val="ListBullet"/>
        <w:spacing w:after="60"/>
        <w:ind w:left="360" w:hanging="216"/>
      </w:pPr>
      <w:r>
        <w:t>AAC mould handling and pre-curing</w:t>
      </w:r>
    </w:p>
    <w:p>
      <w:pPr>
        <w:pStyle w:val="ListBullet"/>
        <w:spacing w:after="60"/>
        <w:ind w:left="360" w:hanging="216"/>
      </w:pPr>
      <w:r>
        <w:t>How to improve AAC block quality</w:t>
      </w:r>
    </w:p>
    <w:p>
      <w:pPr>
        <w:pStyle w:val="ListBullet"/>
        <w:spacing w:after="60"/>
        <w:ind w:left="360" w:hanging="216"/>
      </w:pPr>
      <w:r>
        <w:t>Complete AAC plant machinery</w:t>
      </w:r>
    </w:p>
    <w:p>
      <w:pPr>
        <w:pStyle w:val="Heading1"/>
      </w:pPr>
      <w:r>
        <w:t>Publication Notes for the Web Team</w:t>
      </w:r>
    </w:p>
    <w:tbl>
      <w:tblPr>
        <w:tblStyle w:val="TableGrid"/>
        <w:tblW w:type="dxa" w:w="9360"/>
        <w:jc w:val="center"/>
        <w:tblLayout w:type="fixed"/>
        <w:tblLook w:firstColumn="1" w:firstRow="1" w:lastColumn="0" w:lastRow="0" w:noHBand="0" w:noVBand="1" w:val="04A0"/>
      </w:tblPr>
      <w:tblGrid>
        <w:gridCol w:w="2050"/>
        <w:gridCol w:w="7310"/>
      </w:tblGrid>
      <w:tr>
        <w:trPr>
          <w:tblHeader w:val="true"/>
        </w:trPr>
        <w:tc>
          <w:tcPr>
            <w:tcW w:type="dxa" w:w="2050"/>
            <w:vAlign w:val="center"/>
            <w:tcMar>
              <w:top w:w="70" w:type="dxa"/>
              <w:start w:w="110" w:type="dxa"/>
              <w:bottom w:w="70" w:type="dxa"/>
              <w:end w:w="110" w:type="dxa"/>
            </w:tcMar>
            <w:shd w:fill="0B1727"/>
          </w:tcPr>
          <w:p>
            <w:pPr>
              <w:spacing w:after="0"/>
            </w:pPr>
            <w:r>
              <w:rPr>
                <w:rFonts w:ascii="Arial" w:hAnsi="Arial"/>
                <w:b/>
                <w:color w:val="FFFFFF"/>
                <w:sz w:val="18"/>
              </w:rPr>
              <w:t>Item</w:t>
            </w:r>
          </w:p>
        </w:tc>
        <w:tc>
          <w:tcPr>
            <w:tcW w:type="dxa" w:w="7310"/>
            <w:vAlign w:val="center"/>
            <w:tcMar>
              <w:top w:w="70" w:type="dxa"/>
              <w:start w:w="110" w:type="dxa"/>
              <w:bottom w:w="70" w:type="dxa"/>
              <w:end w:w="110" w:type="dxa"/>
            </w:tcMar>
            <w:shd w:fill="0B1727"/>
          </w:tcPr>
          <w:p>
            <w:pPr>
              <w:spacing w:after="0"/>
            </w:pPr>
            <w:r>
              <w:rPr>
                <w:rFonts w:ascii="Arial" w:hAnsi="Arial"/>
                <w:b/>
                <w:color w:val="FFFFFF"/>
                <w:sz w:val="18"/>
              </w:rPr>
              <w:t>Instruction</w:t>
            </w:r>
          </w:p>
        </w:tc>
      </w:tr>
      <w:tr>
        <w:tc>
          <w:tcPr>
            <w:tcW w:type="dxa" w:w="2050"/>
            <w:vAlign w:val="center"/>
            <w:tcMar>
              <w:top w:w="70" w:type="dxa"/>
              <w:start w:w="110" w:type="dxa"/>
              <w:bottom w:w="70" w:type="dxa"/>
              <w:end w:w="110" w:type="dxa"/>
            </w:tcMar>
          </w:tcPr>
          <w:p>
            <w:pPr>
              <w:spacing w:after="0" w:line="252" w:lineRule="auto"/>
            </w:pPr>
            <w:r>
              <w:rPr>
                <w:rFonts w:ascii="Arial" w:hAnsi="Arial"/>
                <w:color w:val="0B1727"/>
                <w:sz w:val="17"/>
              </w:rPr>
              <w:t>Primary CTA</w:t>
            </w:r>
          </w:p>
        </w:tc>
        <w:tc>
          <w:tcPr>
            <w:tcW w:type="dxa" w:w="7310"/>
            <w:vAlign w:val="center"/>
            <w:tcMar>
              <w:top w:w="70" w:type="dxa"/>
              <w:start w:w="110" w:type="dxa"/>
              <w:bottom w:w="70" w:type="dxa"/>
              <w:end w:w="110" w:type="dxa"/>
            </w:tcMar>
          </w:tcPr>
          <w:p>
            <w:pPr>
              <w:spacing w:after="0" w:line="252" w:lineRule="auto"/>
            </w:pPr>
            <w:r>
              <w:rPr>
                <w:rFonts w:ascii="Arial" w:hAnsi="Arial"/>
                <w:color w:val="0B1727"/>
                <w:sz w:val="17"/>
              </w:rPr>
              <w:t>Get a Batching System Configuration for Your Raw Materials</w:t>
            </w:r>
          </w:p>
        </w:tc>
      </w:tr>
      <w:tr>
        <w:tc>
          <w:tcPr>
            <w:tcW w:type="dxa" w:w="2050"/>
            <w:shd w:fill="F5F7F8"/>
            <w:vAlign w:val="center"/>
            <w:tcMar>
              <w:top w:w="70" w:type="dxa"/>
              <w:start w:w="110" w:type="dxa"/>
              <w:bottom w:w="70" w:type="dxa"/>
              <w:end w:w="110" w:type="dxa"/>
            </w:tcMar>
          </w:tcPr>
          <w:p>
            <w:pPr>
              <w:spacing w:after="0" w:line="252" w:lineRule="auto"/>
            </w:pPr>
            <w:r>
              <w:rPr>
                <w:rFonts w:ascii="Arial" w:hAnsi="Arial"/>
                <w:color w:val="0B1727"/>
                <w:sz w:val="17"/>
              </w:rPr>
              <w:t>Secondary CTA</w:t>
            </w:r>
          </w:p>
        </w:tc>
        <w:tc>
          <w:tcPr>
            <w:tcW w:type="dxa" w:w="7310"/>
            <w:shd w:fill="F5F7F8"/>
            <w:vAlign w:val="center"/>
            <w:tcMar>
              <w:top w:w="70" w:type="dxa"/>
              <w:start w:w="110" w:type="dxa"/>
              <w:bottom w:w="70" w:type="dxa"/>
              <w:end w:w="110" w:type="dxa"/>
            </w:tcMar>
          </w:tcPr>
          <w:p>
            <w:pPr>
              <w:spacing w:after="0" w:line="252" w:lineRule="auto"/>
            </w:pPr>
            <w:r>
              <w:rPr>
                <w:rFonts w:ascii="Arial" w:hAnsi="Arial"/>
                <w:color w:val="0B1727"/>
                <w:sz w:val="17"/>
              </w:rPr>
              <w:t>Download/Request the AAC Raw-Material Testing Checklist</w:t>
            </w:r>
          </w:p>
        </w:tc>
      </w:tr>
      <w:tr>
        <w:tc>
          <w:tcPr>
            <w:tcW w:type="dxa" w:w="2050"/>
            <w:vAlign w:val="center"/>
            <w:tcMar>
              <w:top w:w="70" w:type="dxa"/>
              <w:start w:w="110" w:type="dxa"/>
              <w:bottom w:w="70" w:type="dxa"/>
              <w:end w:w="110" w:type="dxa"/>
            </w:tcMar>
          </w:tcPr>
          <w:p>
            <w:pPr>
              <w:spacing w:after="0" w:line="252" w:lineRule="auto"/>
            </w:pPr>
            <w:r>
              <w:rPr>
                <w:rFonts w:ascii="Arial" w:hAnsi="Arial"/>
                <w:color w:val="0B1727"/>
                <w:sz w:val="17"/>
              </w:rPr>
              <w:t>Schema</w:t>
            </w:r>
          </w:p>
        </w:tc>
        <w:tc>
          <w:tcPr>
            <w:tcW w:type="dxa" w:w="7310"/>
            <w:vAlign w:val="center"/>
            <w:tcMar>
              <w:top w:w="70" w:type="dxa"/>
              <w:start w:w="110" w:type="dxa"/>
              <w:bottom w:w="70" w:type="dxa"/>
              <w:end w:w="110" w:type="dxa"/>
            </w:tcMar>
          </w:tcPr>
          <w:p>
            <w:pPr>
              <w:spacing w:after="0" w:line="252" w:lineRule="auto"/>
            </w:pPr>
            <w:r>
              <w:rPr>
                <w:rFonts w:ascii="Arial" w:hAnsi="Arial"/>
                <w:color w:val="0B1727"/>
                <w:sz w:val="17"/>
              </w:rPr>
              <w:t>Use supported Organization, Product or Service, Article and BreadcrumbList data. Add VideoObject only when a visible video is published.</w:t>
            </w:r>
          </w:p>
        </w:tc>
      </w:tr>
      <w:tr>
        <w:tc>
          <w:tcPr>
            <w:tcW w:type="dxa" w:w="2050"/>
            <w:shd w:fill="F5F7F8"/>
            <w:vAlign w:val="center"/>
            <w:tcMar>
              <w:top w:w="70" w:type="dxa"/>
              <w:start w:w="110" w:type="dxa"/>
              <w:bottom w:w="70" w:type="dxa"/>
              <w:end w:w="110" w:type="dxa"/>
            </w:tcMar>
          </w:tcPr>
          <w:p>
            <w:pPr>
              <w:spacing w:after="0" w:line="252" w:lineRule="auto"/>
            </w:pPr>
            <w:r>
              <w:rPr>
                <w:rFonts w:ascii="Arial" w:hAnsi="Arial"/>
                <w:color w:val="0B1727"/>
                <w:sz w:val="17"/>
              </w:rPr>
              <w:t>Images</w:t>
            </w:r>
          </w:p>
        </w:tc>
        <w:tc>
          <w:tcPr>
            <w:tcW w:type="dxa" w:w="7310"/>
            <w:shd w:fill="F5F7F8"/>
            <w:vAlign w:val="center"/>
            <w:tcMar>
              <w:top w:w="70" w:type="dxa"/>
              <w:start w:w="110" w:type="dxa"/>
              <w:bottom w:w="70" w:type="dxa"/>
              <w:end w:w="110" w:type="dxa"/>
            </w:tcMar>
          </w:tcPr>
          <w:p>
            <w:pPr>
              <w:spacing w:after="0" w:line="252" w:lineRule="auto"/>
            </w:pPr>
            <w:r>
              <w:rPr>
                <w:rFonts w:ascii="Arial" w:hAnsi="Arial"/>
                <w:color w:val="0B1727"/>
                <w:sz w:val="17"/>
              </w:rPr>
              <w:t>Use original Laxmi system photographs and a labelled process diagram; provide descriptive filenames and alt text.</w:t>
            </w:r>
          </w:p>
        </w:tc>
      </w:tr>
      <w:tr>
        <w:tc>
          <w:tcPr>
            <w:tcW w:type="dxa" w:w="2050"/>
            <w:vAlign w:val="center"/>
            <w:tcMar>
              <w:top w:w="70" w:type="dxa"/>
              <w:start w:w="110" w:type="dxa"/>
              <w:bottom w:w="70" w:type="dxa"/>
              <w:end w:w="110" w:type="dxa"/>
            </w:tcMar>
          </w:tcPr>
          <w:p>
            <w:pPr>
              <w:spacing w:after="0" w:line="252" w:lineRule="auto"/>
            </w:pPr>
            <w:r>
              <w:rPr>
                <w:rFonts w:ascii="Arial" w:hAnsi="Arial"/>
                <w:color w:val="0B1727"/>
                <w:sz w:val="17"/>
              </w:rPr>
              <w:t>Technical review</w:t>
            </w:r>
          </w:p>
        </w:tc>
        <w:tc>
          <w:tcPr>
            <w:tcW w:type="dxa" w:w="7310"/>
            <w:vAlign w:val="center"/>
            <w:tcMar>
              <w:top w:w="70" w:type="dxa"/>
              <w:start w:w="110" w:type="dxa"/>
              <w:bottom w:w="70" w:type="dxa"/>
              <w:end w:w="110" w:type="dxa"/>
            </w:tcMar>
          </w:tcPr>
          <w:p>
            <w:pPr>
              <w:spacing w:after="0" w:line="252" w:lineRule="auto"/>
            </w:pPr>
            <w:r>
              <w:rPr>
                <w:rFonts w:ascii="Arial" w:hAnsi="Arial"/>
                <w:color w:val="0B1727"/>
                <w:sz w:val="17"/>
              </w:rPr>
              <w:t>Publish only after review by the responsible Laxmi En-Fab process/automation engineer.</w:t>
            </w:r>
          </w:p>
        </w:tc>
      </w:tr>
      <w:tr>
        <w:tc>
          <w:tcPr>
            <w:tcW w:type="dxa" w:w="2050"/>
            <w:shd w:fill="F5F7F8"/>
            <w:vAlign w:val="center"/>
            <w:tcMar>
              <w:top w:w="70" w:type="dxa"/>
              <w:start w:w="110" w:type="dxa"/>
              <w:bottom w:w="70" w:type="dxa"/>
              <w:end w:w="110" w:type="dxa"/>
            </w:tcMar>
          </w:tcPr>
          <w:p>
            <w:pPr>
              <w:spacing w:after="0" w:line="252" w:lineRule="auto"/>
            </w:pPr>
            <w:r>
              <w:rPr>
                <w:rFonts w:ascii="Arial" w:hAnsi="Arial"/>
                <w:color w:val="0B1727"/>
                <w:sz w:val="17"/>
              </w:rPr>
              <w:t>Claims control</w:t>
            </w:r>
          </w:p>
        </w:tc>
        <w:tc>
          <w:tcPr>
            <w:tcW w:type="dxa" w:w="7310"/>
            <w:shd w:fill="F5F7F8"/>
            <w:vAlign w:val="center"/>
            <w:tcMar>
              <w:top w:w="70" w:type="dxa"/>
              <w:start w:w="110" w:type="dxa"/>
              <w:bottom w:w="70" w:type="dxa"/>
              <w:end w:w="110" w:type="dxa"/>
            </w:tcMar>
          </w:tcPr>
          <w:p>
            <w:pPr>
              <w:spacing w:after="0" w:line="252" w:lineRule="auto"/>
            </w:pPr>
            <w:r>
              <w:rPr>
                <w:rFonts w:ascii="Arial" w:hAnsi="Arial"/>
                <w:color w:val="0B1727"/>
                <w:sz w:val="17"/>
              </w:rPr>
              <w:t>Do not add unverified accuracy, output, saving, manpower, project-count or customer claims.</w:t>
            </w:r>
          </w:p>
        </w:tc>
      </w:tr>
    </w:tbl>
    <w:p>
      <w:pPr>
        <w:spacing w:after="20"/>
      </w:pPr>
    </w:p>
    <w:sectPr w:rsidR="00FC693F" w:rsidRPr="0006063C" w:rsidSect="00034616">
      <w:headerReference w:type="default" r:id="rId9"/>
      <w:footerReference w:type="default" r:id="rId10"/>
      <w:pgSz w:w="12240" w:h="15840"/>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273"/>
        <w:sz w:val="16"/>
      </w:rPr>
      <w:t>AAC Batching System &amp; Raw Material Preparation  •  Publication-ready webpage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26273"/>
        <w:sz w:val="16"/>
      </w:rPr>
      <w:t>LAXMI EN-FAB PVT. LTD.  |  AAC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B17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Batching System and Raw Material Preparation</dc:title>
  <dc:subject>Publication-ready technical webpage copy</dc:subject>
  <dc:creator>Laxmi En-Fab Pvt. Ltd.</dc:creator>
  <cp:keywords>AAC batching system, AAC raw material preparation, AAC slurry preparation, AAC plant automation</cp:keywords>
  <dc:description>generated by python-docx</dc:description>
  <cp:lastModifiedBy/>
  <cp:revision>1</cp:revision>
  <dcterms:created xsi:type="dcterms:W3CDTF">2013-12-23T23:15:00Z</dcterms:created>
  <dcterms:modified xsi:type="dcterms:W3CDTF">2013-12-23T23:15:00Z</dcterms:modified>
  <cp:category/>
</cp:coreProperties>
</file>