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40"/>
      </w:pPr>
      <w:r>
        <w:rPr>
          <w:rFonts w:ascii="Arial" w:hAnsi="Arial"/>
          <w:b/>
          <w:color w:val="0C4F80"/>
          <w:sz w:val="18"/>
        </w:rPr>
        <w:t>TECHNICAL PRODUCT GUIDE</w:t>
      </w:r>
    </w:p>
    <w:p>
      <w:pPr>
        <w:spacing w:after="120"/>
      </w:pPr>
      <w:r>
        <w:rPr>
          <w:rFonts w:ascii="Arial" w:hAnsi="Arial"/>
          <w:b/>
          <w:color w:val="0B1727"/>
          <w:sz w:val="54"/>
        </w:rPr>
        <w:t>AAC Mould Handling and</w:t>
        <w:br/>
        <w:t>Precuring System</w:t>
      </w:r>
    </w:p>
    <w:p>
      <w:pPr>
        <w:spacing w:after="320"/>
      </w:pPr>
      <w:r>
        <w:rPr>
          <w:rFonts w:ascii="Arial" w:hAnsi="Arial"/>
          <w:b w:val="0"/>
          <w:color w:val="526273"/>
          <w:sz w:val="26"/>
        </w:rPr>
        <w:t>Engineering mould, side-plate and precuring circulation as one balanced AAC production system</w:t>
      </w:r>
    </w:p>
    <w:tbl>
      <w:tblPr>
        <w:tblStyle w:val="TableGrid"/>
        <w:tblW w:type="dxa" w:w="9244"/>
        <w:jc w:val="left"/>
        <w:tblLayout w:type="fixed"/>
        <w:tblLook w:firstColumn="1" w:firstRow="1" w:lastColumn="0" w:lastRow="0" w:noHBand="0" w:noVBand="1" w:val="04A0"/>
      </w:tblPr>
      <w:tblGrid>
        <w:gridCol w:w="1944"/>
        <w:gridCol w:w="7300"/>
      </w:tblGrid>
      <w:tr>
        <w:trPr>
          <w:tblHeader w:val="true"/>
        </w:trPr>
        <w:tc>
          <w:tcPr>
            <w:tcW w:type="dxa" w:w="1944"/>
            <w:shd w:fill="09263D"/>
            <w:tcMar>
              <w:top w:w="110" w:type="dxa"/>
              <w:start w:w="140" w:type="dxa"/>
              <w:bottom w:w="110" w:type="dxa"/>
              <w:end w:w="140" w:type="dxa"/>
            </w:tcMar>
            <w:vAlign w:val="center"/>
          </w:tcPr>
          <w:p>
            <w:r>
              <w:rPr>
                <w:rFonts w:ascii="Arial" w:hAnsi="Arial"/>
                <w:b/>
                <w:color w:val="FFFFFF"/>
                <w:sz w:val="18"/>
              </w:rPr>
              <w:t>SEO FIELD</w:t>
            </w:r>
          </w:p>
        </w:tc>
        <w:tc>
          <w:tcPr>
            <w:tcW w:type="dxa" w:w="7300"/>
            <w:shd w:fill="09263D"/>
            <w:tcMar>
              <w:top w:w="110" w:type="dxa"/>
              <w:start w:w="140" w:type="dxa"/>
              <w:bottom w:w="110" w:type="dxa"/>
              <w:end w:w="140" w:type="dxa"/>
            </w:tcMar>
            <w:vAlign w:val="center"/>
          </w:tcPr>
          <w:p>
            <w:r>
              <w:rPr>
                <w:rFonts w:ascii="Arial" w:hAnsi="Arial"/>
                <w:b/>
                <w:color w:val="FFFFFF"/>
                <w:sz w:val="18"/>
              </w:rPr>
              <w:t>RECOMMENDED VALUE</w:t>
            </w:r>
          </w:p>
        </w:tc>
      </w:tr>
      <w:tr>
        <w:tc>
          <w:tcPr>
            <w:tcW w:type="dxa" w:w="1944"/>
            <w:tcMar>
              <w:top w:w="110" w:type="dxa"/>
              <w:start w:w="140" w:type="dxa"/>
              <w:bottom w:w="110" w:type="dxa"/>
              <w:end w:w="140" w:type="dxa"/>
            </w:tcMar>
            <w:vAlign w:val="center"/>
          </w:tcPr>
          <w:p>
            <w:pPr>
              <w:spacing w:after="0" w:line="259" w:lineRule="auto"/>
            </w:pPr>
            <w:r>
              <w:rPr>
                <w:rFonts w:ascii="Arial" w:hAnsi="Arial"/>
                <w:b/>
                <w:color w:val="0B1727"/>
                <w:sz w:val="17"/>
              </w:rPr>
              <w:t>SEO title</w:t>
            </w:r>
          </w:p>
        </w:tc>
        <w:tc>
          <w:tcPr>
            <w:tcW w:type="dxa" w:w="7300"/>
            <w:tcMar>
              <w:top w:w="110" w:type="dxa"/>
              <w:start w:w="140" w:type="dxa"/>
              <w:bottom w:w="110" w:type="dxa"/>
              <w:end w:w="140" w:type="dxa"/>
            </w:tcMar>
            <w:vAlign w:val="center"/>
          </w:tcPr>
          <w:p>
            <w:pPr>
              <w:spacing w:after="0" w:line="259" w:lineRule="auto"/>
            </w:pPr>
            <w:r>
              <w:rPr>
                <w:rFonts w:ascii="Arial" w:hAnsi="Arial"/>
                <w:b w:val="0"/>
                <w:color w:val="0B1727"/>
                <w:sz w:val="17"/>
              </w:rPr>
              <w:t>AAC Mould Handling &amp; Precuring Systems India</w:t>
            </w:r>
          </w:p>
        </w:tc>
      </w:tr>
      <w:tr>
        <w:tc>
          <w:tcPr>
            <w:tcW w:type="dxa" w:w="1944"/>
            <w:tcMar>
              <w:top w:w="110" w:type="dxa"/>
              <w:start w:w="140" w:type="dxa"/>
              <w:bottom w:w="110" w:type="dxa"/>
              <w:end w:w="140" w:type="dxa"/>
            </w:tcMar>
            <w:shd w:fill="F5F7F8"/>
            <w:vAlign w:val="center"/>
          </w:tcPr>
          <w:p>
            <w:pPr>
              <w:spacing w:after="0" w:line="259" w:lineRule="auto"/>
            </w:pPr>
            <w:r>
              <w:rPr>
                <w:rFonts w:ascii="Arial" w:hAnsi="Arial"/>
                <w:b/>
                <w:color w:val="0B1727"/>
                <w:sz w:val="17"/>
              </w:rPr>
              <w:t>Meta description</w:t>
            </w:r>
          </w:p>
        </w:tc>
        <w:tc>
          <w:tcPr>
            <w:tcW w:type="dxa" w:w="7300"/>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Understand AAC mould handling, precuring, ferry carts, automation and mould-versus-side-plate calculation for a balanced AAC plant production cycle.</w:t>
            </w:r>
          </w:p>
        </w:tc>
      </w:tr>
      <w:tr>
        <w:tc>
          <w:tcPr>
            <w:tcW w:type="dxa" w:w="1944"/>
            <w:tcMar>
              <w:top w:w="110" w:type="dxa"/>
              <w:start w:w="140" w:type="dxa"/>
              <w:bottom w:w="110" w:type="dxa"/>
              <w:end w:w="140" w:type="dxa"/>
            </w:tcMar>
            <w:vAlign w:val="center"/>
          </w:tcPr>
          <w:p>
            <w:pPr>
              <w:spacing w:after="0" w:line="259" w:lineRule="auto"/>
            </w:pPr>
            <w:r>
              <w:rPr>
                <w:rFonts w:ascii="Arial" w:hAnsi="Arial"/>
                <w:b/>
                <w:color w:val="0B1727"/>
                <w:sz w:val="17"/>
              </w:rPr>
              <w:t>URL</w:t>
            </w:r>
          </w:p>
        </w:tc>
        <w:tc>
          <w:tcPr>
            <w:tcW w:type="dxa" w:w="7300"/>
            <w:tcMar>
              <w:top w:w="110" w:type="dxa"/>
              <w:start w:w="140" w:type="dxa"/>
              <w:bottom w:w="110" w:type="dxa"/>
              <w:end w:w="140" w:type="dxa"/>
            </w:tcMar>
            <w:vAlign w:val="center"/>
          </w:tcPr>
          <w:p>
            <w:pPr>
              <w:spacing w:after="0" w:line="259" w:lineRule="auto"/>
            </w:pPr>
            <w:r>
              <w:rPr>
                <w:rFonts w:ascii="Arial" w:hAnsi="Arial"/>
                <w:b w:val="0"/>
                <w:color w:val="0B1727"/>
                <w:sz w:val="17"/>
              </w:rPr>
              <w:t>/aac-mould-handling-precuring-system/</w:t>
            </w:r>
          </w:p>
        </w:tc>
      </w:tr>
      <w:tr>
        <w:tc>
          <w:tcPr>
            <w:tcW w:type="dxa" w:w="1944"/>
            <w:tcMar>
              <w:top w:w="110" w:type="dxa"/>
              <w:start w:w="140" w:type="dxa"/>
              <w:bottom w:w="110" w:type="dxa"/>
              <w:end w:w="140" w:type="dxa"/>
            </w:tcMar>
            <w:shd w:fill="F5F7F8"/>
            <w:vAlign w:val="center"/>
          </w:tcPr>
          <w:p>
            <w:pPr>
              <w:spacing w:after="0" w:line="259" w:lineRule="auto"/>
            </w:pPr>
            <w:r>
              <w:rPr>
                <w:rFonts w:ascii="Arial" w:hAnsi="Arial"/>
                <w:b/>
                <w:color w:val="0B1727"/>
                <w:sz w:val="17"/>
              </w:rPr>
              <w:t>Primary keyword</w:t>
            </w:r>
          </w:p>
        </w:tc>
        <w:tc>
          <w:tcPr>
            <w:tcW w:type="dxa" w:w="7300"/>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AAC mould handling system</w:t>
            </w:r>
          </w:p>
        </w:tc>
      </w:tr>
    </w:tbl>
    <w:p>
      <w:pPr>
        <w:spacing w:after="20"/>
      </w:pPr>
    </w:p>
    <w:tbl>
      <w:tblPr>
        <w:tblW w:type="dxa" w:w="9244"/>
        <w:jc w:val="left"/>
        <w:tblLayout w:type="fixed"/>
        <w:tblLook w:firstColumn="1" w:firstRow="1" w:lastColumn="0" w:lastRow="0" w:noHBand="0" w:noVBand="1" w:val="04A0"/>
      </w:tblPr>
      <w:tblGrid>
        <w:gridCol w:w="9244"/>
      </w:tblGrid>
      <w:tr>
        <w:trPr>
          <w:tblHeader w:val="true"/>
        </w:trPr>
        <w:tc>
          <w:tcPr>
            <w:tcW w:type="dxa" w:w="9244"/>
            <w:shd w:fill="EEF2F5"/>
            <w:tcMar>
              <w:top w:w="150" w:type="dxa"/>
              <w:start w:w="180" w:type="dxa"/>
              <w:bottom w:w="150" w:type="dxa"/>
              <w:end w:w="180" w:type="dxa"/>
            </w:tcMar>
          </w:tcPr>
          <w:p>
            <w:pPr>
              <w:spacing w:after="60"/>
            </w:pPr>
            <w:r>
              <w:rPr>
                <w:rFonts w:ascii="Arial" w:hAnsi="Arial"/>
                <w:b/>
                <w:color w:val="0C4F80"/>
                <w:sz w:val="18"/>
              </w:rPr>
              <w:t>DIRECT ANSWER</w:t>
            </w:r>
          </w:p>
          <w:p>
            <w:pPr>
              <w:spacing w:after="0" w:line="276" w:lineRule="auto"/>
            </w:pPr>
            <w:r>
              <w:rPr>
                <w:rFonts w:ascii="Arial" w:hAnsi="Arial"/>
                <w:b/>
                <w:color w:val="0B1727"/>
                <w:sz w:val="22"/>
              </w:rPr>
              <w:t>An AAC mould handling and precuring system moves filled moulds from pouring to controlled initial setting, then positions the green cake for demoulding and cutting. Its engineering purpose is to keep moulds, side plates, transfer equipment and downstream machines circulating at the rate required by the production plan.</w:t>
            </w:r>
          </w:p>
        </w:tc>
      </w:tr>
    </w:tbl>
    <w:p>
      <w:pPr>
        <w:spacing w:after="20"/>
      </w:pPr>
    </w:p>
    <w:p>
      <w:pPr>
        <w:keepLines w:val="0"/>
        <w:spacing w:before="0" w:after="140" w:line="283" w:lineRule="auto"/>
      </w:pPr>
      <w:r>
        <w:rPr>
          <w:rFonts w:ascii="Arial" w:hAnsi="Arial"/>
          <w:b w:val="0"/>
          <w:i w:val="0"/>
          <w:color w:val="0B1727"/>
          <w:sz w:val="21"/>
        </w:rPr>
        <w:t>The system should not be selected as a collection of independent machines. Mould transfer, precuring capacity, tilting, mould preparation, cutting and side-plate return must be evaluated together. If one part of this circulation is undersized or poorly sequenced, it can restrict the output of otherwise capable equipment.</w:t>
      </w:r>
    </w:p>
    <w:p>
      <w:pPr>
        <w:keepLines w:val="0"/>
        <w:spacing w:before="0" w:after="140" w:line="283" w:lineRule="auto"/>
      </w:pPr>
      <w:r>
        <w:rPr>
          <w:rFonts w:ascii="Arial" w:hAnsi="Arial"/>
          <w:b w:val="0"/>
          <w:i w:val="0"/>
          <w:color w:val="0B1727"/>
          <w:sz w:val="21"/>
        </w:rPr>
        <w:t>Laxmi En-Fab Pvt. Ltd. approaches this section as a production-cycle engineering problem. The suitable configuration depends on target capacity, mould volume, pouring interval, raw-material behaviour, plant layout, operating hours, automation philosophy, manpower availability and future expansion plans.</w:t>
      </w:r>
    </w:p>
    <w:p>
      <w:pPr>
        <w:pStyle w:val="Heading1"/>
        <w:keepNext/>
      </w:pPr>
      <w:r>
        <w:rPr>
          <w:rFonts w:ascii="Arial" w:hAnsi="Arial"/>
          <w:b/>
          <w:color w:val="0C4F80"/>
          <w:sz w:val="34"/>
        </w:rPr>
        <w:t>Why This Section Matters to AAC Plant Performance</w:t>
      </w:r>
    </w:p>
    <w:p>
      <w:pPr>
        <w:keepLines w:val="0"/>
        <w:spacing w:before="0" w:after="140" w:line="283" w:lineRule="auto"/>
      </w:pPr>
      <w:r>
        <w:rPr>
          <w:rFonts w:ascii="Arial" w:hAnsi="Arial"/>
          <w:b w:val="0"/>
          <w:i w:val="0"/>
          <w:color w:val="0B1727"/>
          <w:sz w:val="21"/>
        </w:rPr>
        <w:t>After the prepared AAC mix is poured, the mould must remain stable while the material rises and develops enough green strength for demoulding and wire cutting. During this period, the handling system must move each mould without disturbing the cake and must return empty moulds to pouring in the correct sequence.</w:t>
      </w:r>
    </w:p>
    <w:p>
      <w:pPr>
        <w:keepLines w:val="0"/>
        <w:spacing w:before="0" w:after="140" w:line="283" w:lineRule="auto"/>
      </w:pPr>
      <w:r>
        <w:rPr>
          <w:rFonts w:ascii="Arial" w:hAnsi="Arial"/>
          <w:b w:val="0"/>
          <w:i w:val="0"/>
          <w:color w:val="0B1727"/>
          <w:sz w:val="21"/>
        </w:rPr>
        <w:t>A properly balanced system is intended to help:</w:t>
      </w:r>
    </w:p>
    <w:p>
      <w:pPr>
        <w:pStyle w:val="ListBullet"/>
        <w:spacing w:after="60" w:line="274" w:lineRule="auto"/>
      </w:pPr>
      <w:r>
        <w:rPr>
          <w:rFonts w:ascii="Arial" w:hAnsi="Arial"/>
          <w:color w:val="0B1727"/>
          <w:sz w:val="20"/>
        </w:rPr>
        <w:t>Maintain orderly mould movement between pouring, precuring, tilting and mould preparation.</w:t>
      </w:r>
    </w:p>
    <w:p>
      <w:pPr>
        <w:pStyle w:val="ListBullet"/>
        <w:spacing w:after="60" w:line="274" w:lineRule="auto"/>
      </w:pPr>
      <w:r>
        <w:rPr>
          <w:rFonts w:ascii="Arial" w:hAnsi="Arial"/>
          <w:color w:val="0B1727"/>
          <w:sz w:val="20"/>
        </w:rPr>
        <w:t>Keep the cutting line supplied without unnecessary waiting or congestion.</w:t>
      </w:r>
    </w:p>
    <w:p>
      <w:pPr>
        <w:pStyle w:val="ListBullet"/>
        <w:spacing w:after="60" w:line="274" w:lineRule="auto"/>
      </w:pPr>
      <w:r>
        <w:rPr>
          <w:rFonts w:ascii="Arial" w:hAnsi="Arial"/>
          <w:color w:val="0B1727"/>
          <w:sz w:val="20"/>
        </w:rPr>
        <w:t>Reduce avoidable manual pushing, pulling and positioning tasks where automation is justified.</w:t>
      </w:r>
    </w:p>
    <w:p>
      <w:pPr>
        <w:pStyle w:val="ListBullet"/>
        <w:spacing w:after="60" w:line="274" w:lineRule="auto"/>
      </w:pPr>
      <w:r>
        <w:rPr>
          <w:rFonts w:ascii="Arial" w:hAnsi="Arial"/>
          <w:color w:val="0B1727"/>
          <w:sz w:val="20"/>
        </w:rPr>
        <w:t>Control mould readiness, transfer sequence and equipment interlocks.</w:t>
      </w:r>
    </w:p>
    <w:p>
      <w:pPr>
        <w:pStyle w:val="ListBullet"/>
        <w:spacing w:after="60" w:line="274" w:lineRule="auto"/>
      </w:pPr>
      <w:r>
        <w:rPr>
          <w:rFonts w:ascii="Arial" w:hAnsi="Arial"/>
          <w:color w:val="0B1727"/>
          <w:sz w:val="20"/>
        </w:rPr>
        <w:t>Plan the correct circulation quantity of moulds and side plates.</w:t>
      </w:r>
    </w:p>
    <w:p>
      <w:pPr>
        <w:pStyle w:val="ListBullet"/>
        <w:spacing w:after="60" w:line="274" w:lineRule="auto"/>
      </w:pPr>
      <w:r>
        <w:rPr>
          <w:rFonts w:ascii="Arial" w:hAnsi="Arial"/>
          <w:color w:val="0B1727"/>
          <w:sz w:val="20"/>
        </w:rPr>
        <w:t>Provide a practical route for future capacity expansion.</w:t>
      </w:r>
    </w:p>
    <w:p>
      <w:pPr>
        <w:keepLines w:val="0"/>
        <w:spacing w:before="0" w:after="140" w:line="283" w:lineRule="auto"/>
      </w:pPr>
      <w:r>
        <w:rPr>
          <w:rFonts w:ascii="Arial" w:hAnsi="Arial"/>
          <w:b w:val="0"/>
          <w:i/>
          <w:color w:val="0B1727"/>
          <w:sz w:val="21"/>
        </w:rPr>
        <w:t>These are design objectives, not guaranteed results. Actual output and product consistency also depend on raw materials, mix control, cutting, autoclaving, maintenance and operating discipline.</w:t>
      </w:r>
    </w:p>
    <w:p>
      <w:pPr>
        <w:pStyle w:val="Heading1"/>
        <w:keepNext/>
      </w:pPr>
      <w:r>
        <w:rPr>
          <w:rFonts w:ascii="Arial" w:hAnsi="Arial"/>
          <w:b/>
          <w:color w:val="0C4F80"/>
          <w:sz w:val="34"/>
        </w:rPr>
        <w:t>How the AAC Mould Handling and Precuring Cycle Works</w:t>
      </w:r>
    </w:p>
    <w:p>
      <w:pPr>
        <w:pStyle w:val="ListNumber"/>
        <w:spacing w:after="100" w:line="276" w:lineRule="auto"/>
      </w:pPr>
      <w:r>
        <w:rPr>
          <w:rFonts w:ascii="Arial" w:hAnsi="Arial"/>
          <w:color w:val="0B1727"/>
          <w:sz w:val="20"/>
        </w:rPr>
        <w:t>Mould preparation: The empty mould is inspected, cleaned and coated with suitable release oil before it returns to pouring.</w:t>
      </w:r>
    </w:p>
    <w:p>
      <w:pPr>
        <w:pStyle w:val="ListNumber"/>
        <w:spacing w:after="100" w:line="276" w:lineRule="auto"/>
      </w:pPr>
      <w:r>
        <w:rPr>
          <w:rFonts w:ascii="Arial" w:hAnsi="Arial"/>
          <w:color w:val="0B1727"/>
          <w:sz w:val="20"/>
        </w:rPr>
        <w:t>Slurry pouring: The prepared mix is poured into the correctly positioned mould.</w:t>
      </w:r>
    </w:p>
    <w:p>
      <w:pPr>
        <w:pStyle w:val="ListNumber"/>
        <w:spacing w:after="100" w:line="276" w:lineRule="auto"/>
      </w:pPr>
      <w:r>
        <w:rPr>
          <w:rFonts w:ascii="Arial" w:hAnsi="Arial"/>
          <w:color w:val="0B1727"/>
          <w:sz w:val="20"/>
        </w:rPr>
        <w:t>Transfer to precuring: A rail-transfer arrangement or ferry cart moves the filled mould into the designated precuring area.</w:t>
      </w:r>
    </w:p>
    <w:p>
      <w:pPr>
        <w:pStyle w:val="ListNumber"/>
        <w:spacing w:after="100" w:line="276" w:lineRule="auto"/>
      </w:pPr>
      <w:r>
        <w:rPr>
          <w:rFonts w:ascii="Arial" w:hAnsi="Arial"/>
          <w:color w:val="0B1727"/>
          <w:sz w:val="20"/>
        </w:rPr>
        <w:t>Rising and initial setting: The cake remains in controlled conditions until it has developed sufficient green strength for the selected demoulding and cutting process.</w:t>
      </w:r>
    </w:p>
    <w:p>
      <w:pPr>
        <w:pStyle w:val="ListNumber"/>
        <w:spacing w:after="100" w:line="276" w:lineRule="auto"/>
      </w:pPr>
      <w:r>
        <w:rPr>
          <w:rFonts w:ascii="Arial" w:hAnsi="Arial"/>
          <w:color w:val="0B1727"/>
          <w:sz w:val="20"/>
        </w:rPr>
        <w:t>Transfer to tilting: The mould is delivered to the tilting or demoulding station in the required production sequence.</w:t>
      </w:r>
    </w:p>
    <w:p>
      <w:pPr>
        <w:pStyle w:val="ListNumber"/>
        <w:spacing w:after="100" w:line="276" w:lineRule="auto"/>
      </w:pPr>
      <w:r>
        <w:rPr>
          <w:rFonts w:ascii="Arial" w:hAnsi="Arial"/>
          <w:color w:val="0B1727"/>
          <w:sz w:val="20"/>
        </w:rPr>
        <w:t>Cake positioning: The mould and/or detachable side plate is manipulated so that the green cake is correctly supported for cutting.</w:t>
      </w:r>
    </w:p>
    <w:p>
      <w:pPr>
        <w:pStyle w:val="ListNumber"/>
        <w:spacing w:after="100" w:line="276" w:lineRule="auto"/>
      </w:pPr>
      <w:r>
        <w:rPr>
          <w:rFonts w:ascii="Arial" w:hAnsi="Arial"/>
          <w:color w:val="0B1727"/>
          <w:sz w:val="20"/>
        </w:rPr>
        <w:t>Mould return: After demoulding, the empty mould is cleaned, oiled, inspected and returned for the next pour, while the side plate continues with the cake through downstream production stages.</w:t>
      </w:r>
    </w:p>
    <w:p>
      <w:pPr>
        <w:pStyle w:val="Heading1"/>
        <w:keepNext/>
      </w:pPr>
      <w:r>
        <w:rPr>
          <w:rFonts w:ascii="Arial" w:hAnsi="Arial"/>
          <w:b/>
          <w:color w:val="0C4F80"/>
          <w:sz w:val="34"/>
        </w:rPr>
        <w:t>Equipment That May Form Part of the System</w:t>
      </w:r>
    </w:p>
    <w:p>
      <w:pPr>
        <w:keepLines w:val="0"/>
        <w:spacing w:before="0" w:after="140" w:line="283" w:lineRule="auto"/>
      </w:pPr>
      <w:r>
        <w:rPr>
          <w:rFonts w:ascii="Arial" w:hAnsi="Arial"/>
          <w:b w:val="0"/>
          <w:i w:val="0"/>
          <w:color w:val="0B1727"/>
          <w:sz w:val="21"/>
        </w:rPr>
        <w:t>Final supply scope must be defined project by project. A complete mould-handling and precuring section may include the following equipment and interfaces:</w:t>
      </w:r>
    </w:p>
    <w:tbl>
      <w:tblPr>
        <w:tblStyle w:val="TableGrid"/>
        <w:tblW w:type="dxa" w:w="9244"/>
        <w:jc w:val="left"/>
        <w:tblLayout w:type="fixed"/>
        <w:tblLook w:firstColumn="1" w:firstRow="1" w:lastColumn="0" w:lastRow="0" w:noHBand="0" w:noVBand="1" w:val="04A0"/>
      </w:tblPr>
      <w:tblGrid>
        <w:gridCol w:w="2088"/>
        <w:gridCol w:w="3499"/>
        <w:gridCol w:w="3657"/>
      </w:tblGrid>
      <w:tr>
        <w:trPr>
          <w:tblHeader w:val="true"/>
        </w:trPr>
        <w:tc>
          <w:tcPr>
            <w:tcW w:type="dxa" w:w="2088"/>
            <w:shd w:fill="09263D"/>
            <w:tcMar>
              <w:top w:w="110" w:type="dxa"/>
              <w:start w:w="140" w:type="dxa"/>
              <w:bottom w:w="110" w:type="dxa"/>
              <w:end w:w="140" w:type="dxa"/>
            </w:tcMar>
            <w:vAlign w:val="center"/>
          </w:tcPr>
          <w:p>
            <w:r>
              <w:rPr>
                <w:rFonts w:ascii="Arial" w:hAnsi="Arial"/>
                <w:b/>
                <w:color w:val="FFFFFF"/>
                <w:sz w:val="18"/>
              </w:rPr>
              <w:t>COMPONENT</w:t>
            </w:r>
          </w:p>
        </w:tc>
        <w:tc>
          <w:tcPr>
            <w:tcW w:type="dxa" w:w="3499"/>
            <w:shd w:fill="09263D"/>
            <w:tcMar>
              <w:top w:w="110" w:type="dxa"/>
              <w:start w:w="140" w:type="dxa"/>
              <w:bottom w:w="110" w:type="dxa"/>
              <w:end w:w="140" w:type="dxa"/>
            </w:tcMar>
            <w:vAlign w:val="center"/>
          </w:tcPr>
          <w:p>
            <w:r>
              <w:rPr>
                <w:rFonts w:ascii="Arial" w:hAnsi="Arial"/>
                <w:b/>
                <w:color w:val="FFFFFF"/>
                <w:sz w:val="18"/>
              </w:rPr>
              <w:t>FUNCTION</w:t>
            </w:r>
          </w:p>
        </w:tc>
        <w:tc>
          <w:tcPr>
            <w:tcW w:type="dxa" w:w="3657"/>
            <w:shd w:fill="09263D"/>
            <w:tcMar>
              <w:top w:w="110" w:type="dxa"/>
              <w:start w:w="140" w:type="dxa"/>
              <w:bottom w:w="110" w:type="dxa"/>
              <w:end w:w="140" w:type="dxa"/>
            </w:tcMar>
            <w:vAlign w:val="center"/>
          </w:tcPr>
          <w:p>
            <w:r>
              <w:rPr>
                <w:rFonts w:ascii="Arial" w:hAnsi="Arial"/>
                <w:b/>
                <w:color w:val="FFFFFF"/>
                <w:sz w:val="18"/>
              </w:rPr>
              <w:t>SELECTION DEPENDS ON</w:t>
            </w:r>
          </w:p>
        </w:tc>
      </w:tr>
      <w:tr>
        <w:tc>
          <w:tcPr>
            <w:tcW w:type="dxa" w:w="2088"/>
            <w:tcMar>
              <w:top w:w="110" w:type="dxa"/>
              <w:start w:w="140" w:type="dxa"/>
              <w:bottom w:w="110" w:type="dxa"/>
              <w:end w:w="140" w:type="dxa"/>
            </w:tcMar>
            <w:vAlign w:val="center"/>
          </w:tcPr>
          <w:p>
            <w:pPr>
              <w:spacing w:after="0" w:line="259" w:lineRule="auto"/>
            </w:pPr>
            <w:r>
              <w:rPr>
                <w:rFonts w:ascii="Arial" w:hAnsi="Arial"/>
                <w:b/>
                <w:color w:val="0B1727"/>
                <w:sz w:val="17"/>
              </w:rPr>
              <w:t>Mould box</w:t>
            </w:r>
          </w:p>
        </w:tc>
        <w:tc>
          <w:tcPr>
            <w:tcW w:type="dxa" w:w="3499"/>
            <w:tcMar>
              <w:top w:w="110" w:type="dxa"/>
              <w:start w:w="140" w:type="dxa"/>
              <w:bottom w:w="110" w:type="dxa"/>
              <w:end w:w="140" w:type="dxa"/>
            </w:tcMar>
            <w:vAlign w:val="center"/>
          </w:tcPr>
          <w:p>
            <w:pPr>
              <w:spacing w:after="0" w:line="259" w:lineRule="auto"/>
            </w:pPr>
            <w:r>
              <w:rPr>
                <w:rFonts w:ascii="Arial" w:hAnsi="Arial"/>
                <w:b w:val="0"/>
                <w:color w:val="0B1727"/>
                <w:sz w:val="17"/>
              </w:rPr>
              <w:t>Receives and contains the poured AAC mix during rising and initial setting.</w:t>
            </w:r>
          </w:p>
        </w:tc>
        <w:tc>
          <w:tcPr>
            <w:tcW w:type="dxa" w:w="3657"/>
            <w:tcMar>
              <w:top w:w="110" w:type="dxa"/>
              <w:start w:w="140" w:type="dxa"/>
              <w:bottom w:w="110" w:type="dxa"/>
              <w:end w:w="140" w:type="dxa"/>
            </w:tcMar>
            <w:vAlign w:val="center"/>
          </w:tcPr>
          <w:p>
            <w:pPr>
              <w:spacing w:after="0" w:line="259" w:lineRule="auto"/>
            </w:pPr>
            <w:r>
              <w:rPr>
                <w:rFonts w:ascii="Arial" w:hAnsi="Arial"/>
                <w:b w:val="0"/>
                <w:color w:val="0B1727"/>
                <w:sz w:val="17"/>
              </w:rPr>
              <w:t>Cake dimensions, volume, demoulding concept and production rate.</w:t>
            </w:r>
          </w:p>
        </w:tc>
      </w:tr>
      <w:tr>
        <w:tc>
          <w:tcPr>
            <w:tcW w:type="dxa" w:w="2088"/>
            <w:tcMar>
              <w:top w:w="110" w:type="dxa"/>
              <w:start w:w="140" w:type="dxa"/>
              <w:bottom w:w="110" w:type="dxa"/>
              <w:end w:w="140" w:type="dxa"/>
            </w:tcMar>
            <w:shd w:fill="F5F7F8"/>
            <w:vAlign w:val="center"/>
          </w:tcPr>
          <w:p>
            <w:pPr>
              <w:spacing w:after="0" w:line="259" w:lineRule="auto"/>
            </w:pPr>
            <w:r>
              <w:rPr>
                <w:rFonts w:ascii="Arial" w:hAnsi="Arial"/>
                <w:b/>
                <w:color w:val="0B1727"/>
                <w:sz w:val="17"/>
              </w:rPr>
              <w:t>Side plate / detachable base</w:t>
            </w:r>
          </w:p>
        </w:tc>
        <w:tc>
          <w:tcPr>
            <w:tcW w:type="dxa" w:w="3499"/>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Supports the cake after demoulding and through later process stages, depending on plant design.</w:t>
            </w:r>
          </w:p>
        </w:tc>
        <w:tc>
          <w:tcPr>
            <w:tcW w:type="dxa" w:w="3657"/>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Cutting and autoclaving route, load, stiffness and interface dimensions.</w:t>
            </w:r>
          </w:p>
        </w:tc>
      </w:tr>
      <w:tr>
        <w:tc>
          <w:tcPr>
            <w:tcW w:type="dxa" w:w="2088"/>
            <w:tcMar>
              <w:top w:w="110" w:type="dxa"/>
              <w:start w:w="140" w:type="dxa"/>
              <w:bottom w:w="110" w:type="dxa"/>
              <w:end w:w="140" w:type="dxa"/>
            </w:tcMar>
            <w:vAlign w:val="center"/>
          </w:tcPr>
          <w:p>
            <w:pPr>
              <w:spacing w:after="0" w:line="259" w:lineRule="auto"/>
            </w:pPr>
            <w:r>
              <w:rPr>
                <w:rFonts w:ascii="Arial" w:hAnsi="Arial"/>
                <w:b/>
                <w:color w:val="0B1727"/>
                <w:sz w:val="17"/>
              </w:rPr>
              <w:t>Rail and transfer system</w:t>
            </w:r>
          </w:p>
        </w:tc>
        <w:tc>
          <w:tcPr>
            <w:tcW w:type="dxa" w:w="3499"/>
            <w:tcMar>
              <w:top w:w="110" w:type="dxa"/>
              <w:start w:w="140" w:type="dxa"/>
              <w:bottom w:w="110" w:type="dxa"/>
              <w:end w:w="140" w:type="dxa"/>
            </w:tcMar>
            <w:vAlign w:val="center"/>
          </w:tcPr>
          <w:p>
            <w:pPr>
              <w:spacing w:after="0" w:line="259" w:lineRule="auto"/>
            </w:pPr>
            <w:r>
              <w:rPr>
                <w:rFonts w:ascii="Arial" w:hAnsi="Arial"/>
                <w:b w:val="0"/>
                <w:color w:val="0B1727"/>
                <w:sz w:val="17"/>
              </w:rPr>
              <w:t>Guides mould movement between production stations.</w:t>
            </w:r>
          </w:p>
        </w:tc>
        <w:tc>
          <w:tcPr>
            <w:tcW w:type="dxa" w:w="3657"/>
            <w:tcMar>
              <w:top w:w="110" w:type="dxa"/>
              <w:start w:w="140" w:type="dxa"/>
              <w:bottom w:w="110" w:type="dxa"/>
              <w:end w:w="140" w:type="dxa"/>
            </w:tcMar>
            <w:vAlign w:val="center"/>
          </w:tcPr>
          <w:p>
            <w:pPr>
              <w:spacing w:after="0" w:line="259" w:lineRule="auto"/>
            </w:pPr>
            <w:r>
              <w:rPr>
                <w:rFonts w:ascii="Arial" w:hAnsi="Arial"/>
                <w:b w:val="0"/>
                <w:color w:val="0B1727"/>
                <w:sz w:val="17"/>
              </w:rPr>
              <w:t>Layout, travel path, alignment, loads and automation level.</w:t>
            </w:r>
          </w:p>
        </w:tc>
      </w:tr>
      <w:tr>
        <w:tc>
          <w:tcPr>
            <w:tcW w:type="dxa" w:w="2088"/>
            <w:tcMar>
              <w:top w:w="110" w:type="dxa"/>
              <w:start w:w="140" w:type="dxa"/>
              <w:bottom w:w="110" w:type="dxa"/>
              <w:end w:w="140" w:type="dxa"/>
            </w:tcMar>
            <w:shd w:fill="F5F7F8"/>
            <w:vAlign w:val="center"/>
          </w:tcPr>
          <w:p>
            <w:pPr>
              <w:spacing w:after="0" w:line="259" w:lineRule="auto"/>
            </w:pPr>
            <w:r>
              <w:rPr>
                <w:rFonts w:ascii="Arial" w:hAnsi="Arial"/>
                <w:b/>
                <w:color w:val="0B1727"/>
                <w:sz w:val="17"/>
              </w:rPr>
              <w:t>Ferry cart</w:t>
            </w:r>
          </w:p>
        </w:tc>
        <w:tc>
          <w:tcPr>
            <w:tcW w:type="dxa" w:w="3499"/>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Transfers moulds across or between parallel production tracks.</w:t>
            </w:r>
          </w:p>
        </w:tc>
        <w:tc>
          <w:tcPr>
            <w:tcW w:type="dxa" w:w="3657"/>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Track arrangement, movement frequency, load and positioning accuracy.</w:t>
            </w:r>
          </w:p>
        </w:tc>
      </w:tr>
      <w:tr>
        <w:tc>
          <w:tcPr>
            <w:tcW w:type="dxa" w:w="2088"/>
            <w:tcMar>
              <w:top w:w="110" w:type="dxa"/>
              <w:start w:w="140" w:type="dxa"/>
              <w:bottom w:w="110" w:type="dxa"/>
              <w:end w:w="140" w:type="dxa"/>
            </w:tcMar>
            <w:vAlign w:val="center"/>
          </w:tcPr>
          <w:p>
            <w:pPr>
              <w:spacing w:after="0" w:line="259" w:lineRule="auto"/>
            </w:pPr>
            <w:r>
              <w:rPr>
                <w:rFonts w:ascii="Arial" w:hAnsi="Arial"/>
                <w:b/>
                <w:color w:val="0B1727"/>
                <w:sz w:val="17"/>
              </w:rPr>
              <w:t>Precuring enclosure</w:t>
            </w:r>
          </w:p>
        </w:tc>
        <w:tc>
          <w:tcPr>
            <w:tcW w:type="dxa" w:w="3499"/>
            <w:tcMar>
              <w:top w:w="110" w:type="dxa"/>
              <w:start w:w="140" w:type="dxa"/>
              <w:bottom w:w="110" w:type="dxa"/>
              <w:end w:w="140" w:type="dxa"/>
            </w:tcMar>
            <w:vAlign w:val="center"/>
          </w:tcPr>
          <w:p>
            <w:pPr>
              <w:spacing w:after="0" w:line="259" w:lineRule="auto"/>
            </w:pPr>
            <w:r>
              <w:rPr>
                <w:rFonts w:ascii="Arial" w:hAnsi="Arial"/>
                <w:b w:val="0"/>
                <w:color w:val="0B1727"/>
                <w:sz w:val="17"/>
              </w:rPr>
              <w:t>Provides the holding space and process environment for rising and green-strength development.</w:t>
            </w:r>
          </w:p>
        </w:tc>
        <w:tc>
          <w:tcPr>
            <w:tcW w:type="dxa" w:w="3657"/>
            <w:tcMar>
              <w:top w:w="110" w:type="dxa"/>
              <w:start w:w="140" w:type="dxa"/>
              <w:bottom w:w="110" w:type="dxa"/>
              <w:end w:w="140" w:type="dxa"/>
            </w:tcMar>
            <w:vAlign w:val="center"/>
          </w:tcPr>
          <w:p>
            <w:pPr>
              <w:spacing w:after="0" w:line="259" w:lineRule="auto"/>
            </w:pPr>
            <w:r>
              <w:rPr>
                <w:rFonts w:ascii="Arial" w:hAnsi="Arial"/>
                <w:b w:val="0"/>
                <w:color w:val="0B1727"/>
                <w:sz w:val="17"/>
              </w:rPr>
              <w:t>Raw-material behaviour, ambient conditions, production interval and heat balance.</w:t>
            </w:r>
          </w:p>
        </w:tc>
      </w:tr>
      <w:tr>
        <w:tc>
          <w:tcPr>
            <w:tcW w:type="dxa" w:w="2088"/>
            <w:tcMar>
              <w:top w:w="110" w:type="dxa"/>
              <w:start w:w="140" w:type="dxa"/>
              <w:bottom w:w="110" w:type="dxa"/>
              <w:end w:w="140" w:type="dxa"/>
            </w:tcMar>
            <w:shd w:fill="F5F7F8"/>
            <w:vAlign w:val="center"/>
          </w:tcPr>
          <w:p>
            <w:pPr>
              <w:spacing w:after="0" w:line="259" w:lineRule="auto"/>
            </w:pPr>
            <w:r>
              <w:rPr>
                <w:rFonts w:ascii="Arial" w:hAnsi="Arial"/>
                <w:b/>
                <w:color w:val="0B1727"/>
                <w:sz w:val="17"/>
              </w:rPr>
              <w:t>Tilting / demoulding station</w:t>
            </w:r>
          </w:p>
        </w:tc>
        <w:tc>
          <w:tcPr>
            <w:tcW w:type="dxa" w:w="3499"/>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Separates or repositions the mould and supports the cake for cutting.</w:t>
            </w:r>
          </w:p>
        </w:tc>
        <w:tc>
          <w:tcPr>
            <w:tcW w:type="dxa" w:w="3657"/>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Mould design, cake dimensions, cutting technology and handling method.</w:t>
            </w:r>
          </w:p>
        </w:tc>
      </w:tr>
      <w:tr>
        <w:tc>
          <w:tcPr>
            <w:tcW w:type="dxa" w:w="2088"/>
            <w:tcMar>
              <w:top w:w="110" w:type="dxa"/>
              <w:start w:w="140" w:type="dxa"/>
              <w:bottom w:w="110" w:type="dxa"/>
              <w:end w:w="140" w:type="dxa"/>
            </w:tcMar>
            <w:vAlign w:val="center"/>
          </w:tcPr>
          <w:p>
            <w:pPr>
              <w:spacing w:after="0" w:line="259" w:lineRule="auto"/>
            </w:pPr>
            <w:r>
              <w:rPr>
                <w:rFonts w:ascii="Arial" w:hAnsi="Arial"/>
                <w:b/>
                <w:color w:val="0B1727"/>
                <w:sz w:val="17"/>
              </w:rPr>
              <w:t>Cleaning and oiling station</w:t>
            </w:r>
          </w:p>
        </w:tc>
        <w:tc>
          <w:tcPr>
            <w:tcW w:type="dxa" w:w="3499"/>
            <w:tcMar>
              <w:top w:w="110" w:type="dxa"/>
              <w:start w:w="140" w:type="dxa"/>
              <w:bottom w:w="110" w:type="dxa"/>
              <w:end w:w="140" w:type="dxa"/>
            </w:tcMar>
            <w:vAlign w:val="center"/>
          </w:tcPr>
          <w:p>
            <w:pPr>
              <w:spacing w:after="0" w:line="259" w:lineRule="auto"/>
            </w:pPr>
            <w:r>
              <w:rPr>
                <w:rFonts w:ascii="Arial" w:hAnsi="Arial"/>
                <w:b w:val="0"/>
                <w:color w:val="0B1727"/>
                <w:sz w:val="17"/>
              </w:rPr>
              <w:t>Prepares the mould surfaces for the next pouring cycle.</w:t>
            </w:r>
          </w:p>
        </w:tc>
        <w:tc>
          <w:tcPr>
            <w:tcW w:type="dxa" w:w="3657"/>
            <w:tcMar>
              <w:top w:w="110" w:type="dxa"/>
              <w:start w:w="140" w:type="dxa"/>
              <w:bottom w:w="110" w:type="dxa"/>
              <w:end w:w="140" w:type="dxa"/>
            </w:tcMar>
            <w:vAlign w:val="center"/>
          </w:tcPr>
          <w:p>
            <w:pPr>
              <w:spacing w:after="0" w:line="259" w:lineRule="auto"/>
            </w:pPr>
            <w:r>
              <w:rPr>
                <w:rFonts w:ascii="Arial" w:hAnsi="Arial"/>
                <w:b w:val="0"/>
                <w:color w:val="0B1727"/>
                <w:sz w:val="17"/>
              </w:rPr>
              <w:t>Required automation, oil application method, housekeeping and cycle time.</w:t>
            </w:r>
          </w:p>
        </w:tc>
      </w:tr>
      <w:tr>
        <w:tc>
          <w:tcPr>
            <w:tcW w:type="dxa" w:w="2088"/>
            <w:tcMar>
              <w:top w:w="110" w:type="dxa"/>
              <w:start w:w="140" w:type="dxa"/>
              <w:bottom w:w="110" w:type="dxa"/>
              <w:end w:w="140" w:type="dxa"/>
            </w:tcMar>
            <w:shd w:fill="F5F7F8"/>
            <w:vAlign w:val="center"/>
          </w:tcPr>
          <w:p>
            <w:pPr>
              <w:spacing w:after="0" w:line="259" w:lineRule="auto"/>
            </w:pPr>
            <w:r>
              <w:rPr>
                <w:rFonts w:ascii="Arial" w:hAnsi="Arial"/>
                <w:b/>
                <w:color w:val="0B1727"/>
                <w:sz w:val="17"/>
              </w:rPr>
              <w:t>Drives, sensors and controls</w:t>
            </w:r>
          </w:p>
        </w:tc>
        <w:tc>
          <w:tcPr>
            <w:tcW w:type="dxa" w:w="3499"/>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Sequence movement, confirm positions and prevent incompatible equipment actions.</w:t>
            </w:r>
          </w:p>
        </w:tc>
        <w:tc>
          <w:tcPr>
            <w:tcW w:type="dxa" w:w="3657"/>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Automation philosophy, safety assessment and plant-wide controls architecture.</w:t>
            </w:r>
          </w:p>
        </w:tc>
      </w:tr>
    </w:tbl>
    <w:p>
      <w:pPr>
        <w:spacing w:after="20"/>
      </w:pPr>
    </w:p>
    <w:p>
      <w:pPr>
        <w:pStyle w:val="Heading1"/>
        <w:keepNext/>
      </w:pPr>
      <w:r>
        <w:rPr>
          <w:rFonts w:ascii="Arial" w:hAnsi="Arial"/>
          <w:b/>
          <w:color w:val="0C4F80"/>
          <w:sz w:val="34"/>
        </w:rPr>
        <w:t>AAC Precuring: Time Alone Is Not the Acceptance Criterion</w:t>
      </w:r>
    </w:p>
    <w:p>
      <w:pPr>
        <w:keepLines w:val="0"/>
        <w:spacing w:before="0" w:after="140" w:line="283" w:lineRule="auto"/>
      </w:pPr>
      <w:r>
        <w:rPr>
          <w:rFonts w:ascii="Arial" w:hAnsi="Arial"/>
          <w:b w:val="0"/>
          <w:i w:val="0"/>
          <w:color w:val="0B1727"/>
          <w:sz w:val="21"/>
        </w:rPr>
        <w:t>Precuring allows the freshly poured material to rise and develop the green strength required for handling and wire cutting. Industry process references commonly describe a precuring period around two to three hours; however, this must not be treated as a fixed guarantee for every plant or every mix.</w:t>
      </w:r>
    </w:p>
    <w:p>
      <w:pPr>
        <w:keepLines w:val="0"/>
        <w:spacing w:before="0" w:after="140" w:line="283" w:lineRule="auto"/>
      </w:pPr>
      <w:r>
        <w:rPr>
          <w:rFonts w:ascii="Arial" w:hAnsi="Arial"/>
          <w:b w:val="0"/>
          <w:i w:val="0"/>
          <w:color w:val="0B1727"/>
          <w:sz w:val="21"/>
        </w:rPr>
        <w:t>The actual release decision should be based on validated process conditions, which may include:</w:t>
      </w:r>
    </w:p>
    <w:p>
      <w:pPr>
        <w:pStyle w:val="ListBullet"/>
        <w:spacing w:after="60" w:line="274" w:lineRule="auto"/>
      </w:pPr>
      <w:r>
        <w:rPr>
          <w:rFonts w:ascii="Arial" w:hAnsi="Arial"/>
          <w:color w:val="0B1727"/>
          <w:sz w:val="20"/>
        </w:rPr>
        <w:t>Raw-material source and reactivity</w:t>
      </w:r>
    </w:p>
    <w:p>
      <w:pPr>
        <w:pStyle w:val="ListBullet"/>
        <w:spacing w:after="60" w:line="274" w:lineRule="auto"/>
      </w:pPr>
      <w:r>
        <w:rPr>
          <w:rFonts w:ascii="Arial" w:hAnsi="Arial"/>
          <w:color w:val="0B1727"/>
          <w:sz w:val="20"/>
        </w:rPr>
        <w:t>Mix recipe and water balance</w:t>
      </w:r>
    </w:p>
    <w:p>
      <w:pPr>
        <w:pStyle w:val="ListBullet"/>
        <w:spacing w:after="60" w:line="274" w:lineRule="auto"/>
      </w:pPr>
      <w:r>
        <w:rPr>
          <w:rFonts w:ascii="Arial" w:hAnsi="Arial"/>
          <w:color w:val="0B1727"/>
          <w:sz w:val="20"/>
        </w:rPr>
        <w:t>Slurry density and temperature</w:t>
      </w:r>
    </w:p>
    <w:p>
      <w:pPr>
        <w:pStyle w:val="ListBullet"/>
        <w:spacing w:after="60" w:line="274" w:lineRule="auto"/>
      </w:pPr>
      <w:r>
        <w:rPr>
          <w:rFonts w:ascii="Arial" w:hAnsi="Arial"/>
          <w:color w:val="0B1727"/>
          <w:sz w:val="20"/>
        </w:rPr>
        <w:t>Aluminium dosing and reaction behaviour</w:t>
      </w:r>
    </w:p>
    <w:p>
      <w:pPr>
        <w:pStyle w:val="ListBullet"/>
        <w:spacing w:after="60" w:line="274" w:lineRule="auto"/>
      </w:pPr>
      <w:r>
        <w:rPr>
          <w:rFonts w:ascii="Arial" w:hAnsi="Arial"/>
          <w:color w:val="0B1727"/>
          <w:sz w:val="20"/>
        </w:rPr>
        <w:t>Ambient and enclosure conditions</w:t>
      </w:r>
    </w:p>
    <w:p>
      <w:pPr>
        <w:pStyle w:val="ListBullet"/>
        <w:spacing w:after="60" w:line="274" w:lineRule="auto"/>
      </w:pPr>
      <w:r>
        <w:rPr>
          <w:rFonts w:ascii="Arial" w:hAnsi="Arial"/>
          <w:color w:val="0B1727"/>
          <w:sz w:val="20"/>
        </w:rPr>
        <w:t>Cake size and required cutting condition</w:t>
      </w:r>
    </w:p>
    <w:p>
      <w:pPr>
        <w:pStyle w:val="ListBullet"/>
        <w:spacing w:after="60" w:line="274" w:lineRule="auto"/>
      </w:pPr>
      <w:r>
        <w:rPr>
          <w:rFonts w:ascii="Arial" w:hAnsi="Arial"/>
          <w:color w:val="0B1727"/>
          <w:sz w:val="20"/>
        </w:rPr>
        <w:t>The plant's approved method for assessing green-cake readiness</w:t>
      </w:r>
    </w:p>
    <w:tbl>
      <w:tblPr>
        <w:tblW w:type="dxa" w:w="9244"/>
        <w:jc w:val="left"/>
        <w:tblLayout w:type="fixed"/>
        <w:tblLook w:firstColumn="1" w:firstRow="1" w:lastColumn="0" w:lastRow="0" w:noHBand="0" w:noVBand="1" w:val="04A0"/>
      </w:tblPr>
      <w:tblGrid>
        <w:gridCol w:w="9244"/>
      </w:tblGrid>
      <w:tr>
        <w:trPr>
          <w:tblHeader w:val="true"/>
        </w:trPr>
        <w:tc>
          <w:tcPr>
            <w:tcW w:type="dxa" w:w="9244"/>
            <w:shd w:fill="EEF2F5"/>
            <w:tcMar>
              <w:top w:w="150" w:type="dxa"/>
              <w:start w:w="180" w:type="dxa"/>
              <w:bottom w:w="150" w:type="dxa"/>
              <w:end w:w="180" w:type="dxa"/>
            </w:tcMar>
          </w:tcPr>
          <w:p>
            <w:pPr>
              <w:spacing w:after="60"/>
            </w:pPr>
            <w:r>
              <w:rPr>
                <w:rFonts w:ascii="Arial" w:hAnsi="Arial"/>
                <w:b/>
                <w:color w:val="0C4F80"/>
                <w:sz w:val="18"/>
              </w:rPr>
              <w:t>ENGINEERING PRINCIPLE</w:t>
            </w:r>
          </w:p>
          <w:p>
            <w:pPr>
              <w:spacing w:after="0" w:line="276" w:lineRule="auto"/>
            </w:pPr>
            <w:r>
              <w:rPr>
                <w:rFonts w:ascii="Arial" w:hAnsi="Arial"/>
                <w:b/>
                <w:color w:val="0B1727"/>
                <w:sz w:val="22"/>
              </w:rPr>
              <w:t>The precuring system should be designed around repeatable cutting readiness—not around an assumed fixed waiting time alone.</w:t>
            </w:r>
          </w:p>
        </w:tc>
      </w:tr>
    </w:tbl>
    <w:p>
      <w:pPr>
        <w:spacing w:after="20"/>
      </w:pPr>
    </w:p>
    <w:p>
      <w:pPr>
        <w:pStyle w:val="Heading2"/>
        <w:keepNext/>
      </w:pPr>
      <w:r>
        <w:rPr>
          <w:rFonts w:ascii="Arial" w:hAnsi="Arial"/>
          <w:b/>
          <w:color w:val="0C4F80"/>
          <w:sz w:val="27"/>
        </w:rPr>
        <w:t>Controlled Precuring for Indian Operating Conditions</w:t>
      </w:r>
    </w:p>
    <w:p>
      <w:pPr>
        <w:keepLines w:val="0"/>
        <w:spacing w:before="0" w:after="140" w:line="283" w:lineRule="auto"/>
      </w:pPr>
      <w:r>
        <w:rPr>
          <w:rFonts w:ascii="Arial" w:hAnsi="Arial"/>
          <w:b w:val="0"/>
          <w:i w:val="0"/>
          <w:color w:val="0B1727"/>
          <w:sz w:val="21"/>
        </w:rPr>
        <w:t>Seasonal and daily temperature changes can alter the rate at which an AAC cake rises and develops green strength. A closed or controlled precuring enclosure may therefore be considered where ambient variation affects production consistency.</w:t>
      </w:r>
    </w:p>
    <w:p>
      <w:pPr>
        <w:keepLines w:val="0"/>
        <w:spacing w:before="0" w:after="140" w:line="283" w:lineRule="auto"/>
      </w:pPr>
      <w:r>
        <w:rPr>
          <w:rFonts w:ascii="Arial" w:hAnsi="Arial"/>
          <w:b w:val="0"/>
          <w:i w:val="0"/>
          <w:color w:val="0B1727"/>
          <w:sz w:val="21"/>
        </w:rPr>
        <w:t>The heating method, air circulation, control point, temperature range and permissible variation must be established during process engineering. Recoverable heat from the plant may be considered through a properly engineered heat-exchange arrangement, subject to the steam balance, condensate handling, controls and safety requirements.</w:t>
      </w:r>
    </w:p>
    <w:p>
      <w:pPr>
        <w:keepLines w:val="0"/>
        <w:spacing w:before="0" w:after="140" w:line="283" w:lineRule="auto"/>
      </w:pPr>
      <w:r>
        <w:rPr>
          <w:rFonts w:ascii="Arial" w:hAnsi="Arial"/>
          <w:b w:val="0"/>
          <w:i/>
          <w:color w:val="0B1727"/>
          <w:sz w:val="21"/>
        </w:rPr>
        <w:t>No universal precuring-room temperature should be specified without confirming the raw-material system, recipe, enclosure design and measurement location.</w:t>
      </w:r>
    </w:p>
    <w:p>
      <w:pPr>
        <w:pStyle w:val="Heading1"/>
        <w:keepNext/>
      </w:pPr>
      <w:r>
        <w:rPr>
          <w:rFonts w:ascii="Arial" w:hAnsi="Arial"/>
          <w:b/>
          <w:color w:val="0C4F80"/>
          <w:sz w:val="34"/>
        </w:rPr>
        <w:t>How Mould Quantity Should Be Calculated</w:t>
      </w:r>
    </w:p>
    <w:p>
      <w:pPr>
        <w:keepLines w:val="0"/>
        <w:spacing w:before="0" w:after="140" w:line="283" w:lineRule="auto"/>
      </w:pPr>
      <w:r>
        <w:rPr>
          <w:rFonts w:ascii="Arial" w:hAnsi="Arial"/>
          <w:b w:val="0"/>
          <w:i w:val="0"/>
          <w:color w:val="0B1727"/>
          <w:sz w:val="21"/>
        </w:rPr>
        <w:t>Mould quantity should be calculated from the production schedule rather than selected as a standalone purchase number. At minimum, the calculation needs:</w:t>
      </w:r>
    </w:p>
    <w:tbl>
      <w:tblPr>
        <w:tblStyle w:val="TableGrid"/>
        <w:tblW w:type="dxa" w:w="9243"/>
        <w:jc w:val="left"/>
        <w:tblLayout w:type="fixed"/>
        <w:tblLook w:firstColumn="1" w:firstRow="1" w:lastColumn="0" w:lastRow="0" w:noHBand="0" w:noVBand="1" w:val="04A0"/>
      </w:tblPr>
      <w:tblGrid>
        <w:gridCol w:w="2951"/>
        <w:gridCol w:w="6292"/>
      </w:tblGrid>
      <w:tr>
        <w:trPr>
          <w:tblHeader w:val="true"/>
        </w:trPr>
        <w:tc>
          <w:tcPr>
            <w:tcW w:type="dxa" w:w="2951"/>
            <w:shd w:fill="09263D"/>
            <w:tcMar>
              <w:top w:w="110" w:type="dxa"/>
              <w:start w:w="140" w:type="dxa"/>
              <w:bottom w:w="110" w:type="dxa"/>
              <w:end w:w="140" w:type="dxa"/>
            </w:tcMar>
            <w:vAlign w:val="center"/>
          </w:tcPr>
          <w:p>
            <w:r>
              <w:rPr>
                <w:rFonts w:ascii="Arial" w:hAnsi="Arial"/>
                <w:b/>
                <w:color w:val="FFFFFF"/>
                <w:sz w:val="18"/>
              </w:rPr>
              <w:t>INPUT</w:t>
            </w:r>
          </w:p>
        </w:tc>
        <w:tc>
          <w:tcPr>
            <w:tcW w:type="dxa" w:w="6292"/>
            <w:shd w:fill="09263D"/>
            <w:tcMar>
              <w:top w:w="110" w:type="dxa"/>
              <w:start w:w="140" w:type="dxa"/>
              <w:bottom w:w="110" w:type="dxa"/>
              <w:end w:w="140" w:type="dxa"/>
            </w:tcMar>
            <w:vAlign w:val="center"/>
          </w:tcPr>
          <w:p>
            <w:r>
              <w:rPr>
                <w:rFonts w:ascii="Arial" w:hAnsi="Arial"/>
                <w:b/>
                <w:color w:val="FFFFFF"/>
                <w:sz w:val="18"/>
              </w:rPr>
              <w:t>WHY IT MATTERS</w:t>
            </w:r>
          </w:p>
        </w:tc>
      </w:tr>
      <w:tr>
        <w:tc>
          <w:tcPr>
            <w:tcW w:type="dxa" w:w="2951"/>
            <w:tcMar>
              <w:top w:w="110" w:type="dxa"/>
              <w:start w:w="140" w:type="dxa"/>
              <w:bottom w:w="110" w:type="dxa"/>
              <w:end w:w="140" w:type="dxa"/>
            </w:tcMar>
            <w:vAlign w:val="center"/>
          </w:tcPr>
          <w:p>
            <w:pPr>
              <w:spacing w:after="0" w:line="259" w:lineRule="auto"/>
            </w:pPr>
            <w:r>
              <w:rPr>
                <w:rFonts w:ascii="Arial" w:hAnsi="Arial"/>
                <w:b/>
                <w:color w:val="0B1727"/>
                <w:sz w:val="17"/>
              </w:rPr>
              <w:t>Net production target</w:t>
            </w:r>
          </w:p>
        </w:tc>
        <w:tc>
          <w:tcPr>
            <w:tcW w:type="dxa" w:w="6292"/>
            <w:tcMar>
              <w:top w:w="110" w:type="dxa"/>
              <w:start w:w="140" w:type="dxa"/>
              <w:bottom w:w="110" w:type="dxa"/>
              <w:end w:w="140" w:type="dxa"/>
            </w:tcMar>
            <w:vAlign w:val="center"/>
          </w:tcPr>
          <w:p>
            <w:pPr>
              <w:spacing w:after="0" w:line="259" w:lineRule="auto"/>
            </w:pPr>
            <w:r>
              <w:rPr>
                <w:rFonts w:ascii="Arial" w:hAnsi="Arial"/>
                <w:b w:val="0"/>
                <w:color w:val="0B1727"/>
                <w:sz w:val="17"/>
              </w:rPr>
              <w:t>Defines the required number of successful cakes per operating period.</w:t>
            </w:r>
          </w:p>
        </w:tc>
      </w:tr>
      <w:tr>
        <w:tc>
          <w:tcPr>
            <w:tcW w:type="dxa" w:w="2951"/>
            <w:tcMar>
              <w:top w:w="110" w:type="dxa"/>
              <w:start w:w="140" w:type="dxa"/>
              <w:bottom w:w="110" w:type="dxa"/>
              <w:end w:w="140" w:type="dxa"/>
            </w:tcMar>
            <w:shd w:fill="F5F7F8"/>
            <w:vAlign w:val="center"/>
          </w:tcPr>
          <w:p>
            <w:pPr>
              <w:spacing w:after="0" w:line="259" w:lineRule="auto"/>
            </w:pPr>
            <w:r>
              <w:rPr>
                <w:rFonts w:ascii="Arial" w:hAnsi="Arial"/>
                <w:b/>
                <w:color w:val="0B1727"/>
                <w:sz w:val="17"/>
              </w:rPr>
              <w:t>Usable cake volume</w:t>
            </w:r>
          </w:p>
        </w:tc>
        <w:tc>
          <w:tcPr>
            <w:tcW w:type="dxa" w:w="6292"/>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Converts production demand into the number of pours.</w:t>
            </w:r>
          </w:p>
        </w:tc>
      </w:tr>
      <w:tr>
        <w:tc>
          <w:tcPr>
            <w:tcW w:type="dxa" w:w="2951"/>
            <w:tcMar>
              <w:top w:w="110" w:type="dxa"/>
              <w:start w:w="140" w:type="dxa"/>
              <w:bottom w:w="110" w:type="dxa"/>
              <w:end w:w="140" w:type="dxa"/>
            </w:tcMar>
            <w:vAlign w:val="center"/>
          </w:tcPr>
          <w:p>
            <w:pPr>
              <w:spacing w:after="0" w:line="259" w:lineRule="auto"/>
            </w:pPr>
            <w:r>
              <w:rPr>
                <w:rFonts w:ascii="Arial" w:hAnsi="Arial"/>
                <w:b/>
                <w:color w:val="0B1727"/>
                <w:sz w:val="17"/>
              </w:rPr>
              <w:t>Planned operating hours</w:t>
            </w:r>
          </w:p>
        </w:tc>
        <w:tc>
          <w:tcPr>
            <w:tcW w:type="dxa" w:w="6292"/>
            <w:tcMar>
              <w:top w:w="110" w:type="dxa"/>
              <w:start w:w="140" w:type="dxa"/>
              <w:bottom w:w="110" w:type="dxa"/>
              <w:end w:w="140" w:type="dxa"/>
            </w:tcMar>
            <w:vAlign w:val="center"/>
          </w:tcPr>
          <w:p>
            <w:pPr>
              <w:spacing w:after="0" w:line="259" w:lineRule="auto"/>
            </w:pPr>
            <w:r>
              <w:rPr>
                <w:rFonts w:ascii="Arial" w:hAnsi="Arial"/>
                <w:b w:val="0"/>
                <w:color w:val="0B1727"/>
                <w:sz w:val="17"/>
              </w:rPr>
              <w:t>Determines the available time for scheduled pours.</w:t>
            </w:r>
          </w:p>
        </w:tc>
      </w:tr>
      <w:tr>
        <w:tc>
          <w:tcPr>
            <w:tcW w:type="dxa" w:w="2951"/>
            <w:tcMar>
              <w:top w:w="110" w:type="dxa"/>
              <w:start w:w="140" w:type="dxa"/>
              <w:bottom w:w="110" w:type="dxa"/>
              <w:end w:w="140" w:type="dxa"/>
            </w:tcMar>
            <w:shd w:fill="F5F7F8"/>
            <w:vAlign w:val="center"/>
          </w:tcPr>
          <w:p>
            <w:pPr>
              <w:spacing w:after="0" w:line="259" w:lineRule="auto"/>
            </w:pPr>
            <w:r>
              <w:rPr>
                <w:rFonts w:ascii="Arial" w:hAnsi="Arial"/>
                <w:b/>
                <w:color w:val="0B1727"/>
                <w:sz w:val="17"/>
              </w:rPr>
              <w:t>Pouring interval</w:t>
            </w:r>
          </w:p>
        </w:tc>
        <w:tc>
          <w:tcPr>
            <w:tcW w:type="dxa" w:w="6292"/>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Sets how frequently a prepared mould must be available.</w:t>
            </w:r>
          </w:p>
        </w:tc>
      </w:tr>
      <w:tr>
        <w:tc>
          <w:tcPr>
            <w:tcW w:type="dxa" w:w="2951"/>
            <w:tcMar>
              <w:top w:w="110" w:type="dxa"/>
              <w:start w:w="140" w:type="dxa"/>
              <w:bottom w:w="110" w:type="dxa"/>
              <w:end w:w="140" w:type="dxa"/>
            </w:tcMar>
            <w:vAlign w:val="center"/>
          </w:tcPr>
          <w:p>
            <w:pPr>
              <w:spacing w:after="0" w:line="259" w:lineRule="auto"/>
            </w:pPr>
            <w:r>
              <w:rPr>
                <w:rFonts w:ascii="Arial" w:hAnsi="Arial"/>
                <w:b/>
                <w:color w:val="0B1727"/>
                <w:sz w:val="17"/>
              </w:rPr>
              <w:t>Precuring duration</w:t>
            </w:r>
          </w:p>
        </w:tc>
        <w:tc>
          <w:tcPr>
            <w:tcW w:type="dxa" w:w="6292"/>
            <w:tcMar>
              <w:top w:w="110" w:type="dxa"/>
              <w:start w:w="140" w:type="dxa"/>
              <w:bottom w:w="110" w:type="dxa"/>
              <w:end w:w="140" w:type="dxa"/>
            </w:tcMar>
            <w:vAlign w:val="center"/>
          </w:tcPr>
          <w:p>
            <w:pPr>
              <w:spacing w:after="0" w:line="259" w:lineRule="auto"/>
            </w:pPr>
            <w:r>
              <w:rPr>
                <w:rFonts w:ascii="Arial" w:hAnsi="Arial"/>
                <w:b w:val="0"/>
                <w:color w:val="0B1727"/>
                <w:sz w:val="17"/>
              </w:rPr>
              <w:t>Usually represents the largest part of mould occupancy.</w:t>
            </w:r>
          </w:p>
        </w:tc>
      </w:tr>
      <w:tr>
        <w:tc>
          <w:tcPr>
            <w:tcW w:type="dxa" w:w="2951"/>
            <w:tcMar>
              <w:top w:w="110" w:type="dxa"/>
              <w:start w:w="140" w:type="dxa"/>
              <w:bottom w:w="110" w:type="dxa"/>
              <w:end w:w="140" w:type="dxa"/>
            </w:tcMar>
            <w:shd w:fill="F5F7F8"/>
            <w:vAlign w:val="center"/>
          </w:tcPr>
          <w:p>
            <w:pPr>
              <w:spacing w:after="0" w:line="259" w:lineRule="auto"/>
            </w:pPr>
            <w:r>
              <w:rPr>
                <w:rFonts w:ascii="Arial" w:hAnsi="Arial"/>
                <w:b/>
                <w:color w:val="0B1727"/>
                <w:sz w:val="17"/>
              </w:rPr>
              <w:t>Transfer, tilting and return time</w:t>
            </w:r>
          </w:p>
        </w:tc>
        <w:tc>
          <w:tcPr>
            <w:tcW w:type="dxa" w:w="6292"/>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Adds the non-precuring time required to complete the mould cycle.</w:t>
            </w:r>
          </w:p>
        </w:tc>
      </w:tr>
      <w:tr>
        <w:tc>
          <w:tcPr>
            <w:tcW w:type="dxa" w:w="2951"/>
            <w:tcMar>
              <w:top w:w="110" w:type="dxa"/>
              <w:start w:w="140" w:type="dxa"/>
              <w:bottom w:w="110" w:type="dxa"/>
              <w:end w:w="140" w:type="dxa"/>
            </w:tcMar>
            <w:vAlign w:val="center"/>
          </w:tcPr>
          <w:p>
            <w:pPr>
              <w:spacing w:after="0" w:line="259" w:lineRule="auto"/>
            </w:pPr>
            <w:r>
              <w:rPr>
                <w:rFonts w:ascii="Arial" w:hAnsi="Arial"/>
                <w:b/>
                <w:color w:val="0B1727"/>
                <w:sz w:val="17"/>
              </w:rPr>
              <w:t>Cleaning and oiling time</w:t>
            </w:r>
          </w:p>
        </w:tc>
        <w:tc>
          <w:tcPr>
            <w:tcW w:type="dxa" w:w="6292"/>
            <w:tcMar>
              <w:top w:w="110" w:type="dxa"/>
              <w:start w:w="140" w:type="dxa"/>
              <w:bottom w:w="110" w:type="dxa"/>
              <w:end w:w="140" w:type="dxa"/>
            </w:tcMar>
            <w:vAlign w:val="center"/>
          </w:tcPr>
          <w:p>
            <w:pPr>
              <w:spacing w:after="0" w:line="259" w:lineRule="auto"/>
            </w:pPr>
            <w:r>
              <w:rPr>
                <w:rFonts w:ascii="Arial" w:hAnsi="Arial"/>
                <w:b w:val="0"/>
                <w:color w:val="0B1727"/>
                <w:sz w:val="17"/>
              </w:rPr>
              <w:t>Determines when the mould is genuinely ready for re-pouring.</w:t>
            </w:r>
          </w:p>
        </w:tc>
      </w:tr>
      <w:tr>
        <w:tc>
          <w:tcPr>
            <w:tcW w:type="dxa" w:w="2951"/>
            <w:tcMar>
              <w:top w:w="110" w:type="dxa"/>
              <w:start w:w="140" w:type="dxa"/>
              <w:bottom w:w="110" w:type="dxa"/>
              <w:end w:w="140" w:type="dxa"/>
            </w:tcMar>
            <w:shd w:fill="F5F7F8"/>
            <w:vAlign w:val="center"/>
          </w:tcPr>
          <w:p>
            <w:pPr>
              <w:spacing w:after="0" w:line="259" w:lineRule="auto"/>
            </w:pPr>
            <w:r>
              <w:rPr>
                <w:rFonts w:ascii="Arial" w:hAnsi="Arial"/>
                <w:b/>
                <w:color w:val="0B1727"/>
                <w:sz w:val="17"/>
              </w:rPr>
              <w:t>Operational allowance</w:t>
            </w:r>
          </w:p>
        </w:tc>
        <w:tc>
          <w:tcPr>
            <w:tcW w:type="dxa" w:w="6292"/>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Accounts for inspection, maintenance, changeover and normal sequence variation.</w:t>
            </w:r>
          </w:p>
        </w:tc>
      </w:tr>
    </w:tbl>
    <w:p>
      <w:pPr>
        <w:spacing w:after="20"/>
      </w:pPr>
    </w:p>
    <w:p>
      <w:pPr>
        <w:keepLines w:val="0"/>
        <w:spacing w:before="0" w:after="140" w:line="283" w:lineRule="auto"/>
      </w:pPr>
      <w:r>
        <w:rPr>
          <w:rFonts w:ascii="Arial" w:hAnsi="Arial"/>
          <w:b w:val="0"/>
          <w:i w:val="0"/>
          <w:color w:val="0B1727"/>
          <w:sz w:val="21"/>
        </w:rPr>
        <w:t>A useful preliminary relationship is:</w:t>
      </w:r>
    </w:p>
    <w:tbl>
      <w:tblPr>
        <w:tblW w:type="dxa" w:w="9244"/>
        <w:jc w:val="left"/>
        <w:tblLayout w:type="fixed"/>
        <w:tblLook w:firstColumn="1" w:firstRow="1" w:lastColumn="0" w:lastRow="0" w:noHBand="0" w:noVBand="1" w:val="04A0"/>
      </w:tblPr>
      <w:tblGrid>
        <w:gridCol w:w="9244"/>
      </w:tblGrid>
      <w:tr>
        <w:trPr>
          <w:tblHeader w:val="true"/>
        </w:trPr>
        <w:tc>
          <w:tcPr>
            <w:tcW w:type="dxa" w:w="9244"/>
            <w:shd w:fill="EEF2F5"/>
            <w:tcMar>
              <w:top w:w="150" w:type="dxa"/>
              <w:start w:w="180" w:type="dxa"/>
              <w:bottom w:w="150" w:type="dxa"/>
              <w:end w:w="180" w:type="dxa"/>
            </w:tcMar>
          </w:tcPr>
          <w:p>
            <w:pPr>
              <w:spacing w:after="60"/>
            </w:pPr>
            <w:r>
              <w:rPr>
                <w:rFonts w:ascii="Arial" w:hAnsi="Arial"/>
                <w:b/>
                <w:color w:val="0C4F80"/>
                <w:sz w:val="18"/>
              </w:rPr>
              <w:t>CONCEPTUAL CALCULATION</w:t>
            </w:r>
          </w:p>
          <w:p>
            <w:pPr>
              <w:spacing w:after="0" w:line="276" w:lineRule="auto"/>
            </w:pPr>
            <w:r>
              <w:rPr>
                <w:rFonts w:ascii="Arial" w:hAnsi="Arial"/>
                <w:b/>
                <w:color w:val="0B1727"/>
                <w:sz w:val="22"/>
              </w:rPr>
              <w:t>Required active moulds ≈ total mould-cycle time ÷ planned pouring interval. The engineering quantity must then be checked against track positions, precuring slots, operational allowance and standby philosophy.</w:t>
            </w:r>
          </w:p>
        </w:tc>
      </w:tr>
    </w:tbl>
    <w:p>
      <w:pPr>
        <w:spacing w:after="20"/>
      </w:pPr>
    </w:p>
    <w:p>
      <w:pPr>
        <w:keepLines w:val="0"/>
        <w:spacing w:before="0" w:after="140" w:line="283" w:lineRule="auto"/>
      </w:pPr>
      <w:r>
        <w:rPr>
          <w:rFonts w:ascii="Arial" w:hAnsi="Arial"/>
          <w:b w:val="0"/>
          <w:i w:val="0"/>
          <w:color w:val="0B1727"/>
          <w:sz w:val="21"/>
        </w:rPr>
        <w:t>This relationship is for planning logic, not a final equipment schedule. Values must use consistent units, and the calculated quantity should be rounded and verified against the physical layout and production sequence.</w:t>
      </w:r>
    </w:p>
    <w:p>
      <w:pPr>
        <w:pStyle w:val="Heading1"/>
        <w:keepNext/>
      </w:pPr>
      <w:r>
        <w:rPr>
          <w:rFonts w:ascii="Arial" w:hAnsi="Arial"/>
          <w:b/>
          <w:color w:val="0C4F80"/>
          <w:sz w:val="34"/>
        </w:rPr>
        <w:t>Why Side-Plate Quantity Is Usually Higher Than Mould Quantity</w:t>
      </w:r>
    </w:p>
    <w:p>
      <w:pPr>
        <w:keepLines w:val="0"/>
        <w:spacing w:before="0" w:after="140" w:line="283" w:lineRule="auto"/>
      </w:pPr>
      <w:r>
        <w:rPr>
          <w:rFonts w:ascii="Arial" w:hAnsi="Arial"/>
          <w:b w:val="0"/>
          <w:i w:val="0"/>
          <w:color w:val="0B1727"/>
          <w:sz w:val="21"/>
        </w:rPr>
        <w:t>The mould box and side plate do not necessarily remain occupied for the same duration. After tilting or demoulding, the empty mould can return for cleaning, oiling and another pour. The side plate may remain with the cake through cutting, transfer, autoclave loading, autoclaving, unloading and return.</w:t>
      </w:r>
    </w:p>
    <w:tbl>
      <w:tblPr>
        <w:tblStyle w:val="TableGrid"/>
        <w:tblW w:type="dxa" w:w="9244"/>
        <w:jc w:val="left"/>
        <w:tblLayout w:type="fixed"/>
        <w:tblLook w:firstColumn="1" w:firstRow="1" w:lastColumn="0" w:lastRow="0" w:noHBand="0" w:noVBand="1" w:val="04A0"/>
      </w:tblPr>
      <w:tblGrid>
        <w:gridCol w:w="1944"/>
        <w:gridCol w:w="5068"/>
        <w:gridCol w:w="2232"/>
      </w:tblGrid>
      <w:tr>
        <w:trPr>
          <w:tblHeader w:val="true"/>
        </w:trPr>
        <w:tc>
          <w:tcPr>
            <w:tcW w:type="dxa" w:w="1944"/>
            <w:shd w:fill="09263D"/>
            <w:tcMar>
              <w:top w:w="110" w:type="dxa"/>
              <w:start w:w="140" w:type="dxa"/>
              <w:bottom w:w="110" w:type="dxa"/>
              <w:end w:w="140" w:type="dxa"/>
            </w:tcMar>
            <w:vAlign w:val="center"/>
          </w:tcPr>
          <w:p>
            <w:r>
              <w:rPr>
                <w:rFonts w:ascii="Arial" w:hAnsi="Arial"/>
                <w:b/>
                <w:color w:val="FFFFFF"/>
                <w:sz w:val="18"/>
              </w:rPr>
              <w:t>CIRCULATION ITEM</w:t>
            </w:r>
          </w:p>
        </w:tc>
        <w:tc>
          <w:tcPr>
            <w:tcW w:type="dxa" w:w="5068"/>
            <w:shd w:fill="09263D"/>
            <w:tcMar>
              <w:top w:w="110" w:type="dxa"/>
              <w:start w:w="140" w:type="dxa"/>
              <w:bottom w:w="110" w:type="dxa"/>
              <w:end w:w="140" w:type="dxa"/>
            </w:tcMar>
            <w:vAlign w:val="center"/>
          </w:tcPr>
          <w:p>
            <w:r>
              <w:rPr>
                <w:rFonts w:ascii="Arial" w:hAnsi="Arial"/>
                <w:b/>
                <w:color w:val="FFFFFF"/>
                <w:sz w:val="18"/>
              </w:rPr>
              <w:t>MAIN STAGES</w:t>
            </w:r>
          </w:p>
        </w:tc>
        <w:tc>
          <w:tcPr>
            <w:tcW w:type="dxa" w:w="2232"/>
            <w:shd w:fill="09263D"/>
            <w:tcMar>
              <w:top w:w="110" w:type="dxa"/>
              <w:start w:w="140" w:type="dxa"/>
              <w:bottom w:w="110" w:type="dxa"/>
              <w:end w:w="140" w:type="dxa"/>
            </w:tcMar>
            <w:vAlign w:val="center"/>
          </w:tcPr>
          <w:p>
            <w:r>
              <w:rPr>
                <w:rFonts w:ascii="Arial" w:hAnsi="Arial"/>
                <w:b/>
                <w:color w:val="FFFFFF"/>
                <w:sz w:val="18"/>
              </w:rPr>
              <w:t>PRIMARY QUANTITY DRIVER</w:t>
            </w:r>
          </w:p>
        </w:tc>
      </w:tr>
      <w:tr>
        <w:tc>
          <w:tcPr>
            <w:tcW w:type="dxa" w:w="1944"/>
            <w:tcMar>
              <w:top w:w="110" w:type="dxa"/>
              <w:start w:w="140" w:type="dxa"/>
              <w:bottom w:w="110" w:type="dxa"/>
              <w:end w:w="140" w:type="dxa"/>
            </w:tcMar>
            <w:vAlign w:val="center"/>
          </w:tcPr>
          <w:p>
            <w:pPr>
              <w:spacing w:after="0" w:line="259" w:lineRule="auto"/>
            </w:pPr>
            <w:r>
              <w:rPr>
                <w:rFonts w:ascii="Arial" w:hAnsi="Arial"/>
                <w:b/>
                <w:color w:val="0B1727"/>
                <w:sz w:val="17"/>
              </w:rPr>
              <w:t>Mould box</w:t>
            </w:r>
          </w:p>
        </w:tc>
        <w:tc>
          <w:tcPr>
            <w:tcW w:type="dxa" w:w="5068"/>
            <w:tcMar>
              <w:top w:w="110" w:type="dxa"/>
              <w:start w:w="140" w:type="dxa"/>
              <w:bottom w:w="110" w:type="dxa"/>
              <w:end w:w="140" w:type="dxa"/>
            </w:tcMar>
            <w:vAlign w:val="center"/>
          </w:tcPr>
          <w:p>
            <w:pPr>
              <w:spacing w:after="0" w:line="259" w:lineRule="auto"/>
            </w:pPr>
            <w:r>
              <w:rPr>
                <w:rFonts w:ascii="Arial" w:hAnsi="Arial"/>
                <w:b w:val="0"/>
                <w:color w:val="0B1727"/>
                <w:sz w:val="17"/>
              </w:rPr>
              <w:t>Pouring → precuring → tilting/demoulding → cleaning/oiling → return</w:t>
            </w:r>
          </w:p>
        </w:tc>
        <w:tc>
          <w:tcPr>
            <w:tcW w:type="dxa" w:w="2232"/>
            <w:tcMar>
              <w:top w:w="110" w:type="dxa"/>
              <w:start w:w="140" w:type="dxa"/>
              <w:bottom w:w="110" w:type="dxa"/>
              <w:end w:w="140" w:type="dxa"/>
            </w:tcMar>
            <w:vAlign w:val="center"/>
          </w:tcPr>
          <w:p>
            <w:pPr>
              <w:spacing w:after="0" w:line="259" w:lineRule="auto"/>
            </w:pPr>
            <w:r>
              <w:rPr>
                <w:rFonts w:ascii="Arial" w:hAnsi="Arial"/>
                <w:b w:val="0"/>
                <w:color w:val="0B1727"/>
                <w:sz w:val="17"/>
              </w:rPr>
              <w:t>Mould-cycle time and pouring interval</w:t>
            </w:r>
          </w:p>
        </w:tc>
      </w:tr>
      <w:tr>
        <w:tc>
          <w:tcPr>
            <w:tcW w:type="dxa" w:w="1944"/>
            <w:tcMar>
              <w:top w:w="110" w:type="dxa"/>
              <w:start w:w="140" w:type="dxa"/>
              <w:bottom w:w="110" w:type="dxa"/>
              <w:end w:w="140" w:type="dxa"/>
            </w:tcMar>
            <w:shd w:fill="F5F7F8"/>
            <w:vAlign w:val="center"/>
          </w:tcPr>
          <w:p>
            <w:pPr>
              <w:spacing w:after="0" w:line="259" w:lineRule="auto"/>
            </w:pPr>
            <w:r>
              <w:rPr>
                <w:rFonts w:ascii="Arial" w:hAnsi="Arial"/>
                <w:b/>
                <w:color w:val="0B1727"/>
                <w:sz w:val="17"/>
              </w:rPr>
              <w:t>Side plate</w:t>
            </w:r>
          </w:p>
        </w:tc>
        <w:tc>
          <w:tcPr>
            <w:tcW w:type="dxa" w:w="5068"/>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Demoulding → cutting → handling → autoclave loading → autoclaving → unloading → return</w:t>
            </w:r>
          </w:p>
        </w:tc>
        <w:tc>
          <w:tcPr>
            <w:tcW w:type="dxa" w:w="2232"/>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Complete downstream circulation and autoclave schedule</w:t>
            </w:r>
          </w:p>
        </w:tc>
      </w:tr>
    </w:tbl>
    <w:p>
      <w:pPr>
        <w:spacing w:after="20"/>
      </w:pPr>
    </w:p>
    <w:tbl>
      <w:tblPr>
        <w:tblW w:type="dxa" w:w="9244"/>
        <w:jc w:val="left"/>
        <w:tblLayout w:type="fixed"/>
        <w:tblLook w:firstColumn="1" w:firstRow="1" w:lastColumn="0" w:lastRow="0" w:noHBand="0" w:noVBand="1" w:val="04A0"/>
      </w:tblPr>
      <w:tblGrid>
        <w:gridCol w:w="9244"/>
      </w:tblGrid>
      <w:tr>
        <w:trPr>
          <w:tblHeader w:val="true"/>
        </w:trPr>
        <w:tc>
          <w:tcPr>
            <w:tcW w:type="dxa" w:w="9244"/>
            <w:shd w:fill="EEF2F5"/>
            <w:tcMar>
              <w:top w:w="150" w:type="dxa"/>
              <w:start w:w="180" w:type="dxa"/>
              <w:bottom w:w="150" w:type="dxa"/>
              <w:end w:w="180" w:type="dxa"/>
            </w:tcMar>
          </w:tcPr>
          <w:p>
            <w:pPr>
              <w:spacing w:after="60"/>
            </w:pPr>
            <w:r>
              <w:rPr>
                <w:rFonts w:ascii="Arial" w:hAnsi="Arial"/>
                <w:b/>
                <w:color w:val="0C4F80"/>
                <w:sz w:val="18"/>
              </w:rPr>
              <w:t>KEY DESIGN DISTINCTION</w:t>
            </w:r>
          </w:p>
          <w:p>
            <w:pPr>
              <w:spacing w:after="0" w:line="276" w:lineRule="auto"/>
            </w:pPr>
            <w:r>
              <w:rPr>
                <w:rFonts w:ascii="Arial" w:hAnsi="Arial"/>
                <w:b/>
                <w:color w:val="0B1727"/>
                <w:sz w:val="22"/>
              </w:rPr>
              <w:t>Mould quantity is governed mainly by the shorter mould and precuring cycle. Side-plate quantity is governed by the longer cutting, handling and autoclaving cycle. The two quantities should therefore be calculated separately.</w:t>
            </w:r>
          </w:p>
        </w:tc>
      </w:tr>
    </w:tbl>
    <w:p>
      <w:pPr>
        <w:spacing w:after="20"/>
      </w:pPr>
    </w:p>
    <w:p>
      <w:pPr>
        <w:keepLines w:val="0"/>
        <w:spacing w:before="0" w:after="140" w:line="283" w:lineRule="auto"/>
      </w:pPr>
      <w:r>
        <w:rPr>
          <w:rFonts w:ascii="Arial" w:hAnsi="Arial"/>
          <w:b w:val="0"/>
          <w:i w:val="0"/>
          <w:color w:val="0B1727"/>
          <w:sz w:val="21"/>
        </w:rPr>
        <w:t>The precise ratio is project-specific. It depends on the cutting route, number and arrangement of autoclaves, loading pattern, steam cycle, unloading sequence, production shifts and side-plate return path.</w:t>
      </w:r>
    </w:p>
    <w:p>
      <w:pPr>
        <w:pStyle w:val="Heading1"/>
        <w:keepNext/>
      </w:pPr>
      <w:r>
        <w:rPr>
          <w:rFonts w:ascii="Arial" w:hAnsi="Arial"/>
          <w:b/>
          <w:color w:val="0C4F80"/>
          <w:sz w:val="34"/>
        </w:rPr>
        <w:t>Manual, Semi-Automatic and Fully Automatic Handling</w:t>
      </w:r>
    </w:p>
    <w:p>
      <w:pPr>
        <w:keepLines w:val="0"/>
        <w:spacing w:before="0" w:after="140" w:line="283" w:lineRule="auto"/>
      </w:pPr>
      <w:r>
        <w:rPr>
          <w:rFonts w:ascii="Arial" w:hAnsi="Arial"/>
          <w:b w:val="0"/>
          <w:i w:val="0"/>
          <w:color w:val="0B1727"/>
          <w:sz w:val="21"/>
        </w:rPr>
        <w:t>Automation should be selected according to the operating problem that must be solved. The word “automatic” is not sufficient unless the movement, positioning, confirmation and interlocking functions are clearly defined.</w:t>
      </w:r>
    </w:p>
    <w:tbl>
      <w:tblPr>
        <w:tblStyle w:val="TableGrid"/>
        <w:tblW w:type="dxa" w:w="9244"/>
        <w:jc w:val="left"/>
        <w:tblLayout w:type="fixed"/>
        <w:tblLook w:firstColumn="1" w:firstRow="1" w:lastColumn="0" w:lastRow="0" w:noHBand="0" w:noVBand="1" w:val="04A0"/>
      </w:tblPr>
      <w:tblGrid>
        <w:gridCol w:w="1440"/>
        <w:gridCol w:w="2491"/>
        <w:gridCol w:w="2563"/>
        <w:gridCol w:w="2750"/>
      </w:tblGrid>
      <w:tr>
        <w:trPr>
          <w:tblHeader w:val="true"/>
        </w:trPr>
        <w:tc>
          <w:tcPr>
            <w:tcW w:type="dxa" w:w="1440"/>
            <w:shd w:fill="09263D"/>
            <w:tcMar>
              <w:top w:w="110" w:type="dxa"/>
              <w:start w:w="140" w:type="dxa"/>
              <w:bottom w:w="110" w:type="dxa"/>
              <w:end w:w="140" w:type="dxa"/>
            </w:tcMar>
            <w:vAlign w:val="center"/>
          </w:tcPr>
          <w:p>
            <w:r>
              <w:rPr>
                <w:rFonts w:ascii="Arial" w:hAnsi="Arial"/>
                <w:b/>
                <w:color w:val="FFFFFF"/>
                <w:sz w:val="18"/>
              </w:rPr>
              <w:t>CONFIGURATION</w:t>
            </w:r>
          </w:p>
        </w:tc>
        <w:tc>
          <w:tcPr>
            <w:tcW w:type="dxa" w:w="2491"/>
            <w:shd w:fill="09263D"/>
            <w:tcMar>
              <w:top w:w="110" w:type="dxa"/>
              <w:start w:w="140" w:type="dxa"/>
              <w:bottom w:w="110" w:type="dxa"/>
              <w:end w:w="140" w:type="dxa"/>
            </w:tcMar>
            <w:vAlign w:val="center"/>
          </w:tcPr>
          <w:p>
            <w:r>
              <w:rPr>
                <w:rFonts w:ascii="Arial" w:hAnsi="Arial"/>
                <w:b/>
                <w:color w:val="FFFFFF"/>
                <w:sz w:val="18"/>
              </w:rPr>
              <w:t>TYPICAL CHARACTER</w:t>
            </w:r>
          </w:p>
        </w:tc>
        <w:tc>
          <w:tcPr>
            <w:tcW w:type="dxa" w:w="2563"/>
            <w:shd w:fill="09263D"/>
            <w:tcMar>
              <w:top w:w="110" w:type="dxa"/>
              <w:start w:w="140" w:type="dxa"/>
              <w:bottom w:w="110" w:type="dxa"/>
              <w:end w:w="140" w:type="dxa"/>
            </w:tcMar>
            <w:vAlign w:val="center"/>
          </w:tcPr>
          <w:p>
            <w:r>
              <w:rPr>
                <w:rFonts w:ascii="Arial" w:hAnsi="Arial"/>
                <w:b/>
                <w:color w:val="FFFFFF"/>
                <w:sz w:val="18"/>
              </w:rPr>
              <w:t>SUITABILITY</w:t>
            </w:r>
          </w:p>
        </w:tc>
        <w:tc>
          <w:tcPr>
            <w:tcW w:type="dxa" w:w="2750"/>
            <w:shd w:fill="09263D"/>
            <w:tcMar>
              <w:top w:w="110" w:type="dxa"/>
              <w:start w:w="140" w:type="dxa"/>
              <w:bottom w:w="110" w:type="dxa"/>
              <w:end w:w="140" w:type="dxa"/>
            </w:tcMar>
            <w:vAlign w:val="center"/>
          </w:tcPr>
          <w:p>
            <w:r>
              <w:rPr>
                <w:rFonts w:ascii="Arial" w:hAnsi="Arial"/>
                <w:b/>
                <w:color w:val="FFFFFF"/>
                <w:sz w:val="18"/>
              </w:rPr>
              <w:t>LIMITATIONS TO CHECK</w:t>
            </w:r>
          </w:p>
        </w:tc>
      </w:tr>
      <w:tr>
        <w:tc>
          <w:tcPr>
            <w:tcW w:type="dxa" w:w="1440"/>
            <w:tcMar>
              <w:top w:w="110" w:type="dxa"/>
              <w:start w:w="140" w:type="dxa"/>
              <w:bottom w:w="110" w:type="dxa"/>
              <w:end w:w="140" w:type="dxa"/>
            </w:tcMar>
            <w:vAlign w:val="center"/>
          </w:tcPr>
          <w:p>
            <w:pPr>
              <w:spacing w:after="0" w:line="259" w:lineRule="auto"/>
            </w:pPr>
            <w:r>
              <w:rPr>
                <w:rFonts w:ascii="Arial" w:hAnsi="Arial"/>
                <w:b/>
                <w:color w:val="0B1727"/>
                <w:sz w:val="17"/>
              </w:rPr>
              <w:t>Manual</w:t>
            </w:r>
          </w:p>
        </w:tc>
        <w:tc>
          <w:tcPr>
            <w:tcW w:type="dxa" w:w="2491"/>
            <w:tcMar>
              <w:top w:w="110" w:type="dxa"/>
              <w:start w:w="140" w:type="dxa"/>
              <w:bottom w:w="110" w:type="dxa"/>
              <w:end w:w="140" w:type="dxa"/>
            </w:tcMar>
            <w:vAlign w:val="center"/>
          </w:tcPr>
          <w:p>
            <w:pPr>
              <w:spacing w:after="0" w:line="259" w:lineRule="auto"/>
            </w:pPr>
            <w:r>
              <w:rPr>
                <w:rFonts w:ascii="Arial" w:hAnsi="Arial"/>
                <w:b w:val="0"/>
                <w:color w:val="0B1727"/>
                <w:sz w:val="17"/>
              </w:rPr>
              <w:t>Operator-led movement on rails or assisted at individual stations.</w:t>
            </w:r>
          </w:p>
        </w:tc>
        <w:tc>
          <w:tcPr>
            <w:tcW w:type="dxa" w:w="2563"/>
            <w:tcMar>
              <w:top w:w="110" w:type="dxa"/>
              <w:start w:w="140" w:type="dxa"/>
              <w:bottom w:w="110" w:type="dxa"/>
              <w:end w:w="140" w:type="dxa"/>
            </w:tcMar>
            <w:vAlign w:val="center"/>
          </w:tcPr>
          <w:p>
            <w:pPr>
              <w:spacing w:after="0" w:line="259" w:lineRule="auto"/>
            </w:pPr>
            <w:r>
              <w:rPr>
                <w:rFonts w:ascii="Arial" w:hAnsi="Arial"/>
                <w:b w:val="0"/>
                <w:color w:val="0B1727"/>
                <w:sz w:val="17"/>
              </w:rPr>
              <w:t>Projects where cycle demand and risk assessment permit manual involvement.</w:t>
            </w:r>
          </w:p>
        </w:tc>
        <w:tc>
          <w:tcPr>
            <w:tcW w:type="dxa" w:w="2750"/>
            <w:tcMar>
              <w:top w:w="110" w:type="dxa"/>
              <w:start w:w="140" w:type="dxa"/>
              <w:bottom w:w="110" w:type="dxa"/>
              <w:end w:w="140" w:type="dxa"/>
            </w:tcMar>
            <w:vAlign w:val="center"/>
          </w:tcPr>
          <w:p>
            <w:pPr>
              <w:spacing w:after="0" w:line="259" w:lineRule="auto"/>
            </w:pPr>
            <w:r>
              <w:rPr>
                <w:rFonts w:ascii="Arial" w:hAnsi="Arial"/>
                <w:b w:val="0"/>
                <w:color w:val="0B1727"/>
                <w:sz w:val="17"/>
              </w:rPr>
              <w:t>Labour dependence, consistency, ergonomics, safe movement and future capacity.</w:t>
            </w:r>
          </w:p>
        </w:tc>
      </w:tr>
      <w:tr>
        <w:tc>
          <w:tcPr>
            <w:tcW w:type="dxa" w:w="1440"/>
            <w:tcMar>
              <w:top w:w="110" w:type="dxa"/>
              <w:start w:w="140" w:type="dxa"/>
              <w:bottom w:w="110" w:type="dxa"/>
              <w:end w:w="140" w:type="dxa"/>
            </w:tcMar>
            <w:shd w:fill="F5F7F8"/>
            <w:vAlign w:val="center"/>
          </w:tcPr>
          <w:p>
            <w:pPr>
              <w:spacing w:after="0" w:line="259" w:lineRule="auto"/>
            </w:pPr>
            <w:r>
              <w:rPr>
                <w:rFonts w:ascii="Arial" w:hAnsi="Arial"/>
                <w:b/>
                <w:color w:val="0B1727"/>
                <w:sz w:val="17"/>
              </w:rPr>
              <w:t>Semi-automatic</w:t>
            </w:r>
          </w:p>
        </w:tc>
        <w:tc>
          <w:tcPr>
            <w:tcW w:type="dxa" w:w="2491"/>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Powered or assisted movement at selected points; some sequencing remains operator-controlled.</w:t>
            </w:r>
          </w:p>
        </w:tc>
        <w:tc>
          <w:tcPr>
            <w:tcW w:type="dxa" w:w="2563"/>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Plants seeking targeted automation without fully interlinked circulation.</w:t>
            </w:r>
          </w:p>
        </w:tc>
        <w:tc>
          <w:tcPr>
            <w:tcW w:type="dxa" w:w="2750"/>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Remaining manual decisions, position confirmation, interfaces and bottlenecks.</w:t>
            </w:r>
          </w:p>
        </w:tc>
      </w:tr>
      <w:tr>
        <w:tc>
          <w:tcPr>
            <w:tcW w:type="dxa" w:w="1440"/>
            <w:tcMar>
              <w:top w:w="110" w:type="dxa"/>
              <w:start w:w="140" w:type="dxa"/>
              <w:bottom w:w="110" w:type="dxa"/>
              <w:end w:w="140" w:type="dxa"/>
            </w:tcMar>
            <w:vAlign w:val="center"/>
          </w:tcPr>
          <w:p>
            <w:pPr>
              <w:spacing w:after="0" w:line="259" w:lineRule="auto"/>
            </w:pPr>
            <w:r>
              <w:rPr>
                <w:rFonts w:ascii="Arial" w:hAnsi="Arial"/>
                <w:b/>
                <w:color w:val="0B1727"/>
                <w:sz w:val="17"/>
              </w:rPr>
              <w:t>Fully automatic</w:t>
            </w:r>
          </w:p>
        </w:tc>
        <w:tc>
          <w:tcPr>
            <w:tcW w:type="dxa" w:w="2491"/>
            <w:tcMar>
              <w:top w:w="110" w:type="dxa"/>
              <w:start w:w="140" w:type="dxa"/>
              <w:bottom w:w="110" w:type="dxa"/>
              <w:end w:w="140" w:type="dxa"/>
            </w:tcMar>
            <w:vAlign w:val="center"/>
          </w:tcPr>
          <w:p>
            <w:pPr>
              <w:spacing w:after="0" w:line="259" w:lineRule="auto"/>
            </w:pPr>
            <w:r>
              <w:rPr>
                <w:rFonts w:ascii="Arial" w:hAnsi="Arial"/>
                <w:b w:val="0"/>
                <w:color w:val="0B1727"/>
                <w:sz w:val="17"/>
              </w:rPr>
              <w:t>Interlinked drives, sensors and control logic sequence mould movement between defined positions.</w:t>
            </w:r>
          </w:p>
        </w:tc>
        <w:tc>
          <w:tcPr>
            <w:tcW w:type="dxa" w:w="2563"/>
            <w:tcMar>
              <w:top w:w="110" w:type="dxa"/>
              <w:start w:w="140" w:type="dxa"/>
              <w:bottom w:w="110" w:type="dxa"/>
              <w:end w:w="140" w:type="dxa"/>
            </w:tcMar>
            <w:vAlign w:val="center"/>
          </w:tcPr>
          <w:p>
            <w:pPr>
              <w:spacing w:after="0" w:line="259" w:lineRule="auto"/>
            </w:pPr>
            <w:r>
              <w:rPr>
                <w:rFonts w:ascii="Arial" w:hAnsi="Arial"/>
                <w:b w:val="0"/>
                <w:color w:val="0B1727"/>
                <w:sz w:val="17"/>
              </w:rPr>
              <w:t>Plants requiring coordinated circulation and repeatable high-frequency movement.</w:t>
            </w:r>
          </w:p>
        </w:tc>
        <w:tc>
          <w:tcPr>
            <w:tcW w:type="dxa" w:w="2750"/>
            <w:tcMar>
              <w:top w:w="110" w:type="dxa"/>
              <w:start w:w="140" w:type="dxa"/>
              <w:bottom w:w="110" w:type="dxa"/>
              <w:end w:w="140" w:type="dxa"/>
            </w:tcMar>
            <w:vAlign w:val="center"/>
          </w:tcPr>
          <w:p>
            <w:pPr>
              <w:spacing w:after="0" w:line="259" w:lineRule="auto"/>
            </w:pPr>
            <w:r>
              <w:rPr>
                <w:rFonts w:ascii="Arial" w:hAnsi="Arial"/>
                <w:b w:val="0"/>
                <w:color w:val="0B1727"/>
                <w:sz w:val="17"/>
              </w:rPr>
              <w:t>Controls skill, maintenance, recovery from faults, sensor reliability and bypass discipline.</w:t>
            </w:r>
          </w:p>
        </w:tc>
      </w:tr>
    </w:tbl>
    <w:p>
      <w:pPr>
        <w:spacing w:after="20"/>
      </w:pPr>
    </w:p>
    <w:p>
      <w:pPr>
        <w:pStyle w:val="Heading2"/>
        <w:keepNext/>
      </w:pPr>
      <w:r>
        <w:rPr>
          <w:rFonts w:ascii="Arial" w:hAnsi="Arial"/>
          <w:b/>
          <w:color w:val="0C4F80"/>
          <w:sz w:val="27"/>
        </w:rPr>
        <w:t>What ‘Fully Automatic’ Should Mean</w:t>
      </w:r>
    </w:p>
    <w:p>
      <w:pPr>
        <w:keepLines w:val="0"/>
        <w:spacing w:before="0" w:after="140" w:line="283" w:lineRule="auto"/>
      </w:pPr>
      <w:r>
        <w:rPr>
          <w:rFonts w:ascii="Arial" w:hAnsi="Arial"/>
          <w:b w:val="0"/>
          <w:i w:val="0"/>
          <w:color w:val="0B1727"/>
          <w:sz w:val="21"/>
        </w:rPr>
        <w:t>A buyer should ask the supplier to define which of the following functions are included:</w:t>
      </w:r>
    </w:p>
    <w:p>
      <w:pPr>
        <w:pStyle w:val="ListBullet"/>
        <w:spacing w:after="60" w:line="274" w:lineRule="auto"/>
      </w:pPr>
      <w:r>
        <w:rPr>
          <w:rFonts w:ascii="Arial" w:hAnsi="Arial"/>
          <w:color w:val="0B1727"/>
          <w:sz w:val="20"/>
        </w:rPr>
        <w:t>Automatic movement command and production sequencing</w:t>
      </w:r>
    </w:p>
    <w:p>
      <w:pPr>
        <w:pStyle w:val="ListBullet"/>
        <w:spacing w:after="60" w:line="274" w:lineRule="auto"/>
      </w:pPr>
      <w:r>
        <w:rPr>
          <w:rFonts w:ascii="Arial" w:hAnsi="Arial"/>
          <w:color w:val="0B1727"/>
          <w:sz w:val="20"/>
        </w:rPr>
        <w:t>Mould-position confirmation before transfer</w:t>
      </w:r>
    </w:p>
    <w:p>
      <w:pPr>
        <w:pStyle w:val="ListBullet"/>
        <w:spacing w:after="60" w:line="274" w:lineRule="auto"/>
      </w:pPr>
      <w:r>
        <w:rPr>
          <w:rFonts w:ascii="Arial" w:hAnsi="Arial"/>
          <w:color w:val="0B1727"/>
          <w:sz w:val="20"/>
        </w:rPr>
        <w:t>Track and ferry-cart alignment confirmation</w:t>
      </w:r>
    </w:p>
    <w:p>
      <w:pPr>
        <w:pStyle w:val="ListBullet"/>
        <w:spacing w:after="60" w:line="274" w:lineRule="auto"/>
      </w:pPr>
      <w:r>
        <w:rPr>
          <w:rFonts w:ascii="Arial" w:hAnsi="Arial"/>
          <w:color w:val="0B1727"/>
          <w:sz w:val="20"/>
        </w:rPr>
        <w:t>Interlocks between pouring, transfer, precuring and tilting stations</w:t>
      </w:r>
    </w:p>
    <w:p>
      <w:pPr>
        <w:pStyle w:val="ListBullet"/>
        <w:spacing w:after="60" w:line="274" w:lineRule="auto"/>
      </w:pPr>
      <w:r>
        <w:rPr>
          <w:rFonts w:ascii="Arial" w:hAnsi="Arial"/>
          <w:color w:val="0B1727"/>
          <w:sz w:val="20"/>
        </w:rPr>
        <w:t>Collision and incompatible-movement prevention</w:t>
      </w:r>
    </w:p>
    <w:p>
      <w:pPr>
        <w:pStyle w:val="ListBullet"/>
        <w:spacing w:after="60" w:line="274" w:lineRule="auto"/>
      </w:pPr>
      <w:r>
        <w:rPr>
          <w:rFonts w:ascii="Arial" w:hAnsi="Arial"/>
          <w:color w:val="0B1727"/>
          <w:sz w:val="20"/>
        </w:rPr>
        <w:t>Fault indication, alarms and controlled recovery</w:t>
      </w:r>
    </w:p>
    <w:p>
      <w:pPr>
        <w:pStyle w:val="ListBullet"/>
        <w:spacing w:after="60" w:line="274" w:lineRule="auto"/>
      </w:pPr>
      <w:r>
        <w:rPr>
          <w:rFonts w:ascii="Arial" w:hAnsi="Arial"/>
          <w:color w:val="0B1727"/>
          <w:sz w:val="20"/>
        </w:rPr>
        <w:t>Manual, maintenance and emergency operating modes</w:t>
      </w:r>
    </w:p>
    <w:p>
      <w:pPr>
        <w:pStyle w:val="ListBullet"/>
        <w:spacing w:after="60" w:line="274" w:lineRule="auto"/>
      </w:pPr>
      <w:r>
        <w:rPr>
          <w:rFonts w:ascii="Arial" w:hAnsi="Arial"/>
          <w:color w:val="0B1727"/>
          <w:sz w:val="20"/>
        </w:rPr>
        <w:t>Integration with plant PLC or supervisory controls</w:t>
      </w:r>
    </w:p>
    <w:p>
      <w:pPr>
        <w:keepLines w:val="0"/>
        <w:spacing w:before="0" w:after="140" w:line="283" w:lineRule="auto"/>
      </w:pPr>
      <w:r>
        <w:rPr>
          <w:rFonts w:ascii="Arial" w:hAnsi="Arial"/>
          <w:b w:val="0"/>
          <w:i/>
          <w:color w:val="0B1727"/>
          <w:sz w:val="21"/>
        </w:rPr>
        <w:t>A system should not be described as fully automatic merely because individual drives are motorised.</w:t>
      </w:r>
    </w:p>
    <w:p>
      <w:pPr>
        <w:pStyle w:val="Heading1"/>
        <w:keepNext/>
      </w:pPr>
      <w:r>
        <w:rPr>
          <w:rFonts w:ascii="Arial" w:hAnsi="Arial"/>
          <w:b/>
          <w:color w:val="0C4F80"/>
          <w:sz w:val="34"/>
        </w:rPr>
        <w:t>System Selection Factors</w:t>
      </w:r>
    </w:p>
    <w:p>
      <w:pPr>
        <w:keepLines w:val="0"/>
        <w:spacing w:before="0" w:after="140" w:line="283" w:lineRule="auto"/>
      </w:pPr>
      <w:r>
        <w:rPr>
          <w:rFonts w:ascii="Arial" w:hAnsi="Arial"/>
          <w:b w:val="0"/>
          <w:i w:val="0"/>
          <w:color w:val="0B1727"/>
          <w:sz w:val="21"/>
        </w:rPr>
        <w:t>Before selecting the equipment arrangement, the engineering team should review:</w:t>
      </w:r>
    </w:p>
    <w:p>
      <w:pPr>
        <w:pStyle w:val="ListBullet"/>
        <w:spacing w:after="60" w:line="274" w:lineRule="auto"/>
      </w:pPr>
      <w:r>
        <w:rPr>
          <w:rFonts w:ascii="Arial" w:hAnsi="Arial"/>
          <w:color w:val="0B1727"/>
          <w:sz w:val="20"/>
        </w:rPr>
        <w:t>Required net daily and annual output</w:t>
      </w:r>
    </w:p>
    <w:p>
      <w:pPr>
        <w:pStyle w:val="ListBullet"/>
        <w:spacing w:after="60" w:line="274" w:lineRule="auto"/>
      </w:pPr>
      <w:r>
        <w:rPr>
          <w:rFonts w:ascii="Arial" w:hAnsi="Arial"/>
          <w:color w:val="0B1727"/>
          <w:sz w:val="20"/>
        </w:rPr>
        <w:t>Mould size, usable cake volume and pouring frequency</w:t>
      </w:r>
    </w:p>
    <w:p>
      <w:pPr>
        <w:pStyle w:val="ListBullet"/>
        <w:spacing w:after="60" w:line="274" w:lineRule="auto"/>
      </w:pPr>
      <w:r>
        <w:rPr>
          <w:rFonts w:ascii="Arial" w:hAnsi="Arial"/>
          <w:color w:val="0B1727"/>
          <w:sz w:val="20"/>
        </w:rPr>
        <w:t>Straight-line, L-shaped or other plant-layout constraints</w:t>
      </w:r>
    </w:p>
    <w:p>
      <w:pPr>
        <w:pStyle w:val="ListBullet"/>
        <w:spacing w:after="60" w:line="274" w:lineRule="auto"/>
      </w:pPr>
      <w:r>
        <w:rPr>
          <w:rFonts w:ascii="Arial" w:hAnsi="Arial"/>
          <w:color w:val="0B1727"/>
          <w:sz w:val="20"/>
        </w:rPr>
        <w:t>Number of tracks and required cross transfers</w:t>
      </w:r>
    </w:p>
    <w:p>
      <w:pPr>
        <w:pStyle w:val="ListBullet"/>
        <w:spacing w:after="60" w:line="274" w:lineRule="auto"/>
      </w:pPr>
      <w:r>
        <w:rPr>
          <w:rFonts w:ascii="Arial" w:hAnsi="Arial"/>
          <w:color w:val="0B1727"/>
          <w:sz w:val="20"/>
        </w:rPr>
        <w:t>Precuring holding positions and FIFO sequence</w:t>
      </w:r>
    </w:p>
    <w:p>
      <w:pPr>
        <w:pStyle w:val="ListBullet"/>
        <w:spacing w:after="60" w:line="274" w:lineRule="auto"/>
      </w:pPr>
      <w:r>
        <w:rPr>
          <w:rFonts w:ascii="Arial" w:hAnsi="Arial"/>
          <w:color w:val="0B1727"/>
          <w:sz w:val="20"/>
        </w:rPr>
        <w:t>Cutting-line and autoclave schedules</w:t>
      </w:r>
    </w:p>
    <w:p>
      <w:pPr>
        <w:pStyle w:val="ListBullet"/>
        <w:spacing w:after="60" w:line="274" w:lineRule="auto"/>
      </w:pPr>
      <w:r>
        <w:rPr>
          <w:rFonts w:ascii="Arial" w:hAnsi="Arial"/>
          <w:color w:val="0B1727"/>
          <w:sz w:val="20"/>
        </w:rPr>
        <w:t>Available operators and controls/maintenance capability</w:t>
      </w:r>
    </w:p>
    <w:p>
      <w:pPr>
        <w:pStyle w:val="ListBullet"/>
        <w:spacing w:after="60" w:line="274" w:lineRule="auto"/>
      </w:pPr>
      <w:r>
        <w:rPr>
          <w:rFonts w:ascii="Arial" w:hAnsi="Arial"/>
          <w:color w:val="0B1727"/>
          <w:sz w:val="20"/>
        </w:rPr>
        <w:t>Required level of redundancy and standby equipment</w:t>
      </w:r>
    </w:p>
    <w:p>
      <w:pPr>
        <w:pStyle w:val="ListBullet"/>
        <w:spacing w:after="60" w:line="274" w:lineRule="auto"/>
      </w:pPr>
      <w:r>
        <w:rPr>
          <w:rFonts w:ascii="Arial" w:hAnsi="Arial"/>
          <w:color w:val="0B1727"/>
          <w:sz w:val="20"/>
        </w:rPr>
        <w:t>Planned future capacity and available expansion space</w:t>
      </w:r>
    </w:p>
    <w:p>
      <w:pPr>
        <w:pStyle w:val="ListBullet"/>
        <w:spacing w:after="60" w:line="274" w:lineRule="auto"/>
      </w:pPr>
      <w:r>
        <w:rPr>
          <w:rFonts w:ascii="Arial" w:hAnsi="Arial"/>
          <w:color w:val="0B1727"/>
          <w:sz w:val="20"/>
        </w:rPr>
        <w:t>Whether the project is a new plant, expansion or retrofit</w:t>
      </w:r>
    </w:p>
    <w:p>
      <w:pPr>
        <w:pStyle w:val="Heading1"/>
        <w:keepNext/>
      </w:pPr>
      <w:r>
        <w:rPr>
          <w:rFonts w:ascii="Arial" w:hAnsi="Arial"/>
          <w:b/>
          <w:color w:val="0C4F80"/>
          <w:sz w:val="34"/>
        </w:rPr>
        <w:t>Utilities, Manpower, Maintenance and Safety</w:t>
      </w:r>
    </w:p>
    <w:p>
      <w:pPr>
        <w:pStyle w:val="Heading2"/>
        <w:keepNext/>
      </w:pPr>
      <w:r>
        <w:rPr>
          <w:rFonts w:ascii="Arial" w:hAnsi="Arial"/>
          <w:b/>
          <w:color w:val="0C4F80"/>
          <w:sz w:val="27"/>
        </w:rPr>
        <w:t>Utilities and controls</w:t>
      </w:r>
    </w:p>
    <w:p>
      <w:pPr>
        <w:keepLines w:val="0"/>
        <w:spacing w:before="0" w:after="140" w:line="283" w:lineRule="auto"/>
      </w:pPr>
      <w:r>
        <w:rPr>
          <w:rFonts w:ascii="Arial" w:hAnsi="Arial"/>
          <w:b w:val="0"/>
          <w:i w:val="0"/>
          <w:color w:val="0B1727"/>
          <w:sz w:val="21"/>
        </w:rPr>
        <w:t>The required electrical load, control architecture, compressed-air demand and heating requirement depend on the selected equipment and plant arrangement. These values should be issued with the approved equipment list, motor schedule and utility summary rather than presented as universal figures.</w:t>
      </w:r>
    </w:p>
    <w:p>
      <w:pPr>
        <w:pStyle w:val="Heading2"/>
        <w:keepNext/>
      </w:pPr>
      <w:r>
        <w:rPr>
          <w:rFonts w:ascii="Arial" w:hAnsi="Arial"/>
          <w:b/>
          <w:color w:val="0C4F80"/>
          <w:sz w:val="27"/>
        </w:rPr>
        <w:t>Manpower</w:t>
      </w:r>
    </w:p>
    <w:p>
      <w:pPr>
        <w:keepLines w:val="0"/>
        <w:spacing w:before="0" w:after="140" w:line="283" w:lineRule="auto"/>
      </w:pPr>
      <w:r>
        <w:rPr>
          <w:rFonts w:ascii="Arial" w:hAnsi="Arial"/>
          <w:b w:val="0"/>
          <w:i w:val="0"/>
          <w:color w:val="0B1727"/>
          <w:sz w:val="21"/>
        </w:rPr>
        <w:t>Automation can shift work from physical movement towards supervision, process control and maintenance. The required team should be established from the actual operating sequence and may include production operators, a shift supervisor, electrical/instrumentation support and mechanical maintenance personnel.</w:t>
      </w:r>
    </w:p>
    <w:p>
      <w:pPr>
        <w:pStyle w:val="Heading2"/>
        <w:keepNext/>
      </w:pPr>
      <w:r>
        <w:rPr>
          <w:rFonts w:ascii="Arial" w:hAnsi="Arial"/>
          <w:b/>
          <w:color w:val="0C4F80"/>
          <w:sz w:val="27"/>
        </w:rPr>
        <w:t>Maintenance</w:t>
      </w:r>
    </w:p>
    <w:p>
      <w:pPr>
        <w:pStyle w:val="ListBullet"/>
        <w:spacing w:after="60" w:line="274" w:lineRule="auto"/>
      </w:pPr>
      <w:r>
        <w:rPr>
          <w:rFonts w:ascii="Arial" w:hAnsi="Arial"/>
          <w:color w:val="0B1727"/>
          <w:sz w:val="20"/>
        </w:rPr>
        <w:t>Rail alignment, track cleanliness and end stops</w:t>
      </w:r>
    </w:p>
    <w:p>
      <w:pPr>
        <w:pStyle w:val="ListBullet"/>
        <w:spacing w:after="60" w:line="274" w:lineRule="auto"/>
      </w:pPr>
      <w:r>
        <w:rPr>
          <w:rFonts w:ascii="Arial" w:hAnsi="Arial"/>
          <w:color w:val="0B1727"/>
          <w:sz w:val="20"/>
        </w:rPr>
        <w:t>Wheel, bearing, coupling, chain or friction-drive condition</w:t>
      </w:r>
    </w:p>
    <w:p>
      <w:pPr>
        <w:pStyle w:val="ListBullet"/>
        <w:spacing w:after="60" w:line="274" w:lineRule="auto"/>
      </w:pPr>
      <w:r>
        <w:rPr>
          <w:rFonts w:ascii="Arial" w:hAnsi="Arial"/>
          <w:color w:val="0B1727"/>
          <w:sz w:val="20"/>
        </w:rPr>
        <w:t>Ferry-cart alignment and positioning devices</w:t>
      </w:r>
    </w:p>
    <w:p>
      <w:pPr>
        <w:pStyle w:val="ListBullet"/>
        <w:spacing w:after="60" w:line="274" w:lineRule="auto"/>
      </w:pPr>
      <w:r>
        <w:rPr>
          <w:rFonts w:ascii="Arial" w:hAnsi="Arial"/>
          <w:color w:val="0B1727"/>
          <w:sz w:val="20"/>
        </w:rPr>
        <w:t>Sensors, cables, limit switches and interlocks</w:t>
      </w:r>
    </w:p>
    <w:p>
      <w:pPr>
        <w:pStyle w:val="ListBullet"/>
        <w:spacing w:after="60" w:line="274" w:lineRule="auto"/>
      </w:pPr>
      <w:r>
        <w:rPr>
          <w:rFonts w:ascii="Arial" w:hAnsi="Arial"/>
          <w:color w:val="0B1727"/>
          <w:sz w:val="20"/>
        </w:rPr>
        <w:t>Tilting pivots, cylinders, hoses and locking arrangements where applicable</w:t>
      </w:r>
    </w:p>
    <w:p>
      <w:pPr>
        <w:pStyle w:val="ListBullet"/>
        <w:spacing w:after="60" w:line="274" w:lineRule="auto"/>
      </w:pPr>
      <w:r>
        <w:rPr>
          <w:rFonts w:ascii="Arial" w:hAnsi="Arial"/>
          <w:color w:val="0B1727"/>
          <w:sz w:val="20"/>
        </w:rPr>
        <w:t>Mould dimensional condition, sealing/contact surfaces and side-plate flatness</w:t>
      </w:r>
    </w:p>
    <w:p>
      <w:pPr>
        <w:pStyle w:val="ListBullet"/>
        <w:spacing w:after="60" w:line="274" w:lineRule="auto"/>
      </w:pPr>
      <w:r>
        <w:rPr>
          <w:rFonts w:ascii="Arial" w:hAnsi="Arial"/>
          <w:color w:val="0B1727"/>
          <w:sz w:val="20"/>
        </w:rPr>
        <w:t>Cleaning and oiling equipment condition</w:t>
      </w:r>
    </w:p>
    <w:p>
      <w:pPr>
        <w:pStyle w:val="Heading2"/>
        <w:keepNext/>
      </w:pPr>
      <w:r>
        <w:rPr>
          <w:rFonts w:ascii="Arial" w:hAnsi="Arial"/>
          <w:b/>
          <w:color w:val="0C4F80"/>
          <w:sz w:val="27"/>
        </w:rPr>
        <w:t>Safety</w:t>
      </w:r>
    </w:p>
    <w:p>
      <w:pPr>
        <w:keepLines w:val="0"/>
        <w:spacing w:before="0" w:after="140" w:line="283" w:lineRule="auto"/>
      </w:pPr>
      <w:r>
        <w:rPr>
          <w:rFonts w:ascii="Arial" w:hAnsi="Arial"/>
          <w:b w:val="0"/>
          <w:i w:val="0"/>
          <w:color w:val="0B1727"/>
          <w:sz w:val="21"/>
        </w:rPr>
        <w:t>Safety provisions must follow the final risk assessment and applicable legal and engineering requirements. Depending on the layout, these may include fixed or interlocked guarding, emergency stops, warning devices, controlled access, safe maintenance isolation, travel limits, load-position confirmation and prevention of conflicting equipment movements.</w:t>
      </w:r>
    </w:p>
    <w:p>
      <w:pPr>
        <w:pStyle w:val="Heading1"/>
        <w:keepNext/>
      </w:pPr>
      <w:r>
        <w:rPr>
          <w:rFonts w:ascii="Arial" w:hAnsi="Arial"/>
          <w:b/>
          <w:color w:val="0C4F80"/>
          <w:sz w:val="34"/>
        </w:rPr>
        <w:t>Common Engineering Mistakes</w:t>
      </w:r>
    </w:p>
    <w:tbl>
      <w:tblPr>
        <w:tblStyle w:val="TableGrid"/>
        <w:tblW w:type="dxa" w:w="9244"/>
        <w:jc w:val="left"/>
        <w:tblLayout w:type="fixed"/>
        <w:tblLook w:firstColumn="1" w:firstRow="1" w:lastColumn="0" w:lastRow="0" w:noHBand="0" w:noVBand="1" w:val="04A0"/>
      </w:tblPr>
      <w:tblGrid>
        <w:gridCol w:w="2476"/>
        <w:gridCol w:w="3384"/>
        <w:gridCol w:w="3384"/>
      </w:tblGrid>
      <w:tr>
        <w:trPr>
          <w:tblHeader w:val="true"/>
        </w:trPr>
        <w:tc>
          <w:tcPr>
            <w:tcW w:type="dxa" w:w="2476"/>
            <w:shd w:fill="09263D"/>
            <w:tcMar>
              <w:top w:w="110" w:type="dxa"/>
              <w:start w:w="140" w:type="dxa"/>
              <w:bottom w:w="110" w:type="dxa"/>
              <w:end w:w="140" w:type="dxa"/>
            </w:tcMar>
            <w:vAlign w:val="center"/>
          </w:tcPr>
          <w:p>
            <w:r>
              <w:rPr>
                <w:rFonts w:ascii="Arial" w:hAnsi="Arial"/>
                <w:b/>
                <w:color w:val="FFFFFF"/>
                <w:sz w:val="18"/>
              </w:rPr>
              <w:t>MISTAKE</w:t>
            </w:r>
          </w:p>
        </w:tc>
        <w:tc>
          <w:tcPr>
            <w:tcW w:type="dxa" w:w="3384"/>
            <w:shd w:fill="09263D"/>
            <w:tcMar>
              <w:top w:w="110" w:type="dxa"/>
              <w:start w:w="140" w:type="dxa"/>
              <w:bottom w:w="110" w:type="dxa"/>
              <w:end w:w="140" w:type="dxa"/>
            </w:tcMar>
            <w:vAlign w:val="center"/>
          </w:tcPr>
          <w:p>
            <w:r>
              <w:rPr>
                <w:rFonts w:ascii="Arial" w:hAnsi="Arial"/>
                <w:b/>
                <w:color w:val="FFFFFF"/>
                <w:sz w:val="18"/>
              </w:rPr>
              <w:t>POSSIBLE CONSEQUENCE</w:t>
            </w:r>
          </w:p>
        </w:tc>
        <w:tc>
          <w:tcPr>
            <w:tcW w:type="dxa" w:w="3384"/>
            <w:shd w:fill="09263D"/>
            <w:tcMar>
              <w:top w:w="110" w:type="dxa"/>
              <w:start w:w="140" w:type="dxa"/>
              <w:bottom w:w="110" w:type="dxa"/>
              <w:end w:w="140" w:type="dxa"/>
            </w:tcMar>
            <w:vAlign w:val="center"/>
          </w:tcPr>
          <w:p>
            <w:r>
              <w:rPr>
                <w:rFonts w:ascii="Arial" w:hAnsi="Arial"/>
                <w:b/>
                <w:color w:val="FFFFFF"/>
                <w:sz w:val="18"/>
              </w:rPr>
              <w:t>REQUIRED CHECK</w:t>
            </w:r>
          </w:p>
        </w:tc>
      </w:tr>
      <w:tr>
        <w:tc>
          <w:tcPr>
            <w:tcW w:type="dxa" w:w="2476"/>
            <w:tcMar>
              <w:top w:w="110" w:type="dxa"/>
              <w:start w:w="140" w:type="dxa"/>
              <w:bottom w:w="110" w:type="dxa"/>
              <w:end w:w="140" w:type="dxa"/>
            </w:tcMar>
            <w:vAlign w:val="center"/>
          </w:tcPr>
          <w:p>
            <w:pPr>
              <w:spacing w:after="0" w:line="259" w:lineRule="auto"/>
            </w:pPr>
            <w:r>
              <w:rPr>
                <w:rFonts w:ascii="Arial" w:hAnsi="Arial"/>
                <w:b/>
                <w:color w:val="0B1727"/>
                <w:sz w:val="17"/>
              </w:rPr>
              <w:t>Selecting mould quantity only from daily capacity</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Mould shortage or unnecessary capital tied up in excess equipment.</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Calculate complete cycle time and pouring interval.</w:t>
            </w:r>
          </w:p>
        </w:tc>
      </w:tr>
      <w:tr>
        <w:tc>
          <w:tcPr>
            <w:tcW w:type="dxa" w:w="2476"/>
            <w:tcMar>
              <w:top w:w="110" w:type="dxa"/>
              <w:start w:w="140" w:type="dxa"/>
              <w:bottom w:w="110" w:type="dxa"/>
              <w:end w:w="140" w:type="dxa"/>
            </w:tcMar>
            <w:shd w:fill="F5F7F8"/>
            <w:vAlign w:val="center"/>
          </w:tcPr>
          <w:p>
            <w:pPr>
              <w:spacing w:after="0" w:line="259" w:lineRule="auto"/>
            </w:pPr>
            <w:r>
              <w:rPr>
                <w:rFonts w:ascii="Arial" w:hAnsi="Arial"/>
                <w:b/>
                <w:color w:val="0B1727"/>
                <w:sz w:val="17"/>
              </w:rPr>
              <w:t>Assuming mould and side-plate quantities are equal</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Side-plate shortage may interrupt cutting or autoclave loading.</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Calculate both circulations separately.</w:t>
            </w:r>
          </w:p>
        </w:tc>
      </w:tr>
      <w:tr>
        <w:tc>
          <w:tcPr>
            <w:tcW w:type="dxa" w:w="2476"/>
            <w:tcMar>
              <w:top w:w="110" w:type="dxa"/>
              <w:start w:w="140" w:type="dxa"/>
              <w:bottom w:w="110" w:type="dxa"/>
              <w:end w:w="140" w:type="dxa"/>
            </w:tcMar>
            <w:vAlign w:val="center"/>
          </w:tcPr>
          <w:p>
            <w:pPr>
              <w:spacing w:after="0" w:line="259" w:lineRule="auto"/>
            </w:pPr>
            <w:r>
              <w:rPr>
                <w:rFonts w:ascii="Arial" w:hAnsi="Arial"/>
                <w:b/>
                <w:color w:val="0B1727"/>
                <w:sz w:val="17"/>
              </w:rPr>
              <w:t>Treating precuring as a fixed waiting time</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Cake may reach cutting in an unsuitable condition when inputs change.</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Use an approved readiness method and monitor process variables.</w:t>
            </w:r>
          </w:p>
        </w:tc>
      </w:tr>
      <w:tr>
        <w:tc>
          <w:tcPr>
            <w:tcW w:type="dxa" w:w="2476"/>
            <w:tcMar>
              <w:top w:w="110" w:type="dxa"/>
              <w:start w:w="140" w:type="dxa"/>
              <w:bottom w:w="110" w:type="dxa"/>
              <w:end w:w="140" w:type="dxa"/>
            </w:tcMar>
            <w:shd w:fill="F5F7F8"/>
            <w:vAlign w:val="center"/>
          </w:tcPr>
          <w:p>
            <w:pPr>
              <w:spacing w:after="0" w:line="259" w:lineRule="auto"/>
            </w:pPr>
            <w:r>
              <w:rPr>
                <w:rFonts w:ascii="Arial" w:hAnsi="Arial"/>
                <w:b/>
                <w:color w:val="0B1727"/>
                <w:sz w:val="17"/>
              </w:rPr>
              <w:t>Motorising equipment without interlocking it</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Conflicting movements, manual coordination and unreliable sequencing.</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Define sensors, permissives, alarms and recovery logic.</w:t>
            </w:r>
          </w:p>
        </w:tc>
      </w:tr>
      <w:tr>
        <w:tc>
          <w:tcPr>
            <w:tcW w:type="dxa" w:w="2476"/>
            <w:tcMar>
              <w:top w:w="110" w:type="dxa"/>
              <w:start w:w="140" w:type="dxa"/>
              <w:bottom w:w="110" w:type="dxa"/>
              <w:end w:w="140" w:type="dxa"/>
            </w:tcMar>
            <w:vAlign w:val="center"/>
          </w:tcPr>
          <w:p>
            <w:pPr>
              <w:spacing w:after="0" w:line="259" w:lineRule="auto"/>
            </w:pPr>
            <w:r>
              <w:rPr>
                <w:rFonts w:ascii="Arial" w:hAnsi="Arial"/>
                <w:b/>
                <w:color w:val="0B1727"/>
                <w:sz w:val="17"/>
              </w:rPr>
              <w:t>Ignoring future expansion in the track layout</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Later capacity additions may require major civil or line changes.</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Reserve movement routes, positions and control capacity.</w:t>
            </w:r>
          </w:p>
        </w:tc>
      </w:tr>
      <w:tr>
        <w:tc>
          <w:tcPr>
            <w:tcW w:type="dxa" w:w="2476"/>
            <w:tcMar>
              <w:top w:w="110" w:type="dxa"/>
              <w:start w:w="140" w:type="dxa"/>
              <w:bottom w:w="110" w:type="dxa"/>
              <w:end w:w="140" w:type="dxa"/>
            </w:tcMar>
            <w:shd w:fill="F5F7F8"/>
            <w:vAlign w:val="center"/>
          </w:tcPr>
          <w:p>
            <w:pPr>
              <w:spacing w:after="0" w:line="259" w:lineRule="auto"/>
            </w:pPr>
            <w:r>
              <w:rPr>
                <w:rFonts w:ascii="Arial" w:hAnsi="Arial"/>
                <w:b/>
                <w:color w:val="0B1727"/>
                <w:sz w:val="17"/>
              </w:rPr>
              <w:t>Poor rail and interface alignment</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Wheel wear, positioning errors and transfer interruptions.</w:t>
            </w:r>
          </w:p>
        </w:tc>
        <w:tc>
          <w:tcPr>
            <w:tcW w:type="dxa" w:w="338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Set installation tolerances and acceptance checks.</w:t>
            </w:r>
          </w:p>
        </w:tc>
      </w:tr>
      <w:tr>
        <w:tc>
          <w:tcPr>
            <w:tcW w:type="dxa" w:w="2476"/>
            <w:tcMar>
              <w:top w:w="110" w:type="dxa"/>
              <w:start w:w="140" w:type="dxa"/>
              <w:bottom w:w="110" w:type="dxa"/>
              <w:end w:w="140" w:type="dxa"/>
            </w:tcMar>
            <w:vAlign w:val="center"/>
          </w:tcPr>
          <w:p>
            <w:pPr>
              <w:spacing w:after="0" w:line="259" w:lineRule="auto"/>
            </w:pPr>
            <w:r>
              <w:rPr>
                <w:rFonts w:ascii="Arial" w:hAnsi="Arial"/>
                <w:b/>
                <w:color w:val="0B1727"/>
                <w:sz w:val="17"/>
              </w:rPr>
              <w:t>Inconsistent mould cleaning or oiling</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Release difficulty, contamination or variation in mould preparation.</w:t>
            </w:r>
          </w:p>
        </w:tc>
        <w:tc>
          <w:tcPr>
            <w:tcW w:type="dxa" w:w="3384"/>
            <w:tcMar>
              <w:top w:w="110" w:type="dxa"/>
              <w:start w:w="140" w:type="dxa"/>
              <w:bottom w:w="110" w:type="dxa"/>
              <w:end w:w="140" w:type="dxa"/>
            </w:tcMar>
            <w:vAlign w:val="center"/>
          </w:tcPr>
          <w:p>
            <w:pPr>
              <w:spacing w:after="0" w:line="259" w:lineRule="auto"/>
            </w:pPr>
            <w:r>
              <w:rPr>
                <w:rFonts w:ascii="Arial" w:hAnsi="Arial"/>
                <w:b w:val="0"/>
                <w:color w:val="0B1727"/>
                <w:sz w:val="17"/>
              </w:rPr>
              <w:t>Define method, inspection and application controls.</w:t>
            </w:r>
          </w:p>
        </w:tc>
      </w:tr>
    </w:tbl>
    <w:p>
      <w:pPr>
        <w:spacing w:after="20"/>
      </w:pPr>
    </w:p>
    <w:p>
      <w:pPr>
        <w:pStyle w:val="Heading1"/>
        <w:keepNext/>
      </w:pPr>
      <w:r>
        <w:rPr>
          <w:rFonts w:ascii="Arial" w:hAnsi="Arial"/>
          <w:b/>
          <w:color w:val="0C4F80"/>
          <w:sz w:val="34"/>
        </w:rPr>
        <w:t>Installation and Commissioning Considerations</w:t>
      </w:r>
    </w:p>
    <w:p>
      <w:pPr>
        <w:keepLines w:val="0"/>
        <w:spacing w:before="0" w:after="140" w:line="283" w:lineRule="auto"/>
      </w:pPr>
      <w:r>
        <w:rPr>
          <w:rFonts w:ascii="Arial" w:hAnsi="Arial"/>
          <w:b w:val="0"/>
          <w:i w:val="0"/>
          <w:color w:val="0B1727"/>
          <w:sz w:val="21"/>
        </w:rPr>
        <w:t>The installation plan should define civil interfaces, rail levels and alignment, equipment foundations, access clearances, power and control routing, guarding, sensor positions and interfaces with pouring and cutting equipment.</w:t>
      </w:r>
    </w:p>
    <w:p>
      <w:pPr>
        <w:keepLines w:val="0"/>
        <w:spacing w:before="0" w:after="140" w:line="283" w:lineRule="auto"/>
      </w:pPr>
      <w:r>
        <w:rPr>
          <w:rFonts w:ascii="Arial" w:hAnsi="Arial"/>
          <w:b w:val="0"/>
          <w:i w:val="0"/>
          <w:color w:val="0B1727"/>
          <w:sz w:val="21"/>
        </w:rPr>
        <w:t>Commissioning should confirm at least:</w:t>
      </w:r>
    </w:p>
    <w:p>
      <w:pPr>
        <w:pStyle w:val="ListBullet"/>
        <w:spacing w:after="60" w:line="274" w:lineRule="auto"/>
      </w:pPr>
      <w:r>
        <w:rPr>
          <w:rFonts w:ascii="Arial" w:hAnsi="Arial"/>
          <w:color w:val="0B1727"/>
          <w:sz w:val="20"/>
        </w:rPr>
        <w:t>No-load and loaded movement</w:t>
      </w:r>
    </w:p>
    <w:p>
      <w:pPr>
        <w:pStyle w:val="ListBullet"/>
        <w:spacing w:after="60" w:line="274" w:lineRule="auto"/>
      </w:pPr>
      <w:r>
        <w:rPr>
          <w:rFonts w:ascii="Arial" w:hAnsi="Arial"/>
          <w:color w:val="0B1727"/>
          <w:sz w:val="20"/>
        </w:rPr>
        <w:t>Positioning and alignment at every transfer point</w:t>
      </w:r>
    </w:p>
    <w:p>
      <w:pPr>
        <w:pStyle w:val="ListBullet"/>
        <w:spacing w:after="60" w:line="274" w:lineRule="auto"/>
      </w:pPr>
      <w:r>
        <w:rPr>
          <w:rFonts w:ascii="Arial" w:hAnsi="Arial"/>
          <w:color w:val="0B1727"/>
          <w:sz w:val="20"/>
        </w:rPr>
        <w:t>Sequence timing under the planned production route</w:t>
      </w:r>
    </w:p>
    <w:p>
      <w:pPr>
        <w:pStyle w:val="ListBullet"/>
        <w:spacing w:after="60" w:line="274" w:lineRule="auto"/>
      </w:pPr>
      <w:r>
        <w:rPr>
          <w:rFonts w:ascii="Arial" w:hAnsi="Arial"/>
          <w:color w:val="0B1727"/>
          <w:sz w:val="20"/>
        </w:rPr>
        <w:t>Safety devices, alarms and interlocks</w:t>
      </w:r>
    </w:p>
    <w:p>
      <w:pPr>
        <w:pStyle w:val="ListBullet"/>
        <w:spacing w:after="60" w:line="274" w:lineRule="auto"/>
      </w:pPr>
      <w:r>
        <w:rPr>
          <w:rFonts w:ascii="Arial" w:hAnsi="Arial"/>
          <w:color w:val="0B1727"/>
          <w:sz w:val="20"/>
        </w:rPr>
        <w:t>Manual and fault-recovery modes</w:t>
      </w:r>
    </w:p>
    <w:p>
      <w:pPr>
        <w:pStyle w:val="ListBullet"/>
        <w:spacing w:after="60" w:line="274" w:lineRule="auto"/>
      </w:pPr>
      <w:r>
        <w:rPr>
          <w:rFonts w:ascii="Arial" w:hAnsi="Arial"/>
          <w:color w:val="0B1727"/>
          <w:sz w:val="20"/>
        </w:rPr>
        <w:t>Mould cleaning, oiling and return sequence</w:t>
      </w:r>
    </w:p>
    <w:p>
      <w:pPr>
        <w:pStyle w:val="ListBullet"/>
        <w:spacing w:after="60" w:line="274" w:lineRule="auto"/>
      </w:pPr>
      <w:r>
        <w:rPr>
          <w:rFonts w:ascii="Arial" w:hAnsi="Arial"/>
          <w:color w:val="0B1727"/>
          <w:sz w:val="20"/>
        </w:rPr>
        <w:t>Precuring monitoring and approved cake-readiness procedure</w:t>
      </w:r>
    </w:p>
    <w:p>
      <w:pPr>
        <w:pStyle w:val="ListBullet"/>
        <w:spacing w:after="60" w:line="274" w:lineRule="auto"/>
      </w:pPr>
      <w:r>
        <w:rPr>
          <w:rFonts w:ascii="Arial" w:hAnsi="Arial"/>
          <w:color w:val="0B1727"/>
          <w:sz w:val="20"/>
        </w:rPr>
        <w:t>Operator and maintenance training</w:t>
      </w:r>
    </w:p>
    <w:p>
      <w:pPr>
        <w:pStyle w:val="Heading1"/>
        <w:keepNext/>
      </w:pPr>
      <w:r>
        <w:rPr>
          <w:rFonts w:ascii="Arial" w:hAnsi="Arial"/>
          <w:b/>
          <w:color w:val="0C4F80"/>
          <w:sz w:val="34"/>
        </w:rPr>
        <w:t>Information Required for Engineering Selection</w:t>
      </w:r>
    </w:p>
    <w:p>
      <w:pPr>
        <w:keepLines w:val="0"/>
        <w:spacing w:before="0" w:after="140" w:line="283" w:lineRule="auto"/>
      </w:pPr>
      <w:r>
        <w:rPr>
          <w:rFonts w:ascii="Arial" w:hAnsi="Arial"/>
          <w:b w:val="0"/>
          <w:i w:val="0"/>
          <w:color w:val="0B1727"/>
          <w:sz w:val="21"/>
        </w:rPr>
        <w:t>To review a proposed system, Laxmi En-Fab should receive the following project inputs:</w:t>
      </w:r>
    </w:p>
    <w:tbl>
      <w:tblPr>
        <w:tblStyle w:val="TableGrid"/>
        <w:tblW w:type="dxa" w:w="9244"/>
        <w:jc w:val="left"/>
        <w:tblLayout w:type="fixed"/>
        <w:tblLook w:firstColumn="1" w:firstRow="1" w:lastColumn="0" w:lastRow="0" w:noHBand="0" w:noVBand="1" w:val="04A0"/>
      </w:tblPr>
      <w:tblGrid>
        <w:gridCol w:w="2880"/>
        <w:gridCol w:w="6364"/>
      </w:tblGrid>
      <w:tr>
        <w:trPr>
          <w:tblHeader w:val="true"/>
        </w:trPr>
        <w:tc>
          <w:tcPr>
            <w:tcW w:type="dxa" w:w="2880"/>
            <w:shd w:fill="09263D"/>
            <w:tcMar>
              <w:top w:w="110" w:type="dxa"/>
              <w:start w:w="140" w:type="dxa"/>
              <w:bottom w:w="110" w:type="dxa"/>
              <w:end w:w="140" w:type="dxa"/>
            </w:tcMar>
            <w:vAlign w:val="center"/>
          </w:tcPr>
          <w:p>
            <w:r>
              <w:rPr>
                <w:rFonts w:ascii="Arial" w:hAnsi="Arial"/>
                <w:b/>
                <w:color w:val="FFFFFF"/>
                <w:sz w:val="18"/>
              </w:rPr>
              <w:t>PROJECT INPUT</w:t>
            </w:r>
          </w:p>
        </w:tc>
        <w:tc>
          <w:tcPr>
            <w:tcW w:type="dxa" w:w="6364"/>
            <w:shd w:fill="09263D"/>
            <w:tcMar>
              <w:top w:w="110" w:type="dxa"/>
              <w:start w:w="140" w:type="dxa"/>
              <w:bottom w:w="110" w:type="dxa"/>
              <w:end w:w="140" w:type="dxa"/>
            </w:tcMar>
            <w:vAlign w:val="center"/>
          </w:tcPr>
          <w:p>
            <w:r>
              <w:rPr>
                <w:rFonts w:ascii="Arial" w:hAnsi="Arial"/>
                <w:b/>
                <w:color w:val="FFFFFF"/>
                <w:sz w:val="18"/>
              </w:rPr>
              <w:t>EXAMPLE OF REQUIRED DETAIL</w:t>
            </w:r>
          </w:p>
        </w:tc>
      </w:tr>
      <w:tr>
        <w:tc>
          <w:tcPr>
            <w:tcW w:type="dxa" w:w="2880"/>
            <w:tcMar>
              <w:top w:w="110" w:type="dxa"/>
              <w:start w:w="140" w:type="dxa"/>
              <w:bottom w:w="110" w:type="dxa"/>
              <w:end w:w="140" w:type="dxa"/>
            </w:tcMar>
            <w:vAlign w:val="center"/>
          </w:tcPr>
          <w:p>
            <w:pPr>
              <w:spacing w:after="0" w:line="259" w:lineRule="auto"/>
            </w:pPr>
            <w:r>
              <w:rPr>
                <w:rFonts w:ascii="Arial" w:hAnsi="Arial"/>
                <w:b/>
                <w:color w:val="0B1727"/>
                <w:sz w:val="17"/>
              </w:rPr>
              <w:t>Plant status</w:t>
            </w:r>
          </w:p>
        </w:tc>
        <w:tc>
          <w:tcPr>
            <w:tcW w:type="dxa" w:w="6364"/>
            <w:tcMar>
              <w:top w:w="110" w:type="dxa"/>
              <w:start w:w="140" w:type="dxa"/>
              <w:bottom w:w="110" w:type="dxa"/>
              <w:end w:w="140" w:type="dxa"/>
            </w:tcMar>
            <w:vAlign w:val="center"/>
          </w:tcPr>
          <w:p>
            <w:pPr>
              <w:spacing w:after="0" w:line="259" w:lineRule="auto"/>
            </w:pPr>
            <w:r>
              <w:rPr>
                <w:rFonts w:ascii="Arial" w:hAnsi="Arial"/>
                <w:b w:val="0"/>
                <w:color w:val="0B1727"/>
                <w:sz w:val="17"/>
              </w:rPr>
              <w:t>New plant, expansion or retrofit</w:t>
            </w:r>
          </w:p>
        </w:tc>
      </w:tr>
      <w:tr>
        <w:tc>
          <w:tcPr>
            <w:tcW w:type="dxa" w:w="2880"/>
            <w:tcMar>
              <w:top w:w="110" w:type="dxa"/>
              <w:start w:w="140" w:type="dxa"/>
              <w:bottom w:w="110" w:type="dxa"/>
              <w:end w:w="140" w:type="dxa"/>
            </w:tcMar>
            <w:shd w:fill="F5F7F8"/>
            <w:vAlign w:val="center"/>
          </w:tcPr>
          <w:p>
            <w:pPr>
              <w:spacing w:after="0" w:line="259" w:lineRule="auto"/>
            </w:pPr>
            <w:r>
              <w:rPr>
                <w:rFonts w:ascii="Arial" w:hAnsi="Arial"/>
                <w:b/>
                <w:color w:val="0B1727"/>
                <w:sz w:val="17"/>
              </w:rPr>
              <w:t>Location</w:t>
            </w:r>
          </w:p>
        </w:tc>
        <w:tc>
          <w:tcPr>
            <w:tcW w:type="dxa" w:w="636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Project city/state and relevant site conditions</w:t>
            </w:r>
          </w:p>
        </w:tc>
      </w:tr>
      <w:tr>
        <w:tc>
          <w:tcPr>
            <w:tcW w:type="dxa" w:w="2880"/>
            <w:tcMar>
              <w:top w:w="110" w:type="dxa"/>
              <w:start w:w="140" w:type="dxa"/>
              <w:bottom w:w="110" w:type="dxa"/>
              <w:end w:w="140" w:type="dxa"/>
            </w:tcMar>
            <w:vAlign w:val="center"/>
          </w:tcPr>
          <w:p>
            <w:pPr>
              <w:spacing w:after="0" w:line="259" w:lineRule="auto"/>
            </w:pPr>
            <w:r>
              <w:rPr>
                <w:rFonts w:ascii="Arial" w:hAnsi="Arial"/>
                <w:b/>
                <w:color w:val="0B1727"/>
                <w:sz w:val="17"/>
              </w:rPr>
              <w:t>Target capacity</w:t>
            </w:r>
          </w:p>
        </w:tc>
        <w:tc>
          <w:tcPr>
            <w:tcW w:type="dxa" w:w="6364"/>
            <w:tcMar>
              <w:top w:w="110" w:type="dxa"/>
              <w:start w:w="140" w:type="dxa"/>
              <w:bottom w:w="110" w:type="dxa"/>
              <w:end w:w="140" w:type="dxa"/>
            </w:tcMar>
            <w:vAlign w:val="center"/>
          </w:tcPr>
          <w:p>
            <w:pPr>
              <w:spacing w:after="0" w:line="259" w:lineRule="auto"/>
            </w:pPr>
            <w:r>
              <w:rPr>
                <w:rFonts w:ascii="Arial" w:hAnsi="Arial"/>
                <w:b w:val="0"/>
                <w:color w:val="0B1727"/>
                <w:sz w:val="17"/>
              </w:rPr>
              <w:t>Required net output and planned operating days/hours</w:t>
            </w:r>
          </w:p>
        </w:tc>
      </w:tr>
      <w:tr>
        <w:tc>
          <w:tcPr>
            <w:tcW w:type="dxa" w:w="2880"/>
            <w:tcMar>
              <w:top w:w="110" w:type="dxa"/>
              <w:start w:w="140" w:type="dxa"/>
              <w:bottom w:w="110" w:type="dxa"/>
              <w:end w:w="140" w:type="dxa"/>
            </w:tcMar>
            <w:shd w:fill="F5F7F8"/>
            <w:vAlign w:val="center"/>
          </w:tcPr>
          <w:p>
            <w:pPr>
              <w:spacing w:after="0" w:line="259" w:lineRule="auto"/>
            </w:pPr>
            <w:r>
              <w:rPr>
                <w:rFonts w:ascii="Arial" w:hAnsi="Arial"/>
                <w:b/>
                <w:color w:val="0B1727"/>
                <w:sz w:val="17"/>
              </w:rPr>
              <w:t>Mould/cake size</w:t>
            </w:r>
          </w:p>
        </w:tc>
        <w:tc>
          <w:tcPr>
            <w:tcW w:type="dxa" w:w="636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Dimensions and usable volume, if already selected</w:t>
            </w:r>
          </w:p>
        </w:tc>
      </w:tr>
      <w:tr>
        <w:tc>
          <w:tcPr>
            <w:tcW w:type="dxa" w:w="2880"/>
            <w:tcMar>
              <w:top w:w="110" w:type="dxa"/>
              <w:start w:w="140" w:type="dxa"/>
              <w:bottom w:w="110" w:type="dxa"/>
              <w:end w:w="140" w:type="dxa"/>
            </w:tcMar>
            <w:vAlign w:val="center"/>
          </w:tcPr>
          <w:p>
            <w:pPr>
              <w:spacing w:after="0" w:line="259" w:lineRule="auto"/>
            </w:pPr>
            <w:r>
              <w:rPr>
                <w:rFonts w:ascii="Arial" w:hAnsi="Arial"/>
                <w:b/>
                <w:color w:val="0B1727"/>
                <w:sz w:val="17"/>
              </w:rPr>
              <w:t>Raw-material route</w:t>
            </w:r>
          </w:p>
        </w:tc>
        <w:tc>
          <w:tcPr>
            <w:tcW w:type="dxa" w:w="6364"/>
            <w:tcMar>
              <w:top w:w="110" w:type="dxa"/>
              <w:start w:w="140" w:type="dxa"/>
              <w:bottom w:w="110" w:type="dxa"/>
              <w:end w:w="140" w:type="dxa"/>
            </w:tcMar>
            <w:vAlign w:val="center"/>
          </w:tcPr>
          <w:p>
            <w:pPr>
              <w:spacing w:after="0" w:line="259" w:lineRule="auto"/>
            </w:pPr>
            <w:r>
              <w:rPr>
                <w:rFonts w:ascii="Arial" w:hAnsi="Arial"/>
                <w:b w:val="0"/>
                <w:color w:val="0B1727"/>
                <w:sz w:val="17"/>
              </w:rPr>
              <w:t>Fly ash, pond ash, sand or other approved combination</w:t>
            </w:r>
          </w:p>
        </w:tc>
      </w:tr>
      <w:tr>
        <w:tc>
          <w:tcPr>
            <w:tcW w:type="dxa" w:w="2880"/>
            <w:tcMar>
              <w:top w:w="110" w:type="dxa"/>
              <w:start w:w="140" w:type="dxa"/>
              <w:bottom w:w="110" w:type="dxa"/>
              <w:end w:w="140" w:type="dxa"/>
            </w:tcMar>
            <w:shd w:fill="F5F7F8"/>
            <w:vAlign w:val="center"/>
          </w:tcPr>
          <w:p>
            <w:pPr>
              <w:spacing w:after="0" w:line="259" w:lineRule="auto"/>
            </w:pPr>
            <w:r>
              <w:rPr>
                <w:rFonts w:ascii="Arial" w:hAnsi="Arial"/>
                <w:b/>
                <w:color w:val="0B1727"/>
                <w:sz w:val="17"/>
              </w:rPr>
              <w:t>Automation objective</w:t>
            </w:r>
          </w:p>
        </w:tc>
        <w:tc>
          <w:tcPr>
            <w:tcW w:type="dxa" w:w="636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Manual tasks to retain or automate</w:t>
            </w:r>
          </w:p>
        </w:tc>
      </w:tr>
      <w:tr>
        <w:tc>
          <w:tcPr>
            <w:tcW w:type="dxa" w:w="2880"/>
            <w:tcMar>
              <w:top w:w="110" w:type="dxa"/>
              <w:start w:w="140" w:type="dxa"/>
              <w:bottom w:w="110" w:type="dxa"/>
              <w:end w:w="140" w:type="dxa"/>
            </w:tcMar>
            <w:vAlign w:val="center"/>
          </w:tcPr>
          <w:p>
            <w:pPr>
              <w:spacing w:after="0" w:line="259" w:lineRule="auto"/>
            </w:pPr>
            <w:r>
              <w:rPr>
                <w:rFonts w:ascii="Arial" w:hAnsi="Arial"/>
                <w:b/>
                <w:color w:val="0B1727"/>
                <w:sz w:val="17"/>
              </w:rPr>
              <w:t>Layout</w:t>
            </w:r>
          </w:p>
        </w:tc>
        <w:tc>
          <w:tcPr>
            <w:tcW w:type="dxa" w:w="6364"/>
            <w:tcMar>
              <w:top w:w="110" w:type="dxa"/>
              <w:start w:w="140" w:type="dxa"/>
              <w:bottom w:w="110" w:type="dxa"/>
              <w:end w:w="140" w:type="dxa"/>
            </w:tcMar>
            <w:vAlign w:val="center"/>
          </w:tcPr>
          <w:p>
            <w:pPr>
              <w:spacing w:after="0" w:line="259" w:lineRule="auto"/>
            </w:pPr>
            <w:r>
              <w:rPr>
                <w:rFonts w:ascii="Arial" w:hAnsi="Arial"/>
                <w:b w:val="0"/>
                <w:color w:val="0B1727"/>
                <w:sz w:val="17"/>
              </w:rPr>
              <w:t>Available drawing, dimensions, tracks and expansion area</w:t>
            </w:r>
          </w:p>
        </w:tc>
      </w:tr>
      <w:tr>
        <w:tc>
          <w:tcPr>
            <w:tcW w:type="dxa" w:w="2880"/>
            <w:tcMar>
              <w:top w:w="110" w:type="dxa"/>
              <w:start w:w="140" w:type="dxa"/>
              <w:bottom w:w="110" w:type="dxa"/>
              <w:end w:w="140" w:type="dxa"/>
            </w:tcMar>
            <w:shd w:fill="F5F7F8"/>
            <w:vAlign w:val="center"/>
          </w:tcPr>
          <w:p>
            <w:pPr>
              <w:spacing w:after="0" w:line="259" w:lineRule="auto"/>
            </w:pPr>
            <w:r>
              <w:rPr>
                <w:rFonts w:ascii="Arial" w:hAnsi="Arial"/>
                <w:b/>
                <w:color w:val="0B1727"/>
                <w:sz w:val="17"/>
              </w:rPr>
              <w:t>Downstream equipment</w:t>
            </w:r>
          </w:p>
        </w:tc>
        <w:tc>
          <w:tcPr>
            <w:tcW w:type="dxa" w:w="6364"/>
            <w:tcMar>
              <w:top w:w="110" w:type="dxa"/>
              <w:start w:w="140" w:type="dxa"/>
              <w:bottom w:w="110" w:type="dxa"/>
              <w:end w:w="140" w:type="dxa"/>
            </w:tcMar>
            <w:shd w:fill="F5F7F8"/>
            <w:vAlign w:val="center"/>
          </w:tcPr>
          <w:p>
            <w:pPr>
              <w:spacing w:after="0" w:line="259" w:lineRule="auto"/>
            </w:pPr>
            <w:r>
              <w:rPr>
                <w:rFonts w:ascii="Arial" w:hAnsi="Arial"/>
                <w:b w:val="0"/>
                <w:color w:val="0B1727"/>
                <w:sz w:val="17"/>
              </w:rPr>
              <w:t>Cutting route, autoclaves, loading method and cycle plan</w:t>
            </w:r>
          </w:p>
        </w:tc>
      </w:tr>
      <w:tr>
        <w:tc>
          <w:tcPr>
            <w:tcW w:type="dxa" w:w="2880"/>
            <w:tcMar>
              <w:top w:w="110" w:type="dxa"/>
              <w:start w:w="140" w:type="dxa"/>
              <w:bottom w:w="110" w:type="dxa"/>
              <w:end w:w="140" w:type="dxa"/>
            </w:tcMar>
            <w:vAlign w:val="center"/>
          </w:tcPr>
          <w:p>
            <w:pPr>
              <w:spacing w:after="0" w:line="259" w:lineRule="auto"/>
            </w:pPr>
            <w:r>
              <w:rPr>
                <w:rFonts w:ascii="Arial" w:hAnsi="Arial"/>
                <w:b/>
                <w:color w:val="0B1727"/>
                <w:sz w:val="17"/>
              </w:rPr>
              <w:t>Existing-plant data</w:t>
            </w:r>
          </w:p>
        </w:tc>
        <w:tc>
          <w:tcPr>
            <w:tcW w:type="dxa" w:w="6364"/>
            <w:tcMar>
              <w:top w:w="110" w:type="dxa"/>
              <w:start w:w="140" w:type="dxa"/>
              <w:bottom w:w="110" w:type="dxa"/>
              <w:end w:w="140" w:type="dxa"/>
            </w:tcMar>
            <w:vAlign w:val="center"/>
          </w:tcPr>
          <w:p>
            <w:pPr>
              <w:spacing w:after="0" w:line="259" w:lineRule="auto"/>
            </w:pPr>
            <w:r>
              <w:rPr>
                <w:rFonts w:ascii="Arial" w:hAnsi="Arial"/>
                <w:b w:val="0"/>
                <w:color w:val="0B1727"/>
                <w:sz w:val="17"/>
              </w:rPr>
              <w:t>Current cycle, bottlenecks, equipment condition and production history</w:t>
            </w:r>
          </w:p>
        </w:tc>
      </w:tr>
    </w:tbl>
    <w:p>
      <w:pPr>
        <w:spacing w:after="20"/>
      </w:pPr>
    </w:p>
    <w:p>
      <w:pPr>
        <w:pStyle w:val="Heading1"/>
        <w:keepNext/>
      </w:pPr>
      <w:r>
        <w:rPr>
          <w:rFonts w:ascii="Arial" w:hAnsi="Arial"/>
          <w:b/>
          <w:color w:val="0C4F80"/>
          <w:sz w:val="34"/>
        </w:rPr>
        <w:t>Frequently Asked Questions</w:t>
      </w:r>
    </w:p>
    <w:p>
      <w:pPr>
        <w:pStyle w:val="Heading2"/>
        <w:keepNext/>
      </w:pPr>
      <w:r>
        <w:rPr>
          <w:rFonts w:ascii="Arial" w:hAnsi="Arial"/>
          <w:b/>
          <w:color w:val="0C4F80"/>
          <w:sz w:val="27"/>
        </w:rPr>
        <w:t>What is the purpose of precuring in an AAC plant?</w:t>
      </w:r>
    </w:p>
    <w:p>
      <w:pPr>
        <w:keepLines w:val="0"/>
        <w:spacing w:before="0" w:after="140" w:line="283" w:lineRule="auto"/>
      </w:pPr>
      <w:r>
        <w:rPr>
          <w:rFonts w:ascii="Arial" w:hAnsi="Arial"/>
          <w:b w:val="0"/>
          <w:i w:val="0"/>
          <w:color w:val="0B1727"/>
          <w:sz w:val="21"/>
        </w:rPr>
        <w:t>Precuring allows the poured AAC mix to rise and develop sufficient green strength for the selected demoulding and wire-cutting process.</w:t>
      </w:r>
    </w:p>
    <w:p>
      <w:pPr>
        <w:pStyle w:val="Heading2"/>
        <w:keepNext/>
      </w:pPr>
      <w:r>
        <w:rPr>
          <w:rFonts w:ascii="Arial" w:hAnsi="Arial"/>
          <w:b/>
          <w:color w:val="0C4F80"/>
          <w:sz w:val="27"/>
        </w:rPr>
        <w:t>How long does AAC precuring take?</w:t>
      </w:r>
    </w:p>
    <w:p>
      <w:pPr>
        <w:keepLines w:val="0"/>
        <w:spacing w:before="0" w:after="140" w:line="283" w:lineRule="auto"/>
      </w:pPr>
      <w:r>
        <w:rPr>
          <w:rFonts w:ascii="Arial" w:hAnsi="Arial"/>
          <w:b w:val="0"/>
          <w:i w:val="0"/>
          <w:color w:val="0B1727"/>
          <w:sz w:val="21"/>
        </w:rPr>
        <w:t>Industry references often describe approximately two to three hours, but actual cutting readiness depends on the raw materials, recipe, temperatures, cake size and process-control method. It should not be treated as a universal fixed time.</w:t>
      </w:r>
    </w:p>
    <w:p>
      <w:pPr>
        <w:pStyle w:val="Heading2"/>
        <w:keepNext/>
      </w:pPr>
      <w:r>
        <w:rPr>
          <w:rFonts w:ascii="Arial" w:hAnsi="Arial"/>
          <w:b/>
          <w:color w:val="0C4F80"/>
          <w:sz w:val="27"/>
        </w:rPr>
        <w:t>What temperature should an AAC precuring room maintain?</w:t>
      </w:r>
    </w:p>
    <w:p>
      <w:pPr>
        <w:keepLines w:val="0"/>
        <w:spacing w:before="0" w:after="140" w:line="283" w:lineRule="auto"/>
      </w:pPr>
      <w:r>
        <w:rPr>
          <w:rFonts w:ascii="Arial" w:hAnsi="Arial"/>
          <w:b w:val="0"/>
          <w:i w:val="0"/>
          <w:color w:val="0B1727"/>
          <w:sz w:val="21"/>
        </w:rPr>
        <w:t>There is no universal setpoint suitable for every plant. The design range and measurement point should be established from the raw-material system, mix behaviour, enclosure and validated production trials.</w:t>
      </w:r>
    </w:p>
    <w:p>
      <w:pPr>
        <w:pStyle w:val="Heading2"/>
        <w:keepNext/>
      </w:pPr>
      <w:r>
        <w:rPr>
          <w:rFonts w:ascii="Arial" w:hAnsi="Arial"/>
          <w:b/>
          <w:color w:val="0C4F80"/>
          <w:sz w:val="27"/>
        </w:rPr>
        <w:t>How is the number of AAC moulds calculated?</w:t>
      </w:r>
    </w:p>
    <w:p>
      <w:pPr>
        <w:keepLines w:val="0"/>
        <w:spacing w:before="0" w:after="140" w:line="283" w:lineRule="auto"/>
      </w:pPr>
      <w:r>
        <w:rPr>
          <w:rFonts w:ascii="Arial" w:hAnsi="Arial"/>
          <w:b w:val="0"/>
          <w:i w:val="0"/>
          <w:color w:val="0B1727"/>
          <w:sz w:val="21"/>
        </w:rPr>
        <w:t>The preliminary quantity is based on total mould-cycle time divided by planned pouring interval, then checked against physical positions, operating allowance, maintenance and standby requirements.</w:t>
      </w:r>
    </w:p>
    <w:p>
      <w:pPr>
        <w:pStyle w:val="Heading2"/>
        <w:keepNext/>
      </w:pPr>
      <w:r>
        <w:rPr>
          <w:rFonts w:ascii="Arial" w:hAnsi="Arial"/>
          <w:b/>
          <w:color w:val="0C4F80"/>
          <w:sz w:val="27"/>
        </w:rPr>
        <w:t>Why are more side plates than moulds often required?</w:t>
      </w:r>
    </w:p>
    <w:p>
      <w:pPr>
        <w:keepLines w:val="0"/>
        <w:spacing w:before="0" w:after="140" w:line="283" w:lineRule="auto"/>
      </w:pPr>
      <w:r>
        <w:rPr>
          <w:rFonts w:ascii="Arial" w:hAnsi="Arial"/>
          <w:b w:val="0"/>
          <w:i w:val="0"/>
          <w:color w:val="0B1727"/>
          <w:sz w:val="21"/>
        </w:rPr>
        <w:t>The mould can return after demoulding, while the side plate may remain occupied through cutting, autoclaving and return. Its circulation is therefore normally longer and must be calculated separately.</w:t>
      </w:r>
    </w:p>
    <w:p>
      <w:pPr>
        <w:pStyle w:val="Heading2"/>
        <w:keepNext/>
      </w:pPr>
      <w:r>
        <w:rPr>
          <w:rFonts w:ascii="Arial" w:hAnsi="Arial"/>
          <w:b/>
          <w:color w:val="0C4F80"/>
          <w:sz w:val="27"/>
        </w:rPr>
        <w:t>Can mould handling be automated?</w:t>
      </w:r>
    </w:p>
    <w:p>
      <w:pPr>
        <w:keepLines w:val="0"/>
        <w:spacing w:before="0" w:after="140" w:line="283" w:lineRule="auto"/>
      </w:pPr>
      <w:r>
        <w:rPr>
          <w:rFonts w:ascii="Arial" w:hAnsi="Arial"/>
          <w:b w:val="0"/>
          <w:i w:val="0"/>
          <w:color w:val="0B1727"/>
          <w:sz w:val="21"/>
        </w:rPr>
        <w:t>Yes. Movement and positioning can be manual, selectively powered or interlinked through drives, sensors and control logic. The exact meaning of automation must be defined in the supply scope.</w:t>
      </w:r>
    </w:p>
    <w:p>
      <w:pPr>
        <w:pStyle w:val="Heading2"/>
        <w:keepNext/>
      </w:pPr>
      <w:r>
        <w:rPr>
          <w:rFonts w:ascii="Arial" w:hAnsi="Arial"/>
          <w:b/>
          <w:color w:val="0C4F80"/>
          <w:sz w:val="27"/>
        </w:rPr>
        <w:t>Can waste heat be used for precuring?</w:t>
      </w:r>
    </w:p>
    <w:p>
      <w:pPr>
        <w:keepLines w:val="0"/>
        <w:spacing w:before="0" w:after="140" w:line="283" w:lineRule="auto"/>
      </w:pPr>
      <w:r>
        <w:rPr>
          <w:rFonts w:ascii="Arial" w:hAnsi="Arial"/>
          <w:b w:val="0"/>
          <w:i w:val="0"/>
          <w:color w:val="0B1727"/>
          <w:sz w:val="21"/>
        </w:rPr>
        <w:t>Potentially, subject to a properly engineered heat-exchange system, available heat balance, condensate handling, controls and safety review.</w:t>
      </w:r>
    </w:p>
    <w:p>
      <w:pPr>
        <w:pStyle w:val="Heading2"/>
        <w:keepNext/>
      </w:pPr>
      <w:r>
        <w:rPr>
          <w:rFonts w:ascii="Arial" w:hAnsi="Arial"/>
          <w:b/>
          <w:color w:val="0C4F80"/>
          <w:sz w:val="27"/>
        </w:rPr>
        <w:t>Can an existing AAC mould-handling system be upgraded?</w:t>
      </w:r>
    </w:p>
    <w:p>
      <w:pPr>
        <w:keepLines w:val="0"/>
        <w:spacing w:before="0" w:after="140" w:line="283" w:lineRule="auto"/>
      </w:pPr>
      <w:r>
        <w:rPr>
          <w:rFonts w:ascii="Arial" w:hAnsi="Arial"/>
          <w:b w:val="0"/>
          <w:i w:val="0"/>
          <w:color w:val="0B1727"/>
          <w:sz w:val="21"/>
        </w:rPr>
        <w:t>A retrofit may be possible after reviewing track condition, layout, mould interfaces, production sequence, controls, civil constraints and the required capacity improvement.</w:t>
      </w:r>
    </w:p>
    <w:p>
      <w:pPr>
        <w:pStyle w:val="Heading2"/>
        <w:keepNext/>
      </w:pPr>
      <w:r>
        <w:rPr>
          <w:rFonts w:ascii="Arial" w:hAnsi="Arial"/>
          <w:b/>
          <w:color w:val="0C4F80"/>
          <w:sz w:val="27"/>
        </w:rPr>
        <w:t>What can restrict mould-handling performance?</w:t>
      </w:r>
    </w:p>
    <w:p>
      <w:pPr>
        <w:keepLines w:val="0"/>
        <w:spacing w:before="0" w:after="140" w:line="283" w:lineRule="auto"/>
      </w:pPr>
      <w:r>
        <w:rPr>
          <w:rFonts w:ascii="Arial" w:hAnsi="Arial"/>
          <w:b w:val="0"/>
          <w:i w:val="0"/>
          <w:color w:val="0B1727"/>
          <w:sz w:val="21"/>
        </w:rPr>
        <w:t>Common constraints include insufficient precuring positions, slow or unreliable transfers, poor rail alignment, side-plate shortage, manual coordination gaps, inadequate interlocks and an unbalanced cutting or autoclave schedule.</w:t>
      </w:r>
    </w:p>
    <w:p>
      <w:pPr>
        <w:pStyle w:val="Heading1"/>
        <w:keepNext/>
      </w:pPr>
      <w:r>
        <w:rPr>
          <w:rFonts w:ascii="Arial" w:hAnsi="Arial"/>
          <w:b/>
          <w:color w:val="0C4F80"/>
          <w:sz w:val="34"/>
        </w:rPr>
        <w:t>Plan the Complete Mould and Side-Plate Cycle</w:t>
      </w:r>
    </w:p>
    <w:tbl>
      <w:tblPr>
        <w:tblW w:type="dxa" w:w="9244"/>
        <w:jc w:val="left"/>
        <w:tblLayout w:type="fixed"/>
        <w:tblLook w:firstColumn="1" w:firstRow="1" w:lastColumn="0" w:lastRow="0" w:noHBand="0" w:noVBand="1" w:val="04A0"/>
      </w:tblPr>
      <w:tblGrid>
        <w:gridCol w:w="9244"/>
      </w:tblGrid>
      <w:tr>
        <w:trPr>
          <w:tblHeader w:val="true"/>
        </w:trPr>
        <w:tc>
          <w:tcPr>
            <w:tcW w:type="dxa" w:w="9244"/>
            <w:shd w:fill="EEF2F5"/>
            <w:tcMar>
              <w:top w:w="150" w:type="dxa"/>
              <w:start w:w="180" w:type="dxa"/>
              <w:bottom w:w="150" w:type="dxa"/>
              <w:end w:w="180" w:type="dxa"/>
            </w:tcMar>
          </w:tcPr>
          <w:p>
            <w:pPr>
              <w:spacing w:after="60"/>
            </w:pPr>
            <w:r>
              <w:rPr>
                <w:rFonts w:ascii="Arial" w:hAnsi="Arial"/>
                <w:b/>
                <w:color w:val="0C4F80"/>
                <w:sz w:val="18"/>
              </w:rPr>
              <w:t>PRIMARY CALL TO ACTION</w:t>
            </w:r>
          </w:p>
          <w:p>
            <w:pPr>
              <w:spacing w:after="0" w:line="276" w:lineRule="auto"/>
            </w:pPr>
            <w:r>
              <w:rPr>
                <w:rFonts w:ascii="Arial" w:hAnsi="Arial"/>
                <w:b/>
                <w:color w:val="0B1727"/>
                <w:sz w:val="22"/>
              </w:rPr>
              <w:t>Request a Mould-Cycle &amp; Circulation Review</w:t>
            </w:r>
          </w:p>
        </w:tc>
      </w:tr>
    </w:tbl>
    <w:p>
      <w:pPr>
        <w:spacing w:after="20"/>
      </w:pPr>
    </w:p>
    <w:p>
      <w:pPr>
        <w:keepLines w:val="0"/>
        <w:spacing w:before="0" w:after="140" w:line="283" w:lineRule="auto"/>
      </w:pPr>
      <w:r>
        <w:rPr>
          <w:rFonts w:ascii="Arial" w:hAnsi="Arial"/>
          <w:b w:val="0"/>
          <w:i w:val="0"/>
          <w:color w:val="0B1727"/>
          <w:sz w:val="21"/>
        </w:rPr>
        <w:t>Share your target capacity, mould size, planned operating hours and available layout. Laxmi En-Fab can review the mould, side-plate, ferry-cart, precuring and automation requirements for technical discussion and proposal preparation.</w:t>
      </w:r>
    </w:p>
    <w:p>
      <w:pPr>
        <w:keepLines w:val="0"/>
        <w:spacing w:before="0" w:after="140" w:line="283" w:lineRule="auto"/>
      </w:pPr>
      <w:r>
        <w:rPr>
          <w:rFonts w:ascii="Arial" w:hAnsi="Arial"/>
          <w:b/>
          <w:color w:val="0B1727"/>
          <w:sz w:val="21"/>
        </w:rPr>
        <w:t>Recommended button:</w:t>
      </w:r>
      <w:r>
        <w:rPr>
          <w:rFonts w:ascii="Arial" w:hAnsi="Arial"/>
          <w:b w:val="0"/>
          <w:i w:val="0"/>
          <w:color w:val="0B1727"/>
          <w:sz w:val="21"/>
        </w:rPr>
        <w:t xml:space="preserve"> Request a Cycle Review</w:t>
      </w:r>
    </w:p>
    <w:p>
      <w:pPr>
        <w:keepLines w:val="0"/>
        <w:spacing w:before="0" w:after="140" w:line="283" w:lineRule="auto"/>
      </w:pPr>
      <w:r>
        <w:rPr>
          <w:rFonts w:ascii="Arial" w:hAnsi="Arial"/>
          <w:b/>
          <w:color w:val="0B1727"/>
          <w:sz w:val="21"/>
        </w:rPr>
        <w:t>Secondary action:</w:t>
      </w:r>
      <w:r>
        <w:rPr>
          <w:rFonts w:ascii="Arial" w:hAnsi="Arial"/>
          <w:b w:val="0"/>
          <w:i w:val="0"/>
          <w:color w:val="0B1727"/>
          <w:sz w:val="21"/>
        </w:rPr>
        <w:t xml:space="preserve"> Download the Mould-Cycle Input Checklist</w:t>
      </w:r>
    </w:p>
    <w:p>
      <w:pPr>
        <w:pStyle w:val="Heading2"/>
        <w:keepNext/>
      </w:pPr>
      <w:r>
        <w:rPr>
          <w:rFonts w:ascii="Arial" w:hAnsi="Arial"/>
          <w:b/>
          <w:color w:val="0C4F80"/>
          <w:sz w:val="27"/>
        </w:rPr>
        <w:t>Suggested Internal Links</w:t>
      </w:r>
    </w:p>
    <w:p>
      <w:pPr>
        <w:pStyle w:val="ListBullet"/>
        <w:spacing w:after="60" w:line="274" w:lineRule="auto"/>
      </w:pPr>
      <w:r>
        <w:rPr>
          <w:rFonts w:ascii="Arial" w:hAnsi="Arial"/>
          <w:color w:val="0B1727"/>
          <w:sz w:val="20"/>
        </w:rPr>
        <w:t>AAC batching and pouring system</w:t>
      </w:r>
    </w:p>
    <w:p>
      <w:pPr>
        <w:pStyle w:val="ListBullet"/>
        <w:spacing w:after="60" w:line="274" w:lineRule="auto"/>
      </w:pPr>
      <w:r>
        <w:rPr>
          <w:rFonts w:ascii="Arial" w:hAnsi="Arial"/>
          <w:color w:val="0B1727"/>
          <w:sz w:val="20"/>
        </w:rPr>
        <w:t>AAC cutting system</w:t>
      </w:r>
    </w:p>
    <w:p>
      <w:pPr>
        <w:pStyle w:val="ListBullet"/>
        <w:spacing w:after="60" w:line="274" w:lineRule="auto"/>
      </w:pPr>
      <w:r>
        <w:rPr>
          <w:rFonts w:ascii="Arial" w:hAnsi="Arial"/>
          <w:color w:val="0B1727"/>
          <w:sz w:val="20"/>
        </w:rPr>
        <w:t>AAC autoclave and steam cycle</w:t>
      </w:r>
    </w:p>
    <w:p>
      <w:pPr>
        <w:pStyle w:val="ListBullet"/>
        <w:spacing w:after="60" w:line="274" w:lineRule="auto"/>
      </w:pPr>
      <w:r>
        <w:rPr>
          <w:rFonts w:ascii="Arial" w:hAnsi="Arial"/>
          <w:color w:val="0B1727"/>
          <w:sz w:val="20"/>
        </w:rPr>
        <w:t>AAC plant capacity selection</w:t>
      </w:r>
    </w:p>
    <w:p>
      <w:pPr>
        <w:pStyle w:val="ListBullet"/>
        <w:spacing w:after="60" w:line="274" w:lineRule="auto"/>
      </w:pPr>
      <w:r>
        <w:rPr>
          <w:rFonts w:ascii="Arial" w:hAnsi="Arial"/>
          <w:color w:val="0B1727"/>
          <w:sz w:val="20"/>
        </w:rPr>
        <w:t>AAC plant layout planning</w:t>
      </w:r>
    </w:p>
    <w:p>
      <w:pPr>
        <w:pStyle w:val="ListBullet"/>
        <w:spacing w:after="60" w:line="274" w:lineRule="auto"/>
      </w:pPr>
      <w:r>
        <w:rPr>
          <w:rFonts w:ascii="Arial" w:hAnsi="Arial"/>
          <w:color w:val="0B1727"/>
          <w:sz w:val="20"/>
        </w:rPr>
        <w:t>AAC plant automation levels</w:t>
      </w:r>
    </w:p>
    <w:p>
      <w:pPr>
        <w:pStyle w:val="ListBullet"/>
        <w:spacing w:after="60" w:line="274" w:lineRule="auto"/>
      </w:pPr>
      <w:r>
        <w:rPr>
          <w:rFonts w:ascii="Arial" w:hAnsi="Arial"/>
          <w:color w:val="0B1727"/>
          <w:sz w:val="20"/>
        </w:rPr>
        <w:t>AAC plant expansion and retrofit</w:t>
      </w:r>
    </w:p>
    <w:p>
      <w:pPr>
        <w:pStyle w:val="Heading2"/>
        <w:keepNext/>
      </w:pPr>
      <w:r>
        <w:rPr>
          <w:rFonts w:ascii="Arial" w:hAnsi="Arial"/>
          <w:b/>
          <w:color w:val="0C4F80"/>
          <w:sz w:val="27"/>
        </w:rPr>
        <w:t>Technical Note and Source Context</w:t>
      </w:r>
    </w:p>
    <w:p>
      <w:pPr>
        <w:keepLines w:val="0"/>
        <w:spacing w:before="0" w:after="140" w:line="283" w:lineRule="auto"/>
      </w:pPr>
      <w:r>
        <w:rPr>
          <w:rFonts w:ascii="Arial" w:hAnsi="Arial"/>
          <w:b w:val="0"/>
          <w:i w:val="0"/>
          <w:color w:val="0B1727"/>
          <w:sz w:val="21"/>
        </w:rPr>
        <w:t>All final equipment quantities, process conditions, utility requirements and performance commitments must be based on approved project engineering. The commonly cited two-to-three-hour precuring range is supported by established AAC process references, including HESS AAC Systems, but is presented here only as a general reference—not a guaranteed plant value.</w:t>
      </w:r>
    </w:p>
    <w:p>
      <w:pPr>
        <w:keepLines w:val="0"/>
        <w:spacing w:before="0" w:after="140" w:line="283" w:lineRule="auto"/>
      </w:pPr>
      <w:r>
        <w:rPr>
          <w:rFonts w:ascii="Arial" w:hAnsi="Arial"/>
          <w:b w:val="0"/>
          <w:i w:val="0"/>
          <w:color w:val="0B1727"/>
          <w:sz w:val="21"/>
        </w:rPr>
        <w:t>IS 2185 (Part 3):1984 addresses autoclaved cellular aerated concrete blocks in India. It is relevant to finished-product requirements but should not be represented as a machinery-design standard for mould handling.</w:t>
      </w:r>
    </w:p>
    <w:p>
      <w:pPr>
        <w:keepLines w:val="0"/>
        <w:spacing w:before="0" w:after="140" w:line="283" w:lineRule="auto"/>
      </w:pPr>
      <w:r>
        <w:rPr>
          <w:rFonts w:ascii="Arial" w:hAnsi="Arial"/>
          <w:b w:val="0"/>
          <w:i/>
          <w:color w:val="0B1727"/>
          <w:sz w:val="21"/>
        </w:rPr>
        <w:t>Recommended visible technical reviewer fields: Name • Designation • Review date • Last updated date</w:t>
      </w:r>
    </w:p>
    <w:sectPr w:rsidR="00FC693F" w:rsidRPr="0006063C" w:rsidSect="00034616">
      <w:headerReference w:type="default" r:id="rId9"/>
      <w:footerReference w:type="default" r:id="rId10"/>
      <w:pgSz w:w="12240" w:h="15840"/>
      <w:pgMar w:top="1080"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26273"/>
        <w:sz w:val="15"/>
      </w:rPr>
      <w:t>Publication-ready webpage copy  •  Technical values remain project-specific unless stated otherwise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273"/>
        <w:sz w:val="16"/>
      </w:rPr>
      <w:t>LAXMI EN-FAB PVT. LTD.  |  AAC PLANT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C4F8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C4F8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9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Mould Handling and Precuring System</dc:title>
  <dc:subject>Publication-ready technical webpage content for Laxmi En-Fab Pvt. Ltd.</dc:subject>
  <dc:creator>Laxmi En-Fab Pvt. Ltd.</dc:creator>
  <cp:keywords>AAC mould handling system, AAC precuring room, AAC mould cycle, AAC ferry cart, side plate quantity</cp:keywords>
  <dc:description>generated by python-docx</dc:description>
  <cp:lastModifiedBy/>
  <cp:revision>1</cp:revision>
  <dcterms:created xsi:type="dcterms:W3CDTF">2013-12-23T23:15:00Z</dcterms:created>
  <dcterms:modified xsi:type="dcterms:W3CDTF">2013-12-23T23:15:00Z</dcterms:modified>
  <cp:category/>
</cp:coreProperties>
</file>