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i w:val="0"/>
          <w:color w:val="0C4F80"/>
          <w:sz w:val="20"/>
        </w:rPr>
        <w:t>PUBLICATION-READY WEBSITE COPY</w:t>
      </w:r>
    </w:p>
    <w:p>
      <w:pPr>
        <w:pStyle w:val="Title"/>
      </w:pPr>
      <w:r>
        <w:rPr>
          <w:rFonts w:ascii="Arial" w:hAnsi="Arial"/>
          <w:b/>
          <w:i w:val="0"/>
          <w:color w:val="0B1727"/>
          <w:sz w:val="58"/>
        </w:rPr>
        <w:t>AAC Tilting Machine</w:t>
      </w:r>
    </w:p>
    <w:p>
      <w:pPr>
        <w:pStyle w:val="Subtitle"/>
      </w:pPr>
      <w:r>
        <w:rPr>
          <w:rFonts w:ascii="Arial" w:hAnsi="Arial"/>
          <w:b w:val="0"/>
          <w:i w:val="0"/>
          <w:color w:val="526273"/>
          <w:sz w:val="26"/>
        </w:rPr>
        <w:t>Mould tilting, demoulding and controlled green-cake handling for AAC production lines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EF2F5"/>
            <w:vAlign w:val="center"/>
          </w:tcPr>
          <w:p>
            <w:pPr>
              <w:spacing w:after="0" w:line="276" w:lineRule="auto"/>
            </w:pPr>
            <w:r>
              <w:rPr>
                <w:rFonts w:ascii="Arial" w:hAnsi="Arial"/>
                <w:b/>
                <w:i w:val="0"/>
                <w:color w:val="0C4F80"/>
                <w:sz w:val="21"/>
              </w:rPr>
              <w:t xml:space="preserve">Editorial position  </w:t>
            </w:r>
            <w:r>
              <w:rPr>
                <w:rFonts w:ascii="Arial" w:hAnsi="Arial"/>
                <w:b w:val="0"/>
                <w:i w:val="0"/>
                <w:color w:val="0B1727"/>
                <w:sz w:val="21"/>
              </w:rPr>
              <w:t>Engineering-led product guidance for Indian AAC investors, plant teams, consultants and purchase departments. Unsupported project counts and performance claims have been excluded.</w:t>
            </w:r>
          </w:p>
        </w:tc>
      </w:tr>
    </w:tbl>
    <w:p>
      <w:pPr>
        <w:spacing w:after="20"/>
      </w:pPr>
    </w:p>
    <w:p>
      <w:pPr>
        <w:pStyle w:val="Heading1"/>
      </w:pPr>
      <w:r>
        <w:rPr>
          <w:rFonts w:ascii="Arial" w:hAnsi="Arial"/>
          <w:b w:val="0"/>
          <w:i w:val="0"/>
          <w:color w:val="0B1727"/>
          <w:sz w:val="21"/>
        </w:rPr>
        <w:t>SEO implementation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09263D"/>
            <w:tcMar>
              <w:top w:w="90" w:type="dxa"/>
              <w:start w:w="120" w:type="dxa"/>
              <w:bottom w:w="90" w:type="dxa"/>
              <w:end w:w="120" w:type="dxa"/>
            </w:tcMar>
          </w:tcPr>
          <w:p>
            <w:pPr>
              <w:spacing w:after="0"/>
            </w:pPr>
            <w:r>
              <w:rPr>
                <w:rFonts w:ascii="Arial" w:hAnsi="Arial"/>
                <w:b/>
                <w:i w:val="0"/>
                <w:color w:val="FFFFFF"/>
                <w:sz w:val="18"/>
              </w:rPr>
              <w:t>Element</w:t>
            </w:r>
          </w:p>
        </w:tc>
        <w:tc>
          <w:tcPr>
            <w:tcW w:type="dxa" w:w="7460"/>
            <w:shd w:fill="09263D"/>
            <w:tcMar>
              <w:top w:w="90" w:type="dxa"/>
              <w:start w:w="120" w:type="dxa"/>
              <w:bottom w:w="90" w:type="dxa"/>
              <w:end w:w="120" w:type="dxa"/>
            </w:tcMar>
          </w:tcPr>
          <w:p>
            <w:pPr>
              <w:spacing w:after="0"/>
            </w:pPr>
            <w:r>
              <w:rPr>
                <w:rFonts w:ascii="Arial" w:hAnsi="Arial"/>
                <w:b/>
                <w:i w:val="0"/>
                <w:color w:val="FFFFFF"/>
                <w:sz w:val="18"/>
              </w:rPr>
              <w:t>Recommended copy</w:t>
            </w:r>
          </w:p>
        </w:tc>
      </w:tr>
      <w:tr>
        <w:tc>
          <w:tcPr>
            <w:tcW w:type="dxa" w:w="1900"/>
            <w:vAlign w:val="top"/>
            <w:tcMar>
              <w:top w:w="90" w:type="dxa"/>
              <w:start w:w="120" w:type="dxa"/>
              <w:bottom w:w="90" w:type="dxa"/>
              <w:end w:w="120" w:type="dxa"/>
            </w:tcMar>
          </w:tcPr>
          <w:p>
            <w:pPr>
              <w:spacing w:after="0" w:line="264" w:lineRule="auto"/>
            </w:pPr>
            <w:r>
              <w:rPr>
                <w:rFonts w:ascii="Arial" w:hAnsi="Arial"/>
                <w:b w:val="0"/>
                <w:i w:val="0"/>
                <w:color w:val="0B1727"/>
                <w:sz w:val="18"/>
              </w:rPr>
              <w:t>SEO title</w:t>
            </w:r>
          </w:p>
        </w:tc>
        <w:tc>
          <w:tcPr>
            <w:tcW w:type="dxa" w:w="7460"/>
            <w:vAlign w:val="top"/>
            <w:tcMar>
              <w:top w:w="90" w:type="dxa"/>
              <w:start w:w="120" w:type="dxa"/>
              <w:bottom w:w="90" w:type="dxa"/>
              <w:end w:w="120" w:type="dxa"/>
            </w:tcMar>
          </w:tcPr>
          <w:p>
            <w:pPr>
              <w:spacing w:after="0" w:line="264" w:lineRule="auto"/>
            </w:pPr>
            <w:r>
              <w:rPr>
                <w:rFonts w:ascii="Arial" w:hAnsi="Arial"/>
                <w:b w:val="0"/>
                <w:i w:val="0"/>
                <w:color w:val="0B1727"/>
                <w:sz w:val="18"/>
              </w:rPr>
              <w:t>AAC Tilting Machine &amp; Mould Tilting Crane | Laxmi</w:t>
            </w:r>
          </w:p>
        </w:tc>
      </w:tr>
      <w:tr>
        <w:tc>
          <w:tcPr>
            <w:tcW w:type="dxa" w:w="19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Meta description</w:t>
            </w:r>
          </w:p>
        </w:tc>
        <w:tc>
          <w:tcPr>
            <w:tcW w:type="dxa" w:w="74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See how an AAC tilting machine handles mould demoulding and green cake transfer. Review selection factors, safety, maintenance and project scope.</w:t>
            </w:r>
          </w:p>
        </w:tc>
      </w:tr>
      <w:tr>
        <w:tc>
          <w:tcPr>
            <w:tcW w:type="dxa" w:w="1900"/>
            <w:vAlign w:val="top"/>
            <w:tcMar>
              <w:top w:w="90" w:type="dxa"/>
              <w:start w:w="120" w:type="dxa"/>
              <w:bottom w:w="90" w:type="dxa"/>
              <w:end w:w="120" w:type="dxa"/>
            </w:tcMar>
          </w:tcPr>
          <w:p>
            <w:pPr>
              <w:spacing w:after="0" w:line="264" w:lineRule="auto"/>
            </w:pPr>
            <w:r>
              <w:rPr>
                <w:rFonts w:ascii="Arial" w:hAnsi="Arial"/>
                <w:b w:val="0"/>
                <w:i w:val="0"/>
                <w:color w:val="0B1727"/>
                <w:sz w:val="18"/>
              </w:rPr>
              <w:t>Preferred URL</w:t>
            </w:r>
          </w:p>
        </w:tc>
        <w:tc>
          <w:tcPr>
            <w:tcW w:type="dxa" w:w="7460"/>
            <w:vAlign w:val="top"/>
            <w:tcMar>
              <w:top w:w="90" w:type="dxa"/>
              <w:start w:w="120" w:type="dxa"/>
              <w:bottom w:w="90" w:type="dxa"/>
              <w:end w:w="120" w:type="dxa"/>
            </w:tcMar>
          </w:tcPr>
          <w:p>
            <w:pPr>
              <w:spacing w:after="0" w:line="264" w:lineRule="auto"/>
            </w:pPr>
            <w:r>
              <w:rPr>
                <w:rFonts w:ascii="Arial" w:hAnsi="Arial"/>
                <w:b w:val="0"/>
                <w:i w:val="0"/>
                <w:color w:val="0B1727"/>
                <w:sz w:val="18"/>
              </w:rPr>
              <w:t>/aac-tilting-machine/ (subject to consolidation with the existing tilting-crane URL)</w:t>
            </w:r>
          </w:p>
        </w:tc>
      </w:tr>
      <w:tr>
        <w:tc>
          <w:tcPr>
            <w:tcW w:type="dxa" w:w="19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H1</w:t>
            </w:r>
          </w:p>
        </w:tc>
        <w:tc>
          <w:tcPr>
            <w:tcW w:type="dxa" w:w="74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AAC Tilting Machine for Mould and Green Cake Handling</w:t>
            </w:r>
          </w:p>
        </w:tc>
      </w:tr>
      <w:tr>
        <w:tc>
          <w:tcPr>
            <w:tcW w:type="dxa" w:w="1900"/>
            <w:vAlign w:val="top"/>
            <w:tcMar>
              <w:top w:w="90" w:type="dxa"/>
              <w:start w:w="120" w:type="dxa"/>
              <w:bottom w:w="90" w:type="dxa"/>
              <w:end w:w="120" w:type="dxa"/>
            </w:tcMar>
          </w:tcPr>
          <w:p>
            <w:pPr>
              <w:spacing w:after="0" w:line="264" w:lineRule="auto"/>
            </w:pPr>
            <w:r>
              <w:rPr>
                <w:rFonts w:ascii="Arial" w:hAnsi="Arial"/>
                <w:b w:val="0"/>
                <w:i w:val="0"/>
                <w:color w:val="0B1727"/>
                <w:sz w:val="18"/>
              </w:rPr>
              <w:t>Primary CTA</w:t>
            </w:r>
          </w:p>
        </w:tc>
        <w:tc>
          <w:tcPr>
            <w:tcW w:type="dxa" w:w="7460"/>
            <w:vAlign w:val="top"/>
            <w:tcMar>
              <w:top w:w="90" w:type="dxa"/>
              <w:start w:w="120" w:type="dxa"/>
              <w:bottom w:w="90" w:type="dxa"/>
              <w:end w:w="120" w:type="dxa"/>
            </w:tcMar>
          </w:tcPr>
          <w:p>
            <w:pPr>
              <w:spacing w:after="0" w:line="264" w:lineRule="auto"/>
            </w:pPr>
            <w:r>
              <w:rPr>
                <w:rFonts w:ascii="Arial" w:hAnsi="Arial"/>
                <w:b w:val="0"/>
                <w:i w:val="0"/>
                <w:color w:val="0B1727"/>
                <w:sz w:val="18"/>
              </w:rPr>
              <w:t>Request a Tilting-System Configuration Review</w:t>
            </w:r>
          </w:p>
        </w:tc>
      </w:tr>
      <w:tr>
        <w:tc>
          <w:tcPr>
            <w:tcW w:type="dxa" w:w="19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Secondary CTA</w:t>
            </w:r>
          </w:p>
        </w:tc>
        <w:tc>
          <w:tcPr>
            <w:tcW w:type="dxa" w:w="74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Watch a Complete Operating Cycle</w:t>
            </w:r>
          </w:p>
        </w:tc>
      </w:tr>
    </w:tbl>
    <w:p>
      <w:pPr>
        <w:spacing w:after="20"/>
      </w:pPr>
    </w:p>
    <w:p>
      <w:pPr>
        <w:pStyle w:val="Heading2"/>
      </w:pPr>
      <w:r>
        <w:rPr>
          <w:rFonts w:ascii="Arial" w:hAnsi="Arial"/>
          <w:b w:val="0"/>
          <w:i w:val="0"/>
          <w:color w:val="0B1727"/>
          <w:sz w:val="21"/>
        </w:rPr>
        <w:t>Important publishing control</w:t>
      </w:r>
    </w:p>
    <w:p>
      <w:pPr>
        <w:pStyle w:val="ListBullet"/>
      </w:pPr>
      <w:r>
        <w:rPr>
          <w:rFonts w:ascii="Arial" w:hAnsi="Arial"/>
          <w:b w:val="0"/>
          <w:i w:val="0"/>
          <w:color w:val="0B1727"/>
          <w:sz w:val="21"/>
        </w:rPr>
        <w:t>Do not publish a new URL before reviewing the existing /aac-tilting-crane.php page and selecting one canonical page.</w:t>
      </w:r>
    </w:p>
    <w:p>
      <w:pPr>
        <w:pStyle w:val="ListBullet"/>
      </w:pPr>
      <w:r>
        <w:rPr>
          <w:rFonts w:ascii="Arial" w:hAnsi="Arial"/>
          <w:b w:val="0"/>
          <w:i w:val="0"/>
          <w:color w:val="0B1727"/>
          <w:sz w:val="21"/>
        </w:rPr>
        <w:t>Do not restore any plant-count, cycle-time, savings, rejection-reduction or availability claim until it is verified and documented.</w:t>
      </w:r>
    </w:p>
    <w:p>
      <w:pPr>
        <w:pStyle w:val="ListBullet"/>
      </w:pPr>
      <w:r>
        <w:rPr>
          <w:rFonts w:ascii="Arial" w:hAnsi="Arial"/>
          <w:b w:val="0"/>
          <w:i w:val="0"/>
          <w:color w:val="0B1727"/>
          <w:sz w:val="21"/>
        </w:rPr>
        <w:t>Complete the technical verification fields at the end of this document before adding Laxmi-specific specifications.</w:t>
      </w:r>
    </w:p>
    <w:p>
      <w:r>
        <w:br w:type="page"/>
      </w:r>
    </w:p>
    <w:p>
      <w:pPr>
        <w:pStyle w:val="Heading1"/>
      </w:pPr>
      <w:r>
        <w:rPr>
          <w:rFonts w:ascii="Arial" w:hAnsi="Arial"/>
          <w:b w:val="0"/>
          <w:i w:val="0"/>
          <w:color w:val="0B1727"/>
          <w:sz w:val="21"/>
        </w:rPr>
        <w:t>AAC Tilting Machine for Mould and Green Cake Handling</w:t>
      </w:r>
    </w:p>
    <w:p>
      <w:r>
        <w:rPr>
          <w:rFonts w:ascii="Arial" w:hAnsi="Arial"/>
          <w:b w:val="0"/>
          <w:i w:val="0"/>
          <w:color w:val="0B1727"/>
          <w:sz w:val="21"/>
        </w:rPr>
        <w:t>An AAC tilting machine is a dedicated mould-handling and demoulding system used after pre-curing and before wire cutting. It lifts the loaded mould, tilts it into the required position, releases the mould body and presents the green AAC cake to the cutting system according to the plant’s configured production process.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EF2F5"/>
            <w:vAlign w:val="center"/>
          </w:tcPr>
          <w:p>
            <w:pPr>
              <w:spacing w:after="0" w:line="276" w:lineRule="auto"/>
            </w:pPr>
            <w:r>
              <w:rPr>
                <w:rFonts w:ascii="Arial" w:hAnsi="Arial"/>
                <w:b/>
                <w:i w:val="0"/>
                <w:color w:val="0C4F80"/>
                <w:sz w:val="21"/>
              </w:rPr>
              <w:t xml:space="preserve">The engineering principle  </w:t>
            </w:r>
            <w:r>
              <w:rPr>
                <w:rFonts w:ascii="Arial" w:hAnsi="Arial"/>
                <w:b w:val="0"/>
                <w:i w:val="0"/>
                <w:color w:val="0B1727"/>
                <w:sz w:val="21"/>
              </w:rPr>
              <w:t>An AAC tilting machine is not simply a lifting crane. It coordinates load handling, mould release, cake support and cutting-line transfer while the partially cured cake remains sensitive to shock, misalignment and uncontrolled movement.</w:t>
            </w:r>
          </w:p>
        </w:tc>
      </w:tr>
    </w:tbl>
    <w:p>
      <w:pPr>
        <w:spacing w:after="20"/>
      </w:pPr>
    </w:p>
    <w:p>
      <w:pPr>
        <w:pStyle w:val="Heading2"/>
      </w:pPr>
      <w:r>
        <w:rPr>
          <w:rFonts w:ascii="Arial" w:hAnsi="Arial"/>
          <w:b w:val="0"/>
          <w:i w:val="0"/>
          <w:color w:val="0B1727"/>
          <w:sz w:val="21"/>
        </w:rPr>
        <w:t>Where the tilting machine fits in AAC production</w:t>
      </w:r>
    </w:p>
    <w:p>
      <w:r>
        <w:rPr>
          <w:rFonts w:ascii="Arial" w:hAnsi="Arial"/>
          <w:b w:val="0"/>
          <w:i w:val="0"/>
          <w:color w:val="0B1727"/>
          <w:sz w:val="21"/>
        </w:rPr>
        <w:t>After casting, the AAC mix rises and develops sufficient green strength during pre-curing. When the cake reaches the required cutting condition, the loaded mould moves to the tilting and demoulding stage. The machine then separates the mould body from the cake and transfers the supported cake towards the cutting section.</w:t>
      </w:r>
    </w:p>
    <w:p>
      <w:r>
        <w:rPr>
          <w:rFonts w:ascii="Arial" w:hAnsi="Arial"/>
          <w:b w:val="0"/>
          <w:i w:val="0"/>
          <w:color w:val="0B1727"/>
          <w:sz w:val="21"/>
        </w:rPr>
        <w:t>The correct demoulding point depends on the AAC recipe, raw-material behaviour, temperature and process conditions. A fixed pre-curing time should therefore not be treated as a universal operating rule. Cake condition must be suitable for the specific cutting and handling process.</w:t>
      </w:r>
    </w:p>
    <w:p>
      <w:pPr>
        <w:pStyle w:val="Heading2"/>
      </w:pPr>
      <w:r>
        <w:rPr>
          <w:rFonts w:ascii="Arial" w:hAnsi="Arial"/>
          <w:b w:val="0"/>
          <w:i w:val="0"/>
          <w:color w:val="0B1727"/>
          <w:sz w:val="21"/>
        </w:rPr>
        <w:t>How AAC mould tilting and demoulding work</w:t>
      </w:r>
    </w:p>
    <w:p>
      <w:pPr>
        <w:pStyle w:val="ListNumber"/>
      </w:pPr>
      <w:r>
        <w:rPr>
          <w:rFonts w:ascii="Arial" w:hAnsi="Arial"/>
          <w:b w:val="0"/>
          <w:i w:val="0"/>
          <w:color w:val="0B1727"/>
          <w:sz w:val="21"/>
        </w:rPr>
        <w:t>Mould positioning. The loaded mould reaches the tilting station and is aligned for pickup.</w:t>
      </w:r>
    </w:p>
    <w:p>
      <w:pPr>
        <w:pStyle w:val="ListNumber"/>
      </w:pPr>
      <w:r>
        <w:rPr>
          <w:rFonts w:ascii="Arial" w:hAnsi="Arial"/>
          <w:b w:val="0"/>
          <w:i w:val="0"/>
          <w:color w:val="0B1727"/>
          <w:sz w:val="21"/>
        </w:rPr>
        <w:t>Secure engagement. The handling device engages with the mould at the designed lifting and locking points.</w:t>
      </w:r>
    </w:p>
    <w:p>
      <w:pPr>
        <w:pStyle w:val="ListNumber"/>
      </w:pPr>
      <w:r>
        <w:rPr>
          <w:rFonts w:ascii="Arial" w:hAnsi="Arial"/>
          <w:b w:val="0"/>
          <w:i w:val="0"/>
          <w:color w:val="0B1727"/>
          <w:sz w:val="21"/>
        </w:rPr>
        <w:t>Controlled tilting. The loaded mould is rotated gradually into the demoulding position. The offered configuration and final angle must match the plant’s cutting philosophy.</w:t>
      </w:r>
    </w:p>
    <w:p>
      <w:pPr>
        <w:pStyle w:val="ListNumber"/>
      </w:pPr>
      <w:r>
        <w:rPr>
          <w:rFonts w:ascii="Arial" w:hAnsi="Arial"/>
          <w:b w:val="0"/>
          <w:i w:val="0"/>
          <w:color w:val="0B1727"/>
          <w:sz w:val="21"/>
        </w:rPr>
        <w:t>Mould release. The locking arrangement is released only after the machine reaches the required position and the necessary sequence conditions are confirmed.</w:t>
      </w:r>
    </w:p>
    <w:p>
      <w:pPr>
        <w:pStyle w:val="ListNumber"/>
      </w:pPr>
      <w:r>
        <w:rPr>
          <w:rFonts w:ascii="Arial" w:hAnsi="Arial"/>
          <w:b w:val="0"/>
          <w:i w:val="0"/>
          <w:color w:val="0B1727"/>
          <w:sz w:val="21"/>
        </w:rPr>
        <w:t>Gentle separation. The mould body is removed without imposing avoidable shock or uneven force on the green cake.</w:t>
      </w:r>
    </w:p>
    <w:p>
      <w:pPr>
        <w:pStyle w:val="ListNumber"/>
      </w:pPr>
      <w:r>
        <w:rPr>
          <w:rFonts w:ascii="Arial" w:hAnsi="Arial"/>
          <w:b w:val="0"/>
          <w:i w:val="0"/>
          <w:color w:val="0B1727"/>
          <w:sz w:val="21"/>
        </w:rPr>
        <w:t>Supported transfer. The cake remains on or is transferred to the support required by the configured cutting system.</w:t>
      </w:r>
    </w:p>
    <w:p>
      <w:pPr>
        <w:pStyle w:val="ListNumber"/>
      </w:pPr>
      <w:r>
        <w:rPr>
          <w:rFonts w:ascii="Arial" w:hAnsi="Arial"/>
          <w:b w:val="0"/>
          <w:i w:val="0"/>
          <w:color w:val="0B1727"/>
          <w:sz w:val="21"/>
        </w:rPr>
        <w:t>Empty-mould return. The mould body and side plate are returned or recombined according to the plant’s mould-circulation arrangement.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5F7F8"/>
            <w:vAlign w:val="center"/>
          </w:tcPr>
          <w:p>
            <w:pPr>
              <w:spacing w:after="0" w:line="276" w:lineRule="auto"/>
            </w:pPr>
            <w:r>
              <w:rPr>
                <w:rFonts w:ascii="Arial" w:hAnsi="Arial"/>
                <w:b/>
                <w:i w:val="0"/>
                <w:color w:val="0C4F80"/>
                <w:sz w:val="21"/>
              </w:rPr>
              <w:t xml:space="preserve">Configuration note  </w:t>
            </w:r>
            <w:r>
              <w:rPr>
                <w:rFonts w:ascii="Arial" w:hAnsi="Arial"/>
                <w:b w:val="0"/>
                <w:i w:val="0"/>
                <w:color w:val="0B1727"/>
                <w:sz w:val="21"/>
              </w:rPr>
              <w:t>The detailed sequence varies between plant designs. The final published page should include a labelled diagram of Laxmi En-Fab’s actual offered configuration rather than treating every tilting system as identical.</w:t>
            </w:r>
          </w:p>
        </w:tc>
      </w:tr>
    </w:tbl>
    <w:p>
      <w:pPr>
        <w:spacing w:after="20"/>
      </w:pPr>
    </w:p>
    <w:p>
      <w:pPr>
        <w:pStyle w:val="Heading2"/>
      </w:pPr>
      <w:r>
        <w:rPr>
          <w:rFonts w:ascii="Arial" w:hAnsi="Arial"/>
          <w:b w:val="0"/>
          <w:i w:val="0"/>
          <w:color w:val="0B1727"/>
          <w:sz w:val="21"/>
        </w:rPr>
        <w:t>Why controlled movement matters</w:t>
      </w:r>
    </w:p>
    <w:p>
      <w:r>
        <w:rPr>
          <w:rFonts w:ascii="Arial" w:hAnsi="Arial"/>
          <w:b w:val="0"/>
          <w:i w:val="0"/>
          <w:color w:val="0B1727"/>
          <w:sz w:val="21"/>
        </w:rPr>
        <w:t>At the tilting stage, the AAC cake has developed enough green strength for demoulding and cutting, but it has not achieved finished-product strength. Sudden acceleration, harsh braking, poor alignment or uneven mould release can contribute to cracks, damaged edges, deformation or complete cake failure.</w:t>
      </w:r>
    </w:p>
    <w:p>
      <w:r>
        <w:rPr>
          <w:rFonts w:ascii="Arial" w:hAnsi="Arial"/>
          <w:b w:val="0"/>
          <w:i w:val="0"/>
          <w:color w:val="0B1727"/>
          <w:sz w:val="21"/>
        </w:rPr>
        <w:t>The machine should therefore control the complete motion sequence—not only the lifting load. Engineering attention is required at pickup, acceleration, deceleration, positioning, locking, unlocking and mould separation.</w:t>
      </w:r>
    </w:p>
    <w:p>
      <w:pPr>
        <w:pStyle w:val="Heading3"/>
      </w:pPr>
      <w:r>
        <w:rPr>
          <w:rFonts w:ascii="Arial" w:hAnsi="Arial"/>
          <w:b w:val="0"/>
          <w:i w:val="0"/>
          <w:color w:val="0B1727"/>
          <w:sz w:val="21"/>
        </w:rPr>
        <w:t>Cake damage is not always a machine problem</w:t>
      </w:r>
    </w:p>
    <w:p>
      <w:r>
        <w:rPr>
          <w:rFonts w:ascii="Arial" w:hAnsi="Arial"/>
          <w:b w:val="0"/>
          <w:i w:val="0"/>
          <w:color w:val="0B1727"/>
          <w:sz w:val="21"/>
        </w:rPr>
        <w:t>A technically responsible diagnosis must also consider cake hardness, mix behaviour, pre-curing condition, temperature, mould cleanliness, release oil, mould geometry, side-plate condition and cutting readiness. A tilting-machine supplier should separate machine-induced shock from process-related causes before recommending modifications.</w:t>
      </w:r>
    </w:p>
    <w:p>
      <w:pPr>
        <w:pStyle w:val="Heading2"/>
      </w:pPr>
      <w:r>
        <w:rPr>
          <w:rFonts w:ascii="Arial" w:hAnsi="Arial"/>
          <w:b w:val="0"/>
          <w:i w:val="0"/>
          <w:color w:val="0B1727"/>
          <w:sz w:val="21"/>
        </w:rPr>
        <w:t>What should be evaluated before selecting a machine?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09263D"/>
            <w:tcMar>
              <w:top w:w="90" w:type="dxa"/>
              <w:start w:w="120" w:type="dxa"/>
              <w:bottom w:w="90" w:type="dxa"/>
              <w:end w:w="120" w:type="dxa"/>
            </w:tcMar>
          </w:tcPr>
          <w:p>
            <w:pPr>
              <w:spacing w:after="0"/>
            </w:pPr>
            <w:r>
              <w:rPr>
                <w:rFonts w:ascii="Arial" w:hAnsi="Arial"/>
                <w:b/>
                <w:i w:val="0"/>
                <w:color w:val="FFFFFF"/>
                <w:sz w:val="18"/>
              </w:rPr>
              <w:t>Project input</w:t>
            </w:r>
          </w:p>
        </w:tc>
        <w:tc>
          <w:tcPr>
            <w:tcW w:type="dxa" w:w="6260"/>
            <w:shd w:fill="09263D"/>
            <w:tcMar>
              <w:top w:w="90" w:type="dxa"/>
              <w:start w:w="120" w:type="dxa"/>
              <w:bottom w:w="90" w:type="dxa"/>
              <w:end w:w="120" w:type="dxa"/>
            </w:tcMar>
          </w:tcPr>
          <w:p>
            <w:pPr>
              <w:spacing w:after="0"/>
            </w:pPr>
            <w:r>
              <w:rPr>
                <w:rFonts w:ascii="Arial" w:hAnsi="Arial"/>
                <w:b/>
                <w:i w:val="0"/>
                <w:color w:val="FFFFFF"/>
                <w:sz w:val="18"/>
              </w:rPr>
              <w:t>Why it matters</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Mould dimensions and type</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Defines gripping points, geometry, travel and interface design.</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Maximum loaded mould weight</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Forms the basis of design load and component selection.</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Target mould cycles per hour</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Helps determine whether the machine can support the required line rhythm.</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Cutting-system arrangement</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Determines cake orientation, support and transfer sequence.</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Mould and side-plate locking design</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Controls mechanical compatibility and release sequence.</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Building span, clear height and runway arrangement</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Affects machine geometry, structural loads and installation feasibility.</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Control and automation scope</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Defines operator actions, sequence logic, feedback and interlocks.</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New plant or retrofit</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Determines survey requirements and responsibility for existing interfaces.</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Maintenance access</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Influences inspection, lubrication, adjustment and component replacement.</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Future production plan</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Allows the design to consider realistic expansion requirements without overstating capacity.</w:t>
            </w:r>
          </w:p>
        </w:tc>
      </w:tr>
    </w:tbl>
    <w:p>
      <w:pPr>
        <w:spacing w:after="20"/>
      </w:pPr>
    </w:p>
    <w:p>
      <w:pPr>
        <w:pStyle w:val="Heading2"/>
      </w:pPr>
      <w:r>
        <w:rPr>
          <w:rFonts w:ascii="Arial" w:hAnsi="Arial"/>
          <w:b w:val="0"/>
          <w:i w:val="0"/>
          <w:color w:val="0B1727"/>
          <w:sz w:val="21"/>
        </w:rPr>
        <w:t>Technical specification must be project-specific</w:t>
      </w:r>
    </w:p>
    <w:p>
      <w:r>
        <w:rPr>
          <w:rFonts w:ascii="Arial" w:hAnsi="Arial"/>
          <w:b w:val="0"/>
          <w:i w:val="0"/>
          <w:color w:val="0B1727"/>
          <w:sz w:val="21"/>
        </w:rPr>
        <w:t>A meaningful AAC tilting-machine specification cannot be reduced to a generic lifting-capacity figure. The manufacturer should issue an offered-data sheet after reviewing the mould, loaded weight, cycle requirement, cutting interface, building arrangement and automation scope.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09263D"/>
            <w:tcMar>
              <w:top w:w="90" w:type="dxa"/>
              <w:start w:w="120" w:type="dxa"/>
              <w:bottom w:w="90" w:type="dxa"/>
              <w:end w:w="120" w:type="dxa"/>
            </w:tcMar>
          </w:tcPr>
          <w:p>
            <w:pPr>
              <w:spacing w:after="0"/>
            </w:pPr>
            <w:r>
              <w:rPr>
                <w:rFonts w:ascii="Arial" w:hAnsi="Arial"/>
                <w:b/>
                <w:i w:val="0"/>
                <w:color w:val="FFFFFF"/>
                <w:sz w:val="18"/>
              </w:rPr>
              <w:t>Specification to confirm</w:t>
            </w:r>
          </w:p>
        </w:tc>
        <w:tc>
          <w:tcPr>
            <w:tcW w:type="dxa" w:w="6260"/>
            <w:shd w:fill="09263D"/>
            <w:tcMar>
              <w:top w:w="90" w:type="dxa"/>
              <w:start w:w="120" w:type="dxa"/>
              <w:bottom w:w="90" w:type="dxa"/>
              <w:end w:w="120" w:type="dxa"/>
            </w:tcMar>
          </w:tcPr>
          <w:p>
            <w:pPr>
              <w:spacing w:after="0"/>
            </w:pPr>
            <w:r>
              <w:rPr>
                <w:rFonts w:ascii="Arial" w:hAnsi="Arial"/>
                <w:b/>
                <w:i w:val="0"/>
                <w:color w:val="FFFFFF"/>
                <w:sz w:val="18"/>
              </w:rPr>
              <w:t>What the proposal should state</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Machine configuration</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Crane, manipulator or other offered arrangement; travel and operating sequence.</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Design and rated load</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Basis, working load and test requirement.</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Compatible mould range</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Verified mould dimensions, lifting points and side-plate interface.</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Cycle definition</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Start point, end point, included movements and operating conditions.</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Drive arrangement</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Verified hoisting, travel, tilting and locking mechanisms.</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Control architecture</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Operating mode, sequence control, feedback devices and communication interfaces.</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Utilities</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Connected power and any hydraulic, pneumatic or other requirements.</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Installation interfaces</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Runway, civil/structural loads, clearances and client-scope provisions.</w:t>
            </w:r>
          </w:p>
        </w:tc>
      </w:tr>
      <w:tr>
        <w:tc>
          <w:tcPr>
            <w:tcW w:type="dxa" w:w="3100"/>
            <w:vAlign w:val="top"/>
            <w:tcMar>
              <w:top w:w="90" w:type="dxa"/>
              <w:start w:w="120" w:type="dxa"/>
              <w:bottom w:w="90" w:type="dxa"/>
              <w:end w:w="120" w:type="dxa"/>
            </w:tcMar>
          </w:tcPr>
          <w:p>
            <w:pPr>
              <w:spacing w:after="0" w:line="264" w:lineRule="auto"/>
            </w:pPr>
            <w:r>
              <w:rPr>
                <w:rFonts w:ascii="Arial" w:hAnsi="Arial"/>
                <w:b w:val="0"/>
                <w:i w:val="0"/>
                <w:color w:val="0B1727"/>
                <w:sz w:val="18"/>
              </w:rPr>
              <w:t>Testing</w:t>
            </w:r>
          </w:p>
        </w:tc>
        <w:tc>
          <w:tcPr>
            <w:tcW w:type="dxa" w:w="6260"/>
            <w:vAlign w:val="top"/>
            <w:tcMar>
              <w:top w:w="90" w:type="dxa"/>
              <w:start w:w="120" w:type="dxa"/>
              <w:bottom w:w="90" w:type="dxa"/>
              <w:end w:w="120" w:type="dxa"/>
            </w:tcMar>
          </w:tcPr>
          <w:p>
            <w:pPr>
              <w:spacing w:after="0" w:line="264" w:lineRule="auto"/>
            </w:pPr>
            <w:r>
              <w:rPr>
                <w:rFonts w:ascii="Arial" w:hAnsi="Arial"/>
                <w:b w:val="0"/>
                <w:i w:val="0"/>
                <w:color w:val="0B1727"/>
                <w:sz w:val="18"/>
              </w:rPr>
              <w:t>FAT, load test, functional checks and site acceptance requirements.</w:t>
            </w:r>
          </w:p>
        </w:tc>
      </w:tr>
      <w:tr>
        <w:tc>
          <w:tcPr>
            <w:tcW w:type="dxa" w:w="310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Documentation</w:t>
            </w:r>
          </w:p>
        </w:tc>
        <w:tc>
          <w:tcPr>
            <w:tcW w:type="dxa" w:w="626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GA drawing, manuals, spare-parts list, test reports and training scope.</w:t>
            </w:r>
          </w:p>
        </w:tc>
      </w:tr>
    </w:tbl>
    <w:p>
      <w:pPr>
        <w:spacing w:after="20"/>
      </w:pPr>
    </w:p>
    <w:p>
      <w:pPr>
        <w:pStyle w:val="Heading2"/>
      </w:pPr>
      <w:r>
        <w:rPr>
          <w:rFonts w:ascii="Arial" w:hAnsi="Arial"/>
          <w:b w:val="0"/>
          <w:i w:val="0"/>
          <w:color w:val="0B1727"/>
          <w:sz w:val="21"/>
        </w:rPr>
        <w:t>Controls, interlocks and safe fault recovery</w:t>
      </w:r>
    </w:p>
    <w:p>
      <w:r>
        <w:rPr>
          <w:rFonts w:ascii="Arial" w:hAnsi="Arial"/>
          <w:b w:val="0"/>
          <w:i w:val="0"/>
          <w:color w:val="0B1727"/>
          <w:sz w:val="21"/>
        </w:rPr>
        <w:t>Safety and process reliability depend on the machine’s complete control philosophy. The final equipment proposal should identify the interlocks that prevent movement or mould release in an incorrect position. It should also explain emergency stopping, controlled restart, power-failure response and safe manual recovery where applicable.</w:t>
      </w:r>
    </w:p>
    <w:p>
      <w:pPr>
        <w:pStyle w:val="ListBullet"/>
      </w:pPr>
      <w:r>
        <w:rPr>
          <w:rFonts w:ascii="Arial" w:hAnsi="Arial"/>
          <w:b w:val="0"/>
          <w:i w:val="0"/>
          <w:color w:val="0B1727"/>
          <w:sz w:val="21"/>
        </w:rPr>
        <w:t>Position confirmation before locking or unlocking</w:t>
      </w:r>
    </w:p>
    <w:p>
      <w:pPr>
        <w:pStyle w:val="ListBullet"/>
      </w:pPr>
      <w:r>
        <w:rPr>
          <w:rFonts w:ascii="Arial" w:hAnsi="Arial"/>
          <w:b w:val="0"/>
          <w:i w:val="0"/>
          <w:color w:val="0B1727"/>
          <w:sz w:val="21"/>
        </w:rPr>
        <w:t>Positive confirmation of engagement before lifting</w:t>
      </w:r>
    </w:p>
    <w:p>
      <w:pPr>
        <w:pStyle w:val="ListBullet"/>
      </w:pPr>
      <w:r>
        <w:rPr>
          <w:rFonts w:ascii="Arial" w:hAnsi="Arial"/>
          <w:b w:val="0"/>
          <w:i w:val="0"/>
          <w:color w:val="0B1727"/>
          <w:sz w:val="21"/>
        </w:rPr>
        <w:t>Travel and motion limits</w:t>
      </w:r>
    </w:p>
    <w:p>
      <w:pPr>
        <w:pStyle w:val="ListBullet"/>
      </w:pPr>
      <w:r>
        <w:rPr>
          <w:rFonts w:ascii="Arial" w:hAnsi="Arial"/>
          <w:b w:val="0"/>
          <w:i w:val="0"/>
          <w:color w:val="0B1727"/>
          <w:sz w:val="21"/>
        </w:rPr>
        <w:t>Overload and drive-protection logic</w:t>
      </w:r>
    </w:p>
    <w:p>
      <w:pPr>
        <w:pStyle w:val="ListBullet"/>
      </w:pPr>
      <w:r>
        <w:rPr>
          <w:rFonts w:ascii="Arial" w:hAnsi="Arial"/>
          <w:b w:val="0"/>
          <w:i w:val="0"/>
          <w:color w:val="0B1727"/>
          <w:sz w:val="21"/>
        </w:rPr>
        <w:t>Emergency-stop and controlled-restart sequence</w:t>
      </w:r>
    </w:p>
    <w:p>
      <w:pPr>
        <w:pStyle w:val="ListBullet"/>
      </w:pPr>
      <w:r>
        <w:rPr>
          <w:rFonts w:ascii="Arial" w:hAnsi="Arial"/>
          <w:b w:val="0"/>
          <w:i w:val="0"/>
          <w:color w:val="0B1727"/>
          <w:sz w:val="21"/>
        </w:rPr>
        <w:t>Prevention of conflicting simultaneous movements</w:t>
      </w:r>
    </w:p>
    <w:p>
      <w:pPr>
        <w:pStyle w:val="ListBullet"/>
      </w:pPr>
      <w:r>
        <w:rPr>
          <w:rFonts w:ascii="Arial" w:hAnsi="Arial"/>
          <w:b w:val="0"/>
          <w:i w:val="0"/>
          <w:color w:val="0B1727"/>
          <w:sz w:val="21"/>
        </w:rPr>
        <w:t>Alarm and fault indication for operators and maintenance personnel</w:t>
      </w:r>
    </w:p>
    <w:p>
      <w:r>
        <w:rPr>
          <w:rFonts w:ascii="Arial" w:hAnsi="Arial"/>
          <w:b w:val="0"/>
          <w:i/>
          <w:color w:val="526273"/>
          <w:sz w:val="21"/>
        </w:rPr>
        <w:t>The exact devices, logic and applicable design standards must be confirmed by Laxmi En-Fab’s engineering team for the offered machine.</w:t>
      </w:r>
    </w:p>
    <w:p>
      <w:pPr>
        <w:pStyle w:val="Heading2"/>
      </w:pPr>
      <w:r>
        <w:rPr>
          <w:rFonts w:ascii="Arial" w:hAnsi="Arial"/>
          <w:b w:val="0"/>
          <w:i w:val="0"/>
          <w:color w:val="0B1727"/>
          <w:sz w:val="21"/>
        </w:rPr>
        <w:t>What happens if the tilting machine stops?</w:t>
      </w:r>
    </w:p>
    <w:p>
      <w:r>
        <w:rPr>
          <w:rFonts w:ascii="Arial" w:hAnsi="Arial"/>
          <w:b w:val="0"/>
          <w:i w:val="0"/>
          <w:color w:val="0B1727"/>
          <w:sz w:val="21"/>
        </w:rPr>
        <w:t>A tilting-machine stoppage can interrupt the flow between pre-curing and cutting. The waiting cake continues to harden, so a prolonged delay may change cutting behaviour or make the cake unsuitable for normal wire cutting. The result depends on the recipe, cake condition, temperature, delay duration and cutting-system capability.</w:t>
      </w:r>
    </w:p>
    <w:p>
      <w:r>
        <w:rPr>
          <w:rFonts w:ascii="Arial" w:hAnsi="Arial"/>
          <w:b w:val="0"/>
          <w:i w:val="0"/>
          <w:color w:val="0B1727"/>
          <w:sz w:val="21"/>
        </w:rPr>
        <w:t>For this reason, fault recovery is part of production-risk management. The plant should define alarm response, maintenance ownership, safe recovery steps and the critical spare parts required to restore operation without unsafe improvisation.</w:t>
      </w:r>
    </w:p>
    <w:p>
      <w:pPr>
        <w:pStyle w:val="Heading2"/>
      </w:pPr>
      <w:r>
        <w:rPr>
          <w:rFonts w:ascii="Arial" w:hAnsi="Arial"/>
          <w:b w:val="0"/>
          <w:i w:val="0"/>
          <w:color w:val="0B1727"/>
          <w:sz w:val="21"/>
        </w:rPr>
        <w:t>Preventive maintenance priorities</w:t>
      </w:r>
    </w:p>
    <w:p>
      <w:r>
        <w:rPr>
          <w:rFonts w:ascii="Arial" w:hAnsi="Arial"/>
          <w:b w:val="0"/>
          <w:i w:val="0"/>
          <w:color w:val="0B1727"/>
          <w:sz w:val="21"/>
        </w:rPr>
        <w:t>Inspection intervals should follow the final machine design, component manufacturers’ instructions and actual duty conditions. A maintenance plan should cover:</w:t>
      </w:r>
    </w:p>
    <w:p>
      <w:pPr>
        <w:pStyle w:val="ListBullet"/>
      </w:pPr>
      <w:r>
        <w:rPr>
          <w:rFonts w:ascii="Arial" w:hAnsi="Arial"/>
          <w:b w:val="0"/>
          <w:i w:val="0"/>
          <w:color w:val="0B1727"/>
          <w:sz w:val="21"/>
        </w:rPr>
        <w:t>Hoisting, travel and tilting mechanisms</w:t>
      </w:r>
    </w:p>
    <w:p>
      <w:pPr>
        <w:pStyle w:val="ListBullet"/>
      </w:pPr>
      <w:r>
        <w:rPr>
          <w:rFonts w:ascii="Arial" w:hAnsi="Arial"/>
          <w:b w:val="0"/>
          <w:i w:val="0"/>
          <w:color w:val="0B1727"/>
          <w:sz w:val="21"/>
        </w:rPr>
        <w:t>Gearboxes, motors, brakes, bearings and transmission components</w:t>
      </w:r>
    </w:p>
    <w:p>
      <w:pPr>
        <w:pStyle w:val="ListBullet"/>
      </w:pPr>
      <w:r>
        <w:rPr>
          <w:rFonts w:ascii="Arial" w:hAnsi="Arial"/>
          <w:b w:val="0"/>
          <w:i w:val="0"/>
          <w:color w:val="0B1727"/>
          <w:sz w:val="21"/>
        </w:rPr>
        <w:t>Mould engagement, locking and unlocking mechanisms</w:t>
      </w:r>
    </w:p>
    <w:p>
      <w:pPr>
        <w:pStyle w:val="ListBullet"/>
      </w:pPr>
      <w:r>
        <w:rPr>
          <w:rFonts w:ascii="Arial" w:hAnsi="Arial"/>
          <w:b w:val="0"/>
          <w:i w:val="0"/>
          <w:color w:val="0B1727"/>
          <w:sz w:val="21"/>
        </w:rPr>
        <w:t>Limit switches, position sensors and safety interlocks</w:t>
      </w:r>
    </w:p>
    <w:p>
      <w:pPr>
        <w:pStyle w:val="ListBullet"/>
      </w:pPr>
      <w:r>
        <w:rPr>
          <w:rFonts w:ascii="Arial" w:hAnsi="Arial"/>
          <w:b w:val="0"/>
          <w:i w:val="0"/>
          <w:color w:val="0B1727"/>
          <w:sz w:val="21"/>
        </w:rPr>
        <w:t>Structural connections, guides and wear components</w:t>
      </w:r>
    </w:p>
    <w:p>
      <w:pPr>
        <w:pStyle w:val="ListBullet"/>
      </w:pPr>
      <w:r>
        <w:rPr>
          <w:rFonts w:ascii="Arial" w:hAnsi="Arial"/>
          <w:b w:val="0"/>
          <w:i w:val="0"/>
          <w:color w:val="0B1727"/>
          <w:sz w:val="21"/>
        </w:rPr>
        <w:t>Electrical controls, cables and operator controls</w:t>
      </w:r>
    </w:p>
    <w:p>
      <w:pPr>
        <w:pStyle w:val="ListBullet"/>
      </w:pPr>
      <w:r>
        <w:rPr>
          <w:rFonts w:ascii="Arial" w:hAnsi="Arial"/>
          <w:b w:val="0"/>
          <w:i w:val="0"/>
          <w:color w:val="0B1727"/>
          <w:sz w:val="21"/>
        </w:rPr>
        <w:t>Hydraulic components, where included in the offered configuration</w:t>
      </w:r>
    </w:p>
    <w:p>
      <w:pPr>
        <w:pStyle w:val="ListBullet"/>
      </w:pPr>
      <w:r>
        <w:rPr>
          <w:rFonts w:ascii="Arial" w:hAnsi="Arial"/>
          <w:b w:val="0"/>
          <w:i w:val="0"/>
          <w:color w:val="0B1727"/>
          <w:sz w:val="21"/>
        </w:rPr>
        <w:t>Lubrication points, alignment, abnormal noise and vibration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5F7F8"/>
            <w:vAlign w:val="center"/>
          </w:tcPr>
          <w:p>
            <w:pPr>
              <w:spacing w:after="0" w:line="276" w:lineRule="auto"/>
            </w:pPr>
            <w:r>
              <w:rPr>
                <w:rFonts w:ascii="Arial" w:hAnsi="Arial"/>
                <w:b/>
                <w:i w:val="0"/>
                <w:color w:val="0C4F80"/>
                <w:sz w:val="21"/>
              </w:rPr>
              <w:t xml:space="preserve">Maintenance discipline  </w:t>
            </w:r>
            <w:r>
              <w:rPr>
                <w:rFonts w:ascii="Arial" w:hAnsi="Arial"/>
                <w:b w:val="0"/>
                <w:i w:val="0"/>
                <w:color w:val="0B1727"/>
                <w:sz w:val="21"/>
              </w:rPr>
              <w:t>Do not publish generic daily, weekly or monthly intervals until Laxmi’s maintenance team confirms them for the actual machine design.</w:t>
            </w:r>
          </w:p>
        </w:tc>
      </w:tr>
    </w:tbl>
    <w:p>
      <w:pPr>
        <w:spacing w:after="20"/>
      </w:pPr>
    </w:p>
    <w:p>
      <w:pPr>
        <w:pStyle w:val="Heading2"/>
      </w:pPr>
      <w:r>
        <w:rPr>
          <w:rFonts w:ascii="Arial" w:hAnsi="Arial"/>
          <w:b w:val="0"/>
          <w:i w:val="0"/>
          <w:color w:val="0B1727"/>
          <w:sz w:val="21"/>
        </w:rPr>
        <w:t>New-plant and retrofit requirements</w:t>
      </w:r>
    </w:p>
    <w:p>
      <w:r>
        <w:rPr>
          <w:rFonts w:ascii="Arial" w:hAnsi="Arial"/>
          <w:b w:val="0"/>
          <w:i w:val="0"/>
          <w:color w:val="0B1727"/>
          <w:sz w:val="21"/>
        </w:rPr>
        <w:t>For a new AAC plant, the tilting machine should be engineered together with the pre-curing exit, mould circulation, cutting line, building clearances and control architecture. Treating it as an isolated crane can leave unresolved process interfaces.</w:t>
      </w:r>
    </w:p>
    <w:p>
      <w:r>
        <w:rPr>
          <w:rFonts w:ascii="Arial" w:hAnsi="Arial"/>
          <w:b w:val="0"/>
          <w:i w:val="0"/>
          <w:color w:val="0B1727"/>
          <w:sz w:val="21"/>
        </w:rPr>
        <w:t>For a retrofit, an engineering survey is essential. The survey should verify existing mould geometry, side plates, rail levels, building span and height, structural capacity, cutting-line arrangement, electrical controls and the cause of the current operating problem. Compatibility should be confirmed before a commercial offer is finalised.</w:t>
      </w:r>
    </w:p>
    <w:p>
      <w:pPr>
        <w:pStyle w:val="Heading2"/>
      </w:pPr>
      <w:r>
        <w:rPr>
          <w:rFonts w:ascii="Arial" w:hAnsi="Arial"/>
          <w:b w:val="0"/>
          <w:i w:val="0"/>
          <w:color w:val="0B1727"/>
          <w:sz w:val="21"/>
        </w:rPr>
        <w:t>What influences AAC tilting-machine cost?</w:t>
      </w:r>
    </w:p>
    <w:p>
      <w:r>
        <w:rPr>
          <w:rFonts w:ascii="Arial" w:hAnsi="Arial"/>
          <w:b w:val="0"/>
          <w:i w:val="0"/>
          <w:color w:val="0B1727"/>
          <w:sz w:val="21"/>
        </w:rPr>
        <w:t>The project cost depends on the mould and loaded weight, machine configuration, travel and lift requirements, building arrangement, automation level, interlocks, supplied controls, retrofit complexity, installation scope, testing, documentation, training and spare parts. Comparing quotations only by equipment name or lifting capacity can hide major differences in scope.</w:t>
      </w:r>
    </w:p>
    <w:p>
      <w:pPr>
        <w:pStyle w:val="Heading2"/>
      </w:pPr>
      <w:r>
        <w:rPr>
          <w:rFonts w:ascii="Arial" w:hAnsi="Arial"/>
          <w:b w:val="0"/>
          <w:i w:val="0"/>
          <w:color w:val="0B1727"/>
          <w:sz w:val="21"/>
        </w:rPr>
        <w:t>How to compare suppliers</w:t>
      </w:r>
    </w:p>
    <w:p>
      <w:pPr>
        <w:pStyle w:val="ListBullet"/>
      </w:pPr>
      <w:r>
        <w:rPr>
          <w:rFonts w:ascii="Arial" w:hAnsi="Arial"/>
          <w:b w:val="0"/>
          <w:i w:val="0"/>
          <w:color w:val="0B1727"/>
          <w:sz w:val="21"/>
        </w:rPr>
        <w:t>Ask for a complete operating sequence, not only a product photograph.</w:t>
      </w:r>
    </w:p>
    <w:p>
      <w:pPr>
        <w:pStyle w:val="ListBullet"/>
      </w:pPr>
      <w:r>
        <w:rPr>
          <w:rFonts w:ascii="Arial" w:hAnsi="Arial"/>
          <w:b w:val="0"/>
          <w:i w:val="0"/>
          <w:color w:val="0B1727"/>
          <w:sz w:val="21"/>
        </w:rPr>
        <w:t>Compare design load, compatible mould range and defined cycle conditions.</w:t>
      </w:r>
    </w:p>
    <w:p>
      <w:pPr>
        <w:pStyle w:val="ListBullet"/>
      </w:pPr>
      <w:r>
        <w:rPr>
          <w:rFonts w:ascii="Arial" w:hAnsi="Arial"/>
          <w:b w:val="0"/>
          <w:i w:val="0"/>
          <w:color w:val="0B1727"/>
          <w:sz w:val="21"/>
        </w:rPr>
        <w:t>Review the locking, sensing, interlock and fault-recovery philosophy.</w:t>
      </w:r>
    </w:p>
    <w:p>
      <w:pPr>
        <w:pStyle w:val="ListBullet"/>
      </w:pPr>
      <w:r>
        <w:rPr>
          <w:rFonts w:ascii="Arial" w:hAnsi="Arial"/>
          <w:b w:val="0"/>
          <w:i w:val="0"/>
          <w:color w:val="0B1727"/>
          <w:sz w:val="21"/>
        </w:rPr>
        <w:t>Confirm exactly what is included in machine, structural, electrical and installation scope.</w:t>
      </w:r>
    </w:p>
    <w:p>
      <w:pPr>
        <w:pStyle w:val="ListBullet"/>
      </w:pPr>
      <w:r>
        <w:rPr>
          <w:rFonts w:ascii="Arial" w:hAnsi="Arial"/>
          <w:b w:val="0"/>
          <w:i w:val="0"/>
          <w:color w:val="0B1727"/>
          <w:sz w:val="21"/>
        </w:rPr>
        <w:t>Request FAT and site-acceptance criteria before finalising the order.</w:t>
      </w:r>
    </w:p>
    <w:p>
      <w:pPr>
        <w:pStyle w:val="ListBullet"/>
      </w:pPr>
      <w:r>
        <w:rPr>
          <w:rFonts w:ascii="Arial" w:hAnsi="Arial"/>
          <w:b w:val="0"/>
          <w:i w:val="0"/>
          <w:color w:val="0B1727"/>
          <w:sz w:val="21"/>
        </w:rPr>
        <w:t>Observe a complete, unedited cycle at a running plant where access is permitted.</w:t>
      </w:r>
    </w:p>
    <w:p>
      <w:pPr>
        <w:pStyle w:val="ListBullet"/>
      </w:pPr>
      <w:r>
        <w:rPr>
          <w:rFonts w:ascii="Arial" w:hAnsi="Arial"/>
          <w:b w:val="0"/>
          <w:i w:val="0"/>
          <w:color w:val="0B1727"/>
          <w:sz w:val="21"/>
        </w:rPr>
        <w:t>Check maintenance access, critical spares and after-sales responsibility.</w:t>
      </w:r>
    </w:p>
    <w:p>
      <w:pPr>
        <w:pStyle w:val="ListBullet"/>
      </w:pPr>
      <w:r>
        <w:rPr>
          <w:rFonts w:ascii="Arial" w:hAnsi="Arial"/>
          <w:b w:val="0"/>
          <w:i w:val="0"/>
          <w:color w:val="0B1727"/>
          <w:sz w:val="21"/>
        </w:rPr>
        <w:t>Verify project references against comparable mould and cutting configurations.</w:t>
      </w:r>
    </w:p>
    <w:p>
      <w:pPr>
        <w:pStyle w:val="Heading2"/>
      </w:pPr>
      <w:r>
        <w:rPr>
          <w:rFonts w:ascii="Arial" w:hAnsi="Arial"/>
          <w:b w:val="0"/>
          <w:i w:val="0"/>
          <w:color w:val="0B1727"/>
          <w:sz w:val="21"/>
        </w:rPr>
        <w:t>Laxmi En-Fab’s engineering approach</w:t>
      </w:r>
    </w:p>
    <w:p>
      <w:r>
        <w:rPr>
          <w:rFonts w:ascii="Arial" w:hAnsi="Arial"/>
          <w:b w:val="0"/>
          <w:i w:val="0"/>
          <w:color w:val="0B1727"/>
          <w:sz w:val="21"/>
        </w:rPr>
        <w:t>Laxmi En-Fab Pvt. Ltd. treats the AAC tilting machine as part of the complete production sequence from pre-curing through demoulding and cutting. The purpose of the engineering review is to match the machine to the mould, cake-handling process, cutting arrangement and plant operating requirement rather than offer an isolated lifting device.</w:t>
      </w:r>
    </w:p>
    <w:p>
      <w:r>
        <w:rPr>
          <w:rFonts w:ascii="Arial" w:hAnsi="Arial"/>
          <w:b w:val="0"/>
          <w:i w:val="0"/>
          <w:color w:val="0B1727"/>
          <w:sz w:val="21"/>
        </w:rPr>
        <w:t>Before issuing a final technical proposal, the relevant project inputs should be reviewed and the machine scope, interfaces, operating sequence and acceptance criteria should be documented.</w:t>
      </w:r>
    </w:p>
    <w:p>
      <w:pPr>
        <w:pStyle w:val="Heading2"/>
      </w:pPr>
      <w:r>
        <w:rPr>
          <w:rFonts w:ascii="Arial" w:hAnsi="Arial"/>
          <w:b w:val="0"/>
          <w:i w:val="0"/>
          <w:color w:val="0B1727"/>
          <w:sz w:val="21"/>
        </w:rPr>
        <w:t>Request a Tilting-System Configuration Review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09263D"/>
            <w:vAlign w:val="center"/>
          </w:tcPr>
          <w:p>
            <w:pPr>
              <w:spacing w:after="0" w:line="276" w:lineRule="auto"/>
            </w:pPr>
            <w:r>
              <w:rPr>
                <w:rFonts w:ascii="Arial" w:hAnsi="Arial"/>
                <w:b/>
                <w:i w:val="0"/>
                <w:color w:val="FFFFFF"/>
                <w:sz w:val="21"/>
              </w:rPr>
              <w:t xml:space="preserve">Primary next step  </w:t>
            </w:r>
            <w:r>
              <w:rPr>
                <w:rFonts w:ascii="Arial" w:hAnsi="Arial"/>
                <w:b w:val="0"/>
                <w:i w:val="0"/>
                <w:color w:val="FFFFFF"/>
                <w:sz w:val="21"/>
              </w:rPr>
              <w:t>Share your mould dimensions, maximum loaded weight, target mould cycles, project location and cutting-line arrangement. Laxmi En-Fab’s engineering team can review the required configuration and project interfaces.</w:t>
            </w:r>
          </w:p>
        </w:tc>
      </w:tr>
    </w:tbl>
    <w:p>
      <w:pPr>
        <w:spacing w:after="20"/>
      </w:pPr>
    </w:p>
    <w:p>
      <w:r>
        <w:rPr>
          <w:rFonts w:ascii="Arial" w:hAnsi="Arial"/>
          <w:b w:val="0"/>
          <w:i/>
          <w:color w:val="526273"/>
          <w:sz w:val="21"/>
        </w:rPr>
        <w:t>Suggested form fields: name, company, work email, phone/WhatsApp, project location, new plant/replacement/retrofit, mould dimensions, maximum loaded weight, required mould cycles, cutting-system description, layout upload and requirement summary.</w:t>
      </w:r>
    </w:p>
    <w:p>
      <w:pPr>
        <w:pStyle w:val="Heading2"/>
      </w:pPr>
      <w:r>
        <w:rPr>
          <w:rFonts w:ascii="Arial" w:hAnsi="Arial"/>
          <w:b w:val="0"/>
          <w:i w:val="0"/>
          <w:color w:val="0B1727"/>
          <w:sz w:val="21"/>
        </w:rPr>
        <w:t>Frequently asked questions</w:t>
      </w:r>
    </w:p>
    <w:p>
      <w:pPr>
        <w:pStyle w:val="Heading3"/>
      </w:pPr>
      <w:r>
        <w:rPr>
          <w:rFonts w:ascii="Arial" w:hAnsi="Arial"/>
          <w:b w:val="0"/>
          <w:i w:val="0"/>
          <w:color w:val="0B1727"/>
          <w:sz w:val="21"/>
        </w:rPr>
        <w:t>What is the difference between an AAC tilting machine and an AAC tilting crane?</w:t>
      </w:r>
    </w:p>
    <w:p>
      <w:r>
        <w:rPr>
          <w:rFonts w:ascii="Arial" w:hAnsi="Arial"/>
          <w:b w:val="0"/>
          <w:i w:val="0"/>
          <w:color w:val="0B1727"/>
          <w:sz w:val="21"/>
        </w:rPr>
        <w:t>The terms are often used interchangeably. For procurement, the important issue is the offered function: lifting, tilting, mould release, cake support, transfer, control and integration with the cutting line. The proposal should define the actual configuration rather than rely on the name alone.</w:t>
      </w:r>
    </w:p>
    <w:p>
      <w:pPr>
        <w:pStyle w:val="Heading3"/>
      </w:pPr>
      <w:r>
        <w:rPr>
          <w:rFonts w:ascii="Arial" w:hAnsi="Arial"/>
          <w:b w:val="0"/>
          <w:i w:val="0"/>
          <w:color w:val="0B1727"/>
          <w:sz w:val="21"/>
        </w:rPr>
        <w:t>Why can the AAC cake crack during demoulding?</w:t>
      </w:r>
    </w:p>
    <w:p>
      <w:r>
        <w:rPr>
          <w:rFonts w:ascii="Arial" w:hAnsi="Arial"/>
          <w:b w:val="0"/>
          <w:i w:val="0"/>
          <w:color w:val="0B1727"/>
          <w:sz w:val="21"/>
        </w:rPr>
        <w:t>Possible causes include insufficient or excessive green strength, sudden movement, misalignment, uneven mould release, mould condition, inadequate release preparation and cutting-process issues. The cause should be diagnosed across both machine and process conditions.</w:t>
      </w:r>
    </w:p>
    <w:p>
      <w:pPr>
        <w:pStyle w:val="Heading3"/>
      </w:pPr>
      <w:r>
        <w:rPr>
          <w:rFonts w:ascii="Arial" w:hAnsi="Arial"/>
          <w:b w:val="0"/>
          <w:i w:val="0"/>
          <w:color w:val="0B1727"/>
          <w:sz w:val="21"/>
        </w:rPr>
        <w:t>Is the tilting angle always 90 degrees?</w:t>
      </w:r>
    </w:p>
    <w:p>
      <w:r>
        <w:rPr>
          <w:rFonts w:ascii="Arial" w:hAnsi="Arial"/>
          <w:b w:val="0"/>
          <w:i w:val="0"/>
          <w:color w:val="0B1727"/>
          <w:sz w:val="21"/>
        </w:rPr>
        <w:t>Many AAC tilting systems rotate the loaded mould by approximately 90 degrees, but the final movement and cake orientation depend on the plant configuration. The offered angle and sequence should be confirmed in the technical proposal.</w:t>
      </w:r>
    </w:p>
    <w:p>
      <w:pPr>
        <w:pStyle w:val="Heading3"/>
      </w:pPr>
      <w:r>
        <w:rPr>
          <w:rFonts w:ascii="Arial" w:hAnsi="Arial"/>
          <w:b w:val="0"/>
          <w:i w:val="0"/>
          <w:color w:val="0B1727"/>
          <w:sz w:val="21"/>
        </w:rPr>
        <w:t>How is cycle time determined?</w:t>
      </w:r>
    </w:p>
    <w:p>
      <w:r>
        <w:rPr>
          <w:rFonts w:ascii="Arial" w:hAnsi="Arial"/>
          <w:b w:val="0"/>
          <w:i w:val="0"/>
          <w:color w:val="0B1727"/>
          <w:sz w:val="21"/>
        </w:rPr>
        <w:t>Cycle time depends on the defined start and end points, travel distances, mould size and load, movement profile, locking sequence, control logic and the surrounding production-line arrangement. A quoted figure is meaningful only when these conditions are stated.</w:t>
      </w:r>
    </w:p>
    <w:p>
      <w:pPr>
        <w:pStyle w:val="Heading3"/>
      </w:pPr>
      <w:r>
        <w:rPr>
          <w:rFonts w:ascii="Arial" w:hAnsi="Arial"/>
          <w:b w:val="0"/>
          <w:i w:val="0"/>
          <w:color w:val="0B1727"/>
          <w:sz w:val="21"/>
        </w:rPr>
        <w:t>Can a tilting machine be installed in an existing AAC plant?</w:t>
      </w:r>
    </w:p>
    <w:p>
      <w:r>
        <w:rPr>
          <w:rFonts w:ascii="Arial" w:hAnsi="Arial"/>
          <w:b w:val="0"/>
          <w:i w:val="0"/>
          <w:color w:val="0B1727"/>
          <w:sz w:val="21"/>
        </w:rPr>
        <w:t>Yes, subject to an engineering survey and compatibility review. Existing moulds, side plates, rails, building clearances, structural capacity, cutting interfaces and controls must be verified before finalisation.</w:t>
      </w:r>
    </w:p>
    <w:p>
      <w:pPr>
        <w:pStyle w:val="Heading3"/>
      </w:pPr>
      <w:r>
        <w:rPr>
          <w:rFonts w:ascii="Arial" w:hAnsi="Arial"/>
          <w:b w:val="0"/>
          <w:i w:val="0"/>
          <w:color w:val="0B1727"/>
          <w:sz w:val="21"/>
        </w:rPr>
        <w:t>What should be checked during FAT?</w:t>
      </w:r>
    </w:p>
    <w:p>
      <w:r>
        <w:rPr>
          <w:rFonts w:ascii="Arial" w:hAnsi="Arial"/>
          <w:b w:val="0"/>
          <w:i w:val="0"/>
          <w:color w:val="0B1727"/>
          <w:sz w:val="21"/>
        </w:rPr>
        <w:t>The agreed FAT should verify fabrication and assembly, defined motions, locking and unlocking, sensors and interlocks, alarms, emergency functions, operating sequence, load-test requirements and documentation. The exact test plan must match the offered machine.</w:t>
      </w:r>
    </w:p>
    <w:p>
      <w:pPr>
        <w:pStyle w:val="Heading3"/>
      </w:pPr>
      <w:r>
        <w:rPr>
          <w:rFonts w:ascii="Arial" w:hAnsi="Arial"/>
          <w:b w:val="0"/>
          <w:i w:val="0"/>
          <w:color w:val="0B1727"/>
          <w:sz w:val="21"/>
        </w:rPr>
        <w:t>What maintenance items are most important?</w:t>
      </w:r>
    </w:p>
    <w:p>
      <w:r>
        <w:rPr>
          <w:rFonts w:ascii="Arial" w:hAnsi="Arial"/>
          <w:b w:val="0"/>
          <w:i w:val="0"/>
          <w:color w:val="0B1727"/>
          <w:sz w:val="21"/>
        </w:rPr>
        <w:t>Priorities normally include drives, brakes, bearings, transmission components, locking mechanisms, sensors, interlocks, structural connections, lubrication and electrical or hydraulic systems. Final intervals must come from the manufacturer’s machine-specific manual.</w:t>
      </w:r>
    </w:p>
    <w:p>
      <w:pPr>
        <w:pStyle w:val="Heading3"/>
      </w:pPr>
      <w:r>
        <w:rPr>
          <w:rFonts w:ascii="Arial" w:hAnsi="Arial"/>
          <w:b w:val="0"/>
          <w:i w:val="0"/>
          <w:color w:val="0B1727"/>
          <w:sz w:val="21"/>
        </w:rPr>
        <w:t>What information is required for a proposal?</w:t>
      </w:r>
    </w:p>
    <w:p>
      <w:r>
        <w:rPr>
          <w:rFonts w:ascii="Arial" w:hAnsi="Arial"/>
          <w:b w:val="0"/>
          <w:i w:val="0"/>
          <w:color w:val="0B1727"/>
          <w:sz w:val="21"/>
        </w:rPr>
        <w:t>Provide mould dimensions and type, maximum loaded weight, target cycles, cutting-system arrangement, building and runway information, automation requirement, project location and whether the requirement is for a new plant or retrofit.</w:t>
      </w:r>
    </w:p>
    <w:p>
      <w:pPr>
        <w:pStyle w:val="Heading2"/>
      </w:pPr>
      <w:r>
        <w:rPr>
          <w:rFonts w:ascii="Arial" w:hAnsi="Arial"/>
          <w:b w:val="0"/>
          <w:i w:val="0"/>
          <w:color w:val="0B1727"/>
          <w:sz w:val="21"/>
        </w:rPr>
        <w:t>Related technical guidance</w:t>
      </w:r>
    </w:p>
    <w:p>
      <w:pPr>
        <w:pStyle w:val="ListBullet"/>
      </w:pPr>
      <w:r>
        <w:rPr>
          <w:rFonts w:ascii="Arial" w:hAnsi="Arial"/>
          <w:b w:val="0"/>
          <w:i w:val="0"/>
          <w:color w:val="0B1727"/>
          <w:sz w:val="21"/>
        </w:rPr>
        <w:t>AAC production process</w:t>
      </w:r>
    </w:p>
    <w:p>
      <w:pPr>
        <w:pStyle w:val="ListBullet"/>
      </w:pPr>
      <w:r>
        <w:rPr>
          <w:rFonts w:ascii="Arial" w:hAnsi="Arial"/>
          <w:b w:val="0"/>
          <w:i w:val="0"/>
          <w:color w:val="0B1727"/>
          <w:sz w:val="21"/>
        </w:rPr>
        <w:t>AAC pre-curing and mould handling</w:t>
      </w:r>
    </w:p>
    <w:p>
      <w:pPr>
        <w:pStyle w:val="ListBullet"/>
      </w:pPr>
      <w:r>
        <w:rPr>
          <w:rFonts w:ascii="Arial" w:hAnsi="Arial"/>
          <w:b w:val="0"/>
          <w:i w:val="0"/>
          <w:color w:val="0B1727"/>
          <w:sz w:val="21"/>
        </w:rPr>
        <w:t>AAC cutting machine and wire cutting process</w:t>
      </w:r>
    </w:p>
    <w:p>
      <w:pPr>
        <w:pStyle w:val="ListBullet"/>
      </w:pPr>
      <w:r>
        <w:rPr>
          <w:rFonts w:ascii="Arial" w:hAnsi="Arial"/>
          <w:b w:val="0"/>
          <w:i w:val="0"/>
          <w:color w:val="0B1727"/>
          <w:sz w:val="21"/>
        </w:rPr>
        <w:t>AAC plant automation</w:t>
      </w:r>
    </w:p>
    <w:p>
      <w:pPr>
        <w:pStyle w:val="ListBullet"/>
      </w:pPr>
      <w:r>
        <w:rPr>
          <w:rFonts w:ascii="Arial" w:hAnsi="Arial"/>
          <w:b w:val="0"/>
          <w:i w:val="0"/>
          <w:color w:val="0B1727"/>
          <w:sz w:val="21"/>
        </w:rPr>
        <w:t>AAC plant expansion and retrofit engineering</w:t>
      </w:r>
    </w:p>
    <w:p>
      <w:pPr>
        <w:pStyle w:val="ListBullet"/>
      </w:pPr>
      <w:r>
        <w:rPr>
          <w:rFonts w:ascii="Arial" w:hAnsi="Arial"/>
          <w:b w:val="0"/>
          <w:i w:val="0"/>
          <w:color w:val="0B1727"/>
          <w:sz w:val="21"/>
        </w:rPr>
        <w:t>AAC plant preventive maintenance</w:t>
      </w:r>
    </w:p>
    <w:p>
      <w:pPr>
        <w:pStyle w:val="Heading1"/>
      </w:pPr>
      <w:r>
        <w:rPr>
          <w:rFonts w:ascii="Arial" w:hAnsi="Arial"/>
          <w:b w:val="0"/>
          <w:i w:val="0"/>
          <w:color w:val="0B1727"/>
          <w:sz w:val="21"/>
        </w:rPr>
        <w:t>Technical verification required before final web publication</w:t>
      </w:r>
    </w:p>
    <w:p>
      <w:r>
        <w:rPr>
          <w:rFonts w:ascii="Arial" w:hAnsi="Arial"/>
          <w:b w:val="0"/>
          <w:i w:val="0"/>
          <w:color w:val="0B1727"/>
          <w:sz w:val="21"/>
        </w:rPr>
        <w:t>The main body above is written without unverified performance figures. Complete this checklist before adding product-specific specifications, proof claims or project examples.</w:t>
      </w:r>
    </w:p>
    <w:tbl>
      <w:tblPr>
        <w:tblStyle w:val="TableGrid"/>
        <w:tblW w:type="dxa" w:w="9360"/>
        <w:jc w:val="left"/>
        <w:tblLayout w:type="fixed"/>
        <w:tblLook w:firstColumn="1" w:firstRow="1" w:lastColumn="0" w:lastRow="0" w:noHBand="0" w:noVBand="1" w:val="04A0"/>
        <w:tblInd w:w="120" w:type="dxa"/>
      </w:tblPr>
      <w:tblGrid>
        <w:gridCol w:w="6650"/>
        <w:gridCol w:w="2710"/>
      </w:tblGrid>
      <w:tr>
        <w:trPr>
          <w:tblHeader w:val="true"/>
        </w:trPr>
        <w:tc>
          <w:tcPr>
            <w:tcW w:type="dxa" w:w="6650"/>
            <w:shd w:fill="09263D"/>
            <w:tcMar>
              <w:top w:w="90" w:type="dxa"/>
              <w:start w:w="120" w:type="dxa"/>
              <w:bottom w:w="90" w:type="dxa"/>
              <w:end w:w="120" w:type="dxa"/>
            </w:tcMar>
          </w:tcPr>
          <w:p>
            <w:pPr>
              <w:spacing w:after="0"/>
            </w:pPr>
            <w:r>
              <w:rPr>
                <w:rFonts w:ascii="Arial" w:hAnsi="Arial"/>
                <w:b/>
                <w:i w:val="0"/>
                <w:color w:val="FFFFFF"/>
                <w:sz w:val="18"/>
              </w:rPr>
              <w:t>Information</w:t>
            </w:r>
          </w:p>
        </w:tc>
        <w:tc>
          <w:tcPr>
            <w:tcW w:type="dxa" w:w="2710"/>
            <w:shd w:fill="09263D"/>
            <w:tcMar>
              <w:top w:w="90" w:type="dxa"/>
              <w:start w:w="120" w:type="dxa"/>
              <w:bottom w:w="90" w:type="dxa"/>
              <w:end w:w="120" w:type="dxa"/>
            </w:tcMar>
          </w:tcPr>
          <w:p>
            <w:pPr>
              <w:spacing w:after="0"/>
            </w:pPr>
            <w:r>
              <w:rPr>
                <w:rFonts w:ascii="Arial" w:hAnsi="Arial"/>
                <w:b/>
                <w:i w:val="0"/>
                <w:color w:val="FFFFFF"/>
                <w:sz w:val="18"/>
              </w:rPr>
              <w:t>Status</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Exact machine configuration and sequence</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Mould range, maximum loaded weight and rated load</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Tilting angle and supported cake orientation</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Cycle time with defined start/end conditions</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Drive, synchronization and braking arrangement</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Controls, sensors, interlocks and emergency recovery</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Utilities and connected electrical load</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Applicable standards, FAT, load test and SAT scope</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Installation, runway and structural interfaces</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Maintenance intervals and critical spares</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vAlign w:val="top"/>
            <w:tcMar>
              <w:top w:w="90" w:type="dxa"/>
              <w:start w:w="120" w:type="dxa"/>
              <w:bottom w:w="90" w:type="dxa"/>
              <w:end w:w="120" w:type="dxa"/>
            </w:tcMar>
          </w:tcPr>
          <w:p>
            <w:pPr>
              <w:spacing w:after="0" w:line="264" w:lineRule="auto"/>
            </w:pPr>
            <w:r>
              <w:rPr>
                <w:rFonts w:ascii="Arial" w:hAnsi="Arial"/>
                <w:b w:val="0"/>
                <w:i w:val="0"/>
                <w:color w:val="0B1727"/>
                <w:sz w:val="18"/>
              </w:rPr>
              <w:t>Warranty, commissioning and training scope</w:t>
            </w:r>
          </w:p>
        </w:tc>
        <w:tc>
          <w:tcPr>
            <w:tcW w:type="dxa" w:w="2710"/>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r>
        <w:tc>
          <w:tcPr>
            <w:tcW w:type="dxa" w:w="665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Verified references, permissions and named reviewer</w:t>
            </w:r>
          </w:p>
        </w:tc>
        <w:tc>
          <w:tcPr>
            <w:tcW w:type="dxa" w:w="2710"/>
            <w:shd w:fill="F5F7F8"/>
            <w:vAlign w:val="top"/>
            <w:tcMar>
              <w:top w:w="90" w:type="dxa"/>
              <w:start w:w="120" w:type="dxa"/>
              <w:bottom w:w="90" w:type="dxa"/>
              <w:end w:w="120" w:type="dxa"/>
            </w:tcMar>
          </w:tcPr>
          <w:p>
            <w:pPr>
              <w:spacing w:after="0" w:line="264" w:lineRule="auto"/>
            </w:pPr>
            <w:r>
              <w:rPr>
                <w:rFonts w:ascii="Arial" w:hAnsi="Arial"/>
                <w:b w:val="0"/>
                <w:i w:val="0"/>
                <w:color w:val="0B1727"/>
                <w:sz w:val="18"/>
              </w:rPr>
              <w:t>Verification Required</w:t>
            </w:r>
          </w:p>
        </w:tc>
      </w:tr>
    </w:tbl>
    <w:p>
      <w:pPr>
        <w:spacing w:after="20"/>
      </w:pPr>
    </w:p>
    <w:p>
      <w:pPr>
        <w:pStyle w:val="Heading2"/>
      </w:pPr>
      <w:r>
        <w:rPr>
          <w:rFonts w:ascii="Arial" w:hAnsi="Arial"/>
          <w:b w:val="0"/>
          <w:i w:val="0"/>
          <w:color w:val="0B1727"/>
          <w:sz w:val="21"/>
        </w:rPr>
        <w:t>Developer notes</w:t>
      </w:r>
    </w:p>
    <w:p>
      <w:pPr>
        <w:pStyle w:val="ListBullet"/>
      </w:pPr>
      <w:r>
        <w:rPr>
          <w:rFonts w:ascii="Arial" w:hAnsi="Arial"/>
          <w:b w:val="0"/>
          <w:i w:val="0"/>
          <w:color w:val="0B1727"/>
          <w:sz w:val="21"/>
        </w:rPr>
        <w:t>Use one canonical tilting-machine page and redirect the retired synonym URL.</w:t>
      </w:r>
    </w:p>
    <w:p>
      <w:pPr>
        <w:pStyle w:val="ListBullet"/>
      </w:pPr>
      <w:r>
        <w:rPr>
          <w:rFonts w:ascii="Arial" w:hAnsi="Arial"/>
          <w:b w:val="0"/>
          <w:i w:val="0"/>
          <w:color w:val="0B1727"/>
          <w:sz w:val="21"/>
        </w:rPr>
        <w:t>Use Product, Article, BreadcrumbList and Organization structured data only where visible content supports each property.</w:t>
      </w:r>
    </w:p>
    <w:p>
      <w:pPr>
        <w:pStyle w:val="ListBullet"/>
      </w:pPr>
      <w:r>
        <w:rPr>
          <w:rFonts w:ascii="Arial" w:hAnsi="Arial"/>
          <w:b w:val="0"/>
          <w:i w:val="0"/>
          <w:color w:val="0B1727"/>
          <w:sz w:val="21"/>
        </w:rPr>
        <w:t>Place the direct definition immediately below the H1.</w:t>
      </w:r>
    </w:p>
    <w:p>
      <w:pPr>
        <w:pStyle w:val="ListBullet"/>
      </w:pPr>
      <w:r>
        <w:rPr>
          <w:rFonts w:ascii="Arial" w:hAnsi="Arial"/>
          <w:b w:val="0"/>
          <w:i w:val="0"/>
          <w:color w:val="0B1727"/>
          <w:sz w:val="21"/>
        </w:rPr>
        <w:t>Publish the process diagram and specifications as HTML-supported content, not image-only text.</w:t>
      </w:r>
    </w:p>
    <w:p>
      <w:pPr>
        <w:pStyle w:val="ListBullet"/>
      </w:pPr>
      <w:r>
        <w:rPr>
          <w:rFonts w:ascii="Arial" w:hAnsi="Arial"/>
          <w:b w:val="0"/>
          <w:i w:val="0"/>
          <w:color w:val="0B1727"/>
          <w:sz w:val="21"/>
        </w:rPr>
        <w:t>Embed a complete-cycle video with mould size, recording context and verified duration in its description.</w:t>
      </w:r>
    </w:p>
    <w:p>
      <w:pPr>
        <w:pStyle w:val="ListBullet"/>
      </w:pPr>
      <w:r>
        <w:rPr>
          <w:rFonts w:ascii="Arial" w:hAnsi="Arial"/>
          <w:b w:val="0"/>
          <w:i w:val="0"/>
          <w:color w:val="0B1727"/>
          <w:sz w:val="21"/>
        </w:rPr>
        <w:t>Add author/reviewer, publication date and last-reviewed date visibly.</w:t>
      </w:r>
    </w:p>
    <w:p>
      <w:pPr>
        <w:pStyle w:val="ListBullet"/>
      </w:pPr>
      <w:r>
        <w:rPr>
          <w:rFonts w:ascii="Arial" w:hAnsi="Arial"/>
          <w:b w:val="0"/>
          <w:i w:val="0"/>
          <w:color w:val="0B1727"/>
          <w:sz w:val="21"/>
        </w:rPr>
        <w:t>Link to production process, pre-curing, cutting, automation, maintenance and retrofit pages.</w:t>
      </w:r>
    </w:p>
    <w:p>
      <w:pPr>
        <w:pStyle w:val="ListBullet"/>
      </w:pPr>
      <w:r>
        <w:rPr>
          <w:rFonts w:ascii="Arial" w:hAnsi="Arial"/>
          <w:b w:val="0"/>
          <w:i w:val="0"/>
          <w:color w:val="0B1727"/>
          <w:sz w:val="21"/>
        </w:rPr>
        <w:t>Use descriptive image filenames and accurate alt text; do not place performance claims in alt attributes.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26273"/>
        <w:sz w:val="16"/>
      </w:rPr>
      <w:t>Publication-ready website copy  |  AAC Tilting Machine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0C4F80"/>
        <w:sz w:val="17"/>
      </w:rPr>
      <w:t>LAXMI EN-FAB  /  AAC PLANT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B1727"/>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9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7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5262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461" w:hanging="259"/>
      <w:contextualSpacing/>
    </w:pPr>
    <w:rPr>
      <w:rFonts w:ascii="Arial" w:hAnsi="Arial"/>
      <w:color w:val="0B17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461" w:hanging="259"/>
      <w:contextualSpacing/>
    </w:pPr>
    <w:rPr>
      <w:rFonts w:ascii="Arial" w:hAnsi="Arial"/>
      <w:color w:val="0B17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