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80" w:after="200"/>
      </w:pPr>
      <w:r>
        <w:rPr>
          <w:b/>
          <w:color w:val="0C4F80"/>
          <w:sz w:val="20"/>
        </w:rPr>
        <w:t>TECHNICAL PRODUCT PAGE</w:t>
      </w:r>
    </w:p>
    <w:p>
      <w:pPr>
        <w:pStyle w:val="Title"/>
      </w:pPr>
      <w:r>
        <w:t>AAC Cutting System for</w:t>
        <w:br/>
        <w:t>Accurate Green-Cake Cutting</w:t>
      </w:r>
    </w:p>
    <w:p>
      <w:pPr>
        <w:pStyle w:val="Subtitle"/>
      </w:pPr>
      <w:r>
        <w:t>Publication-ready website content | India market</w:t>
      </w:r>
    </w:p>
    <w:p>
      <w:pPr>
        <w:pStyle w:val="NoteCallout"/>
      </w:pPr>
      <w:r>
        <w:t>An engineering-led guide to cake trimming, horizontal and vertical cutting, waste recovery, maintenance and system selection.</w:t>
      </w:r>
    </w:p>
    <w:tbl>
      <w:tblPr>
        <w:tblW w:type="dxa" w:w="9360"/>
        <w:tblLayout w:type="fixed"/>
        <w:tblLook w:firstColumn="1" w:firstRow="1" w:lastColumn="0" w:lastRow="0" w:noHBand="0" w:noVBand="1" w:val="04A0"/>
        <w:jc w:val="left"/>
        <w:tblInd w:w="120" w:type="dxa"/>
        <w:tblBorders>
          <w:top w:val="single" w:sz="5" w:color="CCD6DF"/>
          <w:left w:val="single" w:sz="5" w:color="CCD6DF"/>
          <w:bottom w:val="single" w:sz="5" w:color="CCD6DF"/>
          <w:right w:val="single" w:sz="5" w:color="CCD6DF"/>
          <w:insideH w:val="single" w:sz="5" w:color="CCD6DF"/>
          <w:insideV w:val="single" w:sz="5" w:color="CCD6DF"/>
        </w:tblBorders>
        <w:tblInd w:w="120" w:type="dxa"/>
        <w:tblInd w:w="120" w:type="dxa"/>
        <w:tblInd w:w="120" w:type="dxa"/>
        <w:tblInd w:w="120" w:type="dxa"/>
      </w:tblPr>
      <w:tblGrid>
        <w:gridCol w:w="2100"/>
        <w:gridCol w:w="7260"/>
      </w:tblGrid>
      <w:tr>
        <w:trPr>
          <w:tblHeader w:val="true"/>
          <w:cantSplit/>
        </w:trPr>
        <w:tc>
          <w:tcPr>
            <w:tcW w:type="dxa" w:w="2100"/>
            <w:vAlign w:val="center"/>
            <w:tcMar>
              <w:top w:w="90" w:type="dxa"/>
              <w:start w:w="120" w:type="dxa"/>
              <w:bottom w:w="90" w:type="dxa"/>
              <w:end w:w="120" w:type="dxa"/>
            </w:tcMar>
            <w:shd w:fill="0B1727"/>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Pr>
          <w:p>
            <w:pPr>
              <w:spacing w:after="0"/>
            </w:pPr>
            <w:r>
              <w:rPr>
                <w:b/>
                <w:color w:val="FFFFFF"/>
                <w:sz w:val="19"/>
              </w:rPr>
              <w:t>Publishing field</w:t>
            </w:r>
          </w:p>
        </w:tc>
        <w:tc>
          <w:tcPr>
            <w:tcW w:type="dxa" w:w="7260"/>
            <w:vAlign w:val="center"/>
            <w:tcMar>
              <w:top w:w="90" w:type="dxa"/>
              <w:start w:w="120" w:type="dxa"/>
              <w:bottom w:w="90" w:type="dxa"/>
              <w:end w:w="120" w:type="dxa"/>
            </w:tcMar>
            <w:shd w:fill="0B1727"/>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Pr>
          <w:p>
            <w:pPr>
              <w:spacing w:after="0"/>
            </w:pPr>
            <w:r>
              <w:rPr>
                <w:b/>
                <w:color w:val="FFFFFF"/>
                <w:sz w:val="19"/>
              </w:rPr>
              <w:t>Recommended content</w:t>
            </w:r>
          </w:p>
        </w:tc>
      </w:tr>
      <w:tr>
        <w:trPr>
          <w:cantSplit/>
        </w:trPr>
        <w:tc>
          <w:tcPr>
            <w:tcW w:type="dxa" w:w="2100"/>
            <w:vAlign w:val="cente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Pr>
          <w:p>
            <w:pPr>
              <w:spacing w:after="0" w:line="259" w:lineRule="auto"/>
            </w:pPr>
            <w:r>
              <w:rPr>
                <w:color w:val="0B1727"/>
                <w:sz w:val="18"/>
              </w:rPr>
              <w:t>SEO title</w:t>
            </w:r>
          </w:p>
        </w:tc>
        <w:tc>
          <w:tcPr>
            <w:tcW w:type="dxa" w:w="7260"/>
            <w:vAlign w:val="cente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Pr>
          <w:p>
            <w:pPr>
              <w:spacing w:after="0" w:line="259" w:lineRule="auto"/>
            </w:pPr>
            <w:r>
              <w:rPr>
                <w:color w:val="0B1727"/>
                <w:sz w:val="18"/>
              </w:rPr>
              <w:t>AAC Cutting System &amp; Block Cutting Machine | Laxmi</w:t>
            </w:r>
          </w:p>
        </w:tc>
      </w:tr>
      <w:tr>
        <w:trPr>
          <w:cantSplit/>
        </w:trPr>
        <w:tc>
          <w:tcPr>
            <w:tcW w:type="dxa" w:w="2100"/>
            <w:shd w:fill="F5F7F8"/>
            <w:vAlign w:val="cente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Pr>
          <w:p>
            <w:pPr>
              <w:spacing w:after="0" w:line="259" w:lineRule="auto"/>
            </w:pPr>
            <w:r>
              <w:rPr>
                <w:color w:val="0B1727"/>
                <w:sz w:val="18"/>
              </w:rPr>
              <w:t>Meta description</w:t>
            </w:r>
          </w:p>
        </w:tc>
        <w:tc>
          <w:tcPr>
            <w:tcW w:type="dxa" w:w="7260"/>
            <w:shd w:fill="F5F7F8"/>
            <w:vAlign w:val="cente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Pr>
          <w:p>
            <w:pPr>
              <w:spacing w:after="0" w:line="259" w:lineRule="auto"/>
            </w:pPr>
            <w:r>
              <w:rPr>
                <w:color w:val="0B1727"/>
                <w:sz w:val="18"/>
              </w:rPr>
              <w:t>Explore AAC green-cake cutting, horizontal and vertical wire cutting, face trimming, waste recovery and system selection for new or existing AAC plants.</w:t>
            </w:r>
          </w:p>
        </w:tc>
      </w:tr>
      <w:tr>
        <w:trPr>
          <w:cantSplit/>
        </w:trPr>
        <w:tc>
          <w:tcPr>
            <w:tcW w:type="dxa" w:w="2100"/>
            <w:vAlign w:val="center"/>
            <w:tcMar>
              <w:top w:w="90" w:type="dxa"/>
              <w:start w:w="120" w:type="dxa"/>
              <w:bottom w:w="90" w:type="dxa"/>
              <w:end w:w="120" w:type="dxa"/>
            </w:tcMar>
            <w:tcMar>
              <w:top w:w="90" w:type="dxa"/>
              <w:start w:w="120" w:type="dxa"/>
              <w:bottom w:w="90" w:type="dxa"/>
              <w:end w:w="120" w:type="dxa"/>
            </w:tcMar>
          </w:tcPr>
          <w:p>
            <w:pPr>
              <w:spacing w:after="0" w:line="259" w:lineRule="auto"/>
            </w:pPr>
            <w:r>
              <w:rPr>
                <w:color w:val="0B1727"/>
                <w:sz w:val="18"/>
              </w:rPr>
              <w:t>URL</w:t>
            </w:r>
          </w:p>
        </w:tc>
        <w:tc>
          <w:tcPr>
            <w:tcW w:type="dxa" w:w="7260"/>
            <w:vAlign w:val="center"/>
            <w:tcMar>
              <w:top w:w="90" w:type="dxa"/>
              <w:start w:w="120" w:type="dxa"/>
              <w:bottom w:w="90" w:type="dxa"/>
              <w:end w:w="120" w:type="dxa"/>
            </w:tcMar>
            <w:tcMar>
              <w:top w:w="90" w:type="dxa"/>
              <w:start w:w="120" w:type="dxa"/>
              <w:bottom w:w="90" w:type="dxa"/>
              <w:end w:w="120" w:type="dxa"/>
            </w:tcMar>
          </w:tcPr>
          <w:p>
            <w:pPr>
              <w:spacing w:after="0" w:line="259" w:lineRule="auto"/>
            </w:pPr>
            <w:r>
              <w:rPr>
                <w:color w:val="0B1727"/>
                <w:sz w:val="18"/>
              </w:rPr>
              <w:t>/aac-cutting-system/</w:t>
            </w:r>
          </w:p>
        </w:tc>
      </w:tr>
      <w:tr>
        <w:trPr>
          <w:cantSplit/>
        </w:trPr>
        <w:tc>
          <w:tcPr>
            <w:tcW w:type="dxa" w:w="2100"/>
            <w:shd w:fill="F5F7F8"/>
            <w:vAlign w:val="center"/>
            <w:tcMar>
              <w:top w:w="90" w:type="dxa"/>
              <w:start w:w="120" w:type="dxa"/>
              <w:bottom w:w="90" w:type="dxa"/>
              <w:end w:w="120" w:type="dxa"/>
            </w:tcMar>
          </w:tcPr>
          <w:p>
            <w:pPr>
              <w:spacing w:after="0" w:line="259" w:lineRule="auto"/>
            </w:pPr>
            <w:r>
              <w:rPr>
                <w:color w:val="0B1727"/>
                <w:sz w:val="18"/>
              </w:rPr>
              <w:t>Breadcrumb</w:t>
            </w:r>
          </w:p>
        </w:tc>
        <w:tc>
          <w:tcPr>
            <w:tcW w:type="dxa" w:w="7260"/>
            <w:shd w:fill="F5F7F8"/>
            <w:vAlign w:val="center"/>
            <w:tcMar>
              <w:top w:w="90" w:type="dxa"/>
              <w:start w:w="120" w:type="dxa"/>
              <w:bottom w:w="90" w:type="dxa"/>
              <w:end w:w="120" w:type="dxa"/>
            </w:tcMar>
          </w:tcPr>
          <w:p>
            <w:pPr>
              <w:spacing w:after="0" w:line="259" w:lineRule="auto"/>
            </w:pPr>
            <w:r>
              <w:rPr>
                <w:color w:val="0B1727"/>
                <w:sz w:val="18"/>
              </w:rPr>
              <w:t>Home &gt; AAC Plant Machinery &gt; AAC Cutting System</w:t>
            </w:r>
          </w:p>
        </w:tc>
      </w:tr>
    </w:tbl>
    <w:p>
      <w:pPr>
        <w:spacing w:after="0"/>
      </w:pPr>
    </w:p>
    <w:p>
      <w:pPr>
        <w:pStyle w:val="CTACallout"/>
      </w:pPr>
      <w:r>
        <w:t>PRIMARY CTA  |  Request a Cutting-System Technical Proposal</w:t>
      </w:r>
    </w:p>
    <w:p>
      <w:pPr>
        <w:pStyle w:val="Heading1"/>
      </w:pPr>
      <w:r>
        <w:t>AAC Cutting System for Accurate Green-Cake Cutting</w:t>
      </w:r>
    </w:p>
    <w:p>
      <w:r>
        <w:t>An AAC cutting system cuts the pre-cured green cake into the required block dimensions before autoclaving. The complete operation may include cake transfer, face trimming, horizontal cutting, vertical cutting, cutting-waste collection and bottom-layer removal.</w:t>
      </w:r>
    </w:p>
    <w:p>
      <w:r>
        <w:t>Cutting quality depends on more than the cutting machine alone. Green-cake condition, machine alignment, wire positioning, blade setting, cake movement and operator control must work together to achieve repeatable dimensions and minimise avoidable damage.</w:t>
      </w:r>
    </w:p>
    <w:p>
      <w:r>
        <w:t>Laxmi En-Fab Pvt. Ltd. provides AAC cutting solutions for new AAC plants, plant expansion projects and cutting-section upgrades. The equipment configuration is selected according to the cake size, required product range, plant capacity, layout, automation level and waste-handling arrangement.</w:t>
      </w:r>
    </w:p>
    <w:p>
      <w:pPr>
        <w:pStyle w:val="Heading1"/>
      </w:pPr>
      <w:r>
        <w:t>Why the Cutting Section Matters in AAC Production</w:t>
      </w:r>
    </w:p>
    <w:p>
      <w:r>
        <w:t>The cutting section is where a large pre-cured AAC cake is divided into individual blocks of specified dimensions. This stage directly influences:</w:t>
      </w:r>
    </w:p>
    <w:p>
      <w:pPr>
        <w:pStyle w:val="ListBullet"/>
      </w:pPr>
      <w:r>
        <w:t>Block length, height and thickness</w:t>
      </w:r>
    </w:p>
    <w:p>
      <w:pPr>
        <w:pStyle w:val="ListBullet"/>
      </w:pPr>
      <w:r>
        <w:t>Surface finish</w:t>
      </w:r>
    </w:p>
    <w:p>
      <w:pPr>
        <w:pStyle w:val="ListBullet"/>
      </w:pPr>
      <w:r>
        <w:t>Edge and corner condition</w:t>
      </w:r>
    </w:p>
    <w:p>
      <w:pPr>
        <w:pStyle w:val="ListBullet"/>
      </w:pPr>
      <w:r>
        <w:t>Dimensional consistency</w:t>
      </w:r>
    </w:p>
    <w:p>
      <w:pPr>
        <w:pStyle w:val="ListBullet"/>
      </w:pPr>
      <w:r>
        <w:t>Cutting-waste generation</w:t>
      </w:r>
    </w:p>
    <w:p>
      <w:pPr>
        <w:pStyle w:val="ListBullet"/>
      </w:pPr>
      <w:r>
        <w:t>Product-size flexibility</w:t>
      </w:r>
    </w:p>
    <w:p>
      <w:pPr>
        <w:pStyle w:val="ListBullet"/>
      </w:pPr>
      <w:r>
        <w:t>Downstream handling and autoclave loading</w:t>
      </w:r>
    </w:p>
    <w:p>
      <w:r>
        <w:t>Dimensional or surface defects should not automatically be attributed to the cutting machine. Green-cake strength, pre-curing conditions, raw-material consistency, slurry density and mould condition can also affect cutting performance.</w:t>
      </w:r>
    </w:p>
    <w:p>
      <w:pPr>
        <w:pStyle w:val="NoteCallout"/>
      </w:pPr>
      <w:r>
        <w:t>A cutting system should therefore be evaluated as part of the complete AAC production process—not as an isolated machine.</w:t>
      </w:r>
    </w:p>
    <w:p>
      <w:pPr>
        <w:pStyle w:val="Heading1"/>
      </w:pPr>
      <w:r>
        <w:t>How the AAC Block Cutting Process Works</w:t>
      </w:r>
    </w:p>
    <w:p>
      <w:r>
        <w:t>The exact cutting sequence varies according to cake orientation, mould design and plant configuration. In a typical tilt-cake arrangement, the mould is rotated, the mould body is removed and the green cake remains supported on a side plate for transfer to the cutting line.</w:t>
      </w:r>
    </w:p>
    <w:p>
      <w:pPr>
        <w:pStyle w:val="Heading2"/>
      </w:pPr>
      <w:r>
        <w:t>1. Face Trimming and End Finishing</w:t>
      </w:r>
    </w:p>
    <w:p>
      <w:r>
        <w:t>Face trimming removes excess material from the ends of the green cake and establishes the required finished block length. In the configuration described here, the operation is completed in two steps:</w:t>
      </w:r>
    </w:p>
    <w:p>
      <w:pPr>
        <w:pStyle w:val="ListNumber"/>
      </w:pPr>
      <w:r>
        <w:t>Major trimming with cutting wire</w:t>
      </w:r>
    </w:p>
    <w:p>
      <w:pPr>
        <w:pStyle w:val="ListNumber"/>
      </w:pPr>
      <w:r>
        <w:t>Fine finishing with a blade</w:t>
      </w:r>
    </w:p>
    <w:p>
      <w:r>
        <w:t>The wire removes the main excess material. The blade then refines the face to produce a cleaner and more uniform finish.</w:t>
      </w:r>
    </w:p>
    <w:p>
      <w:pPr>
        <w:pStyle w:val="Heading3"/>
      </w:pPr>
      <w:r>
        <w:t>Why Blade Angle Is Important</w:t>
      </w:r>
    </w:p>
    <w:p>
      <w:r>
        <w:t>Blade angle, blade condition and alignment can influence the finished cake face. An unsuitable blade setting can contribute to:</w:t>
      </w:r>
    </w:p>
    <w:p>
      <w:pPr>
        <w:pStyle w:val="ListBullet"/>
      </w:pPr>
      <w:r>
        <w:t>Corner damage</w:t>
      </w:r>
    </w:p>
    <w:p>
      <w:pPr>
        <w:pStyle w:val="ListBullet"/>
      </w:pPr>
      <w:r>
        <w:t>Uneven face finishing</w:t>
      </w:r>
    </w:p>
    <w:p>
      <w:pPr>
        <w:pStyle w:val="ListBullet"/>
      </w:pPr>
      <w:r>
        <w:t>Surface marks</w:t>
      </w:r>
    </w:p>
    <w:p>
      <w:pPr>
        <w:pStyle w:val="ListBullet"/>
      </w:pPr>
      <w:r>
        <w:t>Excessive cutting resistance</w:t>
      </w:r>
    </w:p>
    <w:p>
      <w:pPr>
        <w:pStyle w:val="ListBullet"/>
      </w:pPr>
      <w:r>
        <w:t>Local damage when the blade enters or leaves the cake</w:t>
      </w:r>
    </w:p>
    <w:p>
      <w:r>
        <w:t>Blade adjustment alone cannot correct every finishing problem. If defects continue after checking the blade, the production team should also review cake hardness, pre-curing time, cake movement, machine alignment and raw-material consistency.</w:t>
      </w:r>
    </w:p>
    <w:p>
      <w:pPr>
        <w:pStyle w:val="Heading2"/>
      </w:pPr>
      <w:r>
        <w:t>2. Horizontal Cutting</w:t>
      </w:r>
    </w:p>
    <w:p>
      <w:r>
        <w:t>The horizontal cutting stage uses arranged cutting wires to establish one of the required product dimensions. Wire spacing is selected according to the production recipe and required block sizes. Depending on the cutting-system orientation, this stage may control block height or thickness.</w:t>
      </w:r>
    </w:p>
    <w:p>
      <w:pPr>
        <w:pStyle w:val="ListBullet"/>
      </w:pPr>
      <w:r>
        <w:t>Wire spacing and tension</w:t>
      </w:r>
    </w:p>
    <w:p>
      <w:pPr>
        <w:pStyle w:val="ListBullet"/>
      </w:pPr>
      <w:r>
        <w:t>Wire condition</w:t>
      </w:r>
    </w:p>
    <w:p>
      <w:pPr>
        <w:pStyle w:val="ListBullet"/>
      </w:pPr>
      <w:r>
        <w:t>Cutting-frame alignment</w:t>
      </w:r>
    </w:p>
    <w:p>
      <w:pPr>
        <w:pStyle w:val="ListBullet"/>
      </w:pPr>
      <w:r>
        <w:t>Oscillation or cutting movement, where provided</w:t>
      </w:r>
    </w:p>
    <w:p>
      <w:pPr>
        <w:pStyle w:val="ListBullet"/>
      </w:pPr>
      <w:r>
        <w:t>Cake travel speed</w:t>
      </w:r>
    </w:p>
    <w:p>
      <w:pPr>
        <w:pStyle w:val="ListBullet"/>
      </w:pPr>
      <w:r>
        <w:t>Green-cake consistency</w:t>
      </w:r>
    </w:p>
    <w:p>
      <w:pPr>
        <w:pStyle w:val="ListBullet"/>
      </w:pPr>
      <w:r>
        <w:t>Stability of the supporting plate</w:t>
      </w:r>
    </w:p>
    <w:p>
      <w:r>
        <w:t>The exact cutting direction and the dimension controlled should be shown clearly in the approved project drawing.</w:t>
      </w:r>
    </w:p>
    <w:p>
      <w:pPr>
        <w:pStyle w:val="Heading2"/>
      </w:pPr>
      <w:r>
        <w:t>3. Vertical Cutting</w:t>
      </w:r>
    </w:p>
    <w:p>
      <w:r>
        <w:t>The vertical cutting stage divides the cake along the other required product axis. Accurate and repeatable cutting requires coordination between the cutting mechanism, supporting plate and cake-transfer movement. Sudden starting, stopping or misalignment may place unnecessary stress on the pre-cured cake.</w:t>
      </w:r>
    </w:p>
    <w:p>
      <w:r>
        <w:t>The supported block sizes, wire arrangement and product-change procedure should be confirmed in the project-specific technical specification.</w:t>
      </w:r>
    </w:p>
    <w:p>
      <w:pPr>
        <w:pStyle w:val="Heading1"/>
      </w:pPr>
      <w:r>
        <w:t>Typical Scope of an Automatic AAC Cutting System</w:t>
      </w:r>
    </w:p>
    <w:p>
      <w:r>
        <w:t>The supply scope can vary significantly between plant configurations. A complete technical proposal should therefore separate standard equipment, optional equipment and items outside the supplier’s scope.</w:t>
      </w:r>
    </w:p>
    <w:p>
      <w:pPr>
        <w:pStyle w:val="ListBullet"/>
      </w:pPr>
      <w:r>
        <w:t>Cutting ferry cart or cake-transfer arrangement</w:t>
      </w:r>
    </w:p>
    <w:p>
      <w:pPr>
        <w:pStyle w:val="ListBullet"/>
      </w:pPr>
      <w:r>
        <w:t>Face-trimming wire assembly</w:t>
      </w:r>
    </w:p>
    <w:p>
      <w:pPr>
        <w:pStyle w:val="ListBullet"/>
      </w:pPr>
      <w:r>
        <w:t>Fine-finishing blade arrangement</w:t>
      </w:r>
    </w:p>
    <w:p>
      <w:pPr>
        <w:pStyle w:val="ListBullet"/>
      </w:pPr>
      <w:r>
        <w:t>Horizontal wire-cutting frame</w:t>
      </w:r>
    </w:p>
    <w:p>
      <w:pPr>
        <w:pStyle w:val="ListBullet"/>
      </w:pPr>
      <w:r>
        <w:t>Vertical wire-cutting frame</w:t>
      </w:r>
    </w:p>
    <w:p>
      <w:pPr>
        <w:pStyle w:val="ListBullet"/>
      </w:pPr>
      <w:r>
        <w:t>Wire-tensioning and adjustment arrangement</w:t>
      </w:r>
    </w:p>
    <w:p>
      <w:pPr>
        <w:pStyle w:val="ListBullet"/>
      </w:pPr>
      <w:r>
        <w:t>Cake-positioning mechanism</w:t>
      </w:r>
    </w:p>
    <w:p>
      <w:pPr>
        <w:pStyle w:val="ListBullet"/>
      </w:pPr>
      <w:r>
        <w:t>Cutting-waste collection trench or transfer system</w:t>
      </w:r>
    </w:p>
    <w:p>
      <w:pPr>
        <w:pStyle w:val="ListBullet"/>
      </w:pPr>
      <w:r>
        <w:t>Bottom-layer removal arrangement</w:t>
      </w:r>
    </w:p>
    <w:p>
      <w:pPr>
        <w:pStyle w:val="ListBullet"/>
      </w:pPr>
      <w:r>
        <w:t>Drives, motors and motion-control components</w:t>
      </w:r>
    </w:p>
    <w:p>
      <w:pPr>
        <w:pStyle w:val="ListBullet"/>
      </w:pPr>
      <w:r>
        <w:t>Local electrical control panel and PLC/HMI integration</w:t>
      </w:r>
    </w:p>
    <w:p>
      <w:pPr>
        <w:pStyle w:val="ListBullet"/>
      </w:pPr>
      <w:r>
        <w:t>Sensors, alarms and operational interlocks</w:t>
      </w:r>
    </w:p>
    <w:p>
      <w:pPr>
        <w:pStyle w:val="ListBullet"/>
      </w:pPr>
      <w:r>
        <w:t>Safety guards and emergency-stop provisions</w:t>
      </w:r>
    </w:p>
    <w:p>
      <w:pPr>
        <w:pStyle w:val="ListBullet"/>
      </w:pPr>
      <w:r>
        <w:t>Maintenance access platforms, where required</w:t>
      </w:r>
    </w:p>
    <w:p>
      <w:pPr>
        <w:pStyle w:val="NoteCallout"/>
      </w:pPr>
      <w:r>
        <w:t>Not every component is automatically included in every project. Buyers should compare quotations using an equipment-scope and interface-responsibility table, not only the machinery price.</w:t>
      </w:r>
    </w:p>
    <w:p>
      <w:pPr>
        <w:pStyle w:val="Heading1"/>
      </w:pPr>
      <w:r>
        <w:t>What Determines AAC Cutting Accuracy?</w:t>
      </w:r>
    </w:p>
    <w:p>
      <w:pPr>
        <w:pStyle w:val="Heading2"/>
      </w:pPr>
      <w:r>
        <w:t>Green-Cake Condition</w:t>
      </w:r>
    </w:p>
    <w:p>
      <w:r>
        <w:t>The cake must be sufficiently stable for demoulding, transfer and wire cutting. A cake that is too soft may deform or suffer edge damage. A cake that is excessively hard may increase cutting resistance and affect wire movement or surface finish.</w:t>
      </w:r>
    </w:p>
    <w:p>
      <w:pPr>
        <w:pStyle w:val="ListBullet"/>
      </w:pPr>
      <w:r>
        <w:t>Raw materials and mix design</w:t>
      </w:r>
    </w:p>
    <w:p>
      <w:pPr>
        <w:pStyle w:val="ListBullet"/>
      </w:pPr>
      <w:r>
        <w:t>Slurry characteristics</w:t>
      </w:r>
    </w:p>
    <w:p>
      <w:pPr>
        <w:pStyle w:val="ListBullet"/>
      </w:pPr>
      <w:r>
        <w:t>Casting temperature</w:t>
      </w:r>
    </w:p>
    <w:p>
      <w:pPr>
        <w:pStyle w:val="ListBullet"/>
      </w:pPr>
      <w:r>
        <w:t>Pre-curing conditions</w:t>
      </w:r>
    </w:p>
    <w:p>
      <w:pPr>
        <w:pStyle w:val="ListBullet"/>
      </w:pPr>
      <w:r>
        <w:t>Cake density and strength</w:t>
      </w:r>
    </w:p>
    <w:p>
      <w:pPr>
        <w:pStyle w:val="ListBullet"/>
      </w:pPr>
      <w:r>
        <w:t>Product dimensions</w:t>
      </w:r>
    </w:p>
    <w:p>
      <w:r>
        <w:t>The cutting system cannot compensate for an unsuitable cake condition on its own.</w:t>
      </w:r>
    </w:p>
    <w:p>
      <w:pPr>
        <w:pStyle w:val="Heading2"/>
      </w:pPr>
      <w:r>
        <w:t>Wire Position and Tension</w:t>
      </w:r>
    </w:p>
    <w:p>
      <w:r>
        <w:t>Incorrect wire positioning or inconsistent tension can contribute to dimensional variation, wire drag and irregular cutting surfaces. The maintenance programme should define wire inspection frequency, replacement criteria, tension-setting procedure, alignment checks, approved wire specification and safe wire-change procedure.</w:t>
      </w:r>
    </w:p>
    <w:p>
      <w:pPr>
        <w:pStyle w:val="Heading2"/>
      </w:pPr>
      <w:r>
        <w:t>Machine and Side-Plate Alignment</w:t>
      </w:r>
    </w:p>
    <w:p>
      <w:r>
        <w:t>The side plate, transfer cart, cutting frames and guide system must remain correctly aligned. Alignment should be checked during installation, commissioning and preventive maintenance.</w:t>
      </w:r>
    </w:p>
    <w:p>
      <w:pPr>
        <w:pStyle w:val="Heading2"/>
      </w:pPr>
      <w:r>
        <w:t>Controlled Cake Movement</w:t>
      </w:r>
    </w:p>
    <w:p>
      <w:r>
        <w:t>Green AAC cake is sensitive to sudden motion. Starting, stopping and transfer movements should be controlled to avoid unnecessary jerk. Automation should manage the complete sequence rather than operate each machine as an uncoordinated standalone unit.</w:t>
      </w:r>
    </w:p>
    <w:p>
      <w:pPr>
        <w:pStyle w:val="Heading1"/>
      </w:pPr>
      <w:r>
        <w:t>Common AAC Cutting Problems and Checks</w:t>
      </w:r>
    </w:p>
    <w:tbl>
      <w:tblPr>
        <w:tblW w:type="dxa" w:w="9360"/>
        <w:tblLayout w:type="fixed"/>
        <w:tblLook w:firstColumn="1" w:firstRow="1" w:lastColumn="0" w:lastRow="0" w:noHBand="0" w:noVBand="1" w:val="04A0"/>
        <w:jc w:val="left"/>
        <w:tblInd w:w="120" w:type="dxa"/>
        <w:tblBorders>
          <w:top w:val="single" w:sz="5" w:color="CCD6DF"/>
          <w:left w:val="single" w:sz="5" w:color="CCD6DF"/>
          <w:bottom w:val="single" w:sz="5" w:color="CCD6DF"/>
          <w:right w:val="single" w:sz="5" w:color="CCD6DF"/>
          <w:insideH w:val="single" w:sz="5" w:color="CCD6DF"/>
          <w:insideV w:val="single" w:sz="5" w:color="CCD6DF"/>
        </w:tblBorders>
        <w:tblInd w:w="120" w:type="dxa"/>
        <w:tblInd w:w="120" w:type="dxa"/>
        <w:tblInd w:w="120" w:type="dxa"/>
        <w:tblInd w:w="120" w:type="dxa"/>
        <w:tblInd w:w="120" w:type="dxa"/>
        <w:tblInd w:w="120" w:type="dxa"/>
        <w:tblInd w:w="120" w:type="dxa"/>
        <w:tblInd w:w="120" w:type="dxa"/>
      </w:tblPr>
      <w:tblGrid>
        <w:gridCol w:w="1900"/>
        <w:gridCol w:w="3700"/>
        <w:gridCol w:w="3760"/>
      </w:tblGrid>
      <w:tr>
        <w:trPr>
          <w:tblHeader w:val="true"/>
          <w:cantSplit/>
        </w:trPr>
        <w:tc>
          <w:tcPr>
            <w:tcW w:type="dxa" w:w="1900"/>
            <w:vAlign w:val="center"/>
            <w:tcMar>
              <w:top w:w="90" w:type="dxa"/>
              <w:start w:w="120" w:type="dxa"/>
              <w:bottom w:w="90" w:type="dxa"/>
              <w:end w:w="120" w:type="dxa"/>
            </w:tcMar>
            <w:shd w:fill="0B1727"/>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Pr>
          <w:p>
            <w:pPr>
              <w:spacing w:after="0"/>
            </w:pPr>
            <w:r>
              <w:rPr>
                <w:b/>
                <w:color w:val="FFFFFF"/>
                <w:sz w:val="19"/>
              </w:rPr>
              <w:t>Observed problem</w:t>
            </w:r>
          </w:p>
        </w:tc>
        <w:tc>
          <w:tcPr>
            <w:tcW w:type="dxa" w:w="3700"/>
            <w:vAlign w:val="center"/>
            <w:tcMar>
              <w:top w:w="90" w:type="dxa"/>
              <w:start w:w="120" w:type="dxa"/>
              <w:bottom w:w="90" w:type="dxa"/>
              <w:end w:w="120" w:type="dxa"/>
            </w:tcMar>
            <w:shd w:fill="0B1727"/>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Pr>
          <w:p>
            <w:pPr>
              <w:spacing w:after="0"/>
            </w:pPr>
            <w:r>
              <w:rPr>
                <w:b/>
                <w:color w:val="FFFFFF"/>
                <w:sz w:val="19"/>
              </w:rPr>
              <w:t>Cutting-related checks</w:t>
            </w:r>
          </w:p>
        </w:tc>
        <w:tc>
          <w:tcPr>
            <w:tcW w:type="dxa" w:w="3760"/>
            <w:vAlign w:val="center"/>
            <w:tcMar>
              <w:top w:w="90" w:type="dxa"/>
              <w:start w:w="120" w:type="dxa"/>
              <w:bottom w:w="90" w:type="dxa"/>
              <w:end w:w="120" w:type="dxa"/>
            </w:tcMar>
            <w:shd w:fill="0B1727"/>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Pr>
          <w:p>
            <w:pPr>
              <w:spacing w:after="0"/>
            </w:pPr>
            <w:r>
              <w:rPr>
                <w:b/>
                <w:color w:val="FFFFFF"/>
                <w:sz w:val="19"/>
              </w:rPr>
              <w:t>Additional process checks</w:t>
            </w:r>
          </w:p>
        </w:tc>
      </w:tr>
      <w:tr>
        <w:trPr>
          <w:cantSplit/>
        </w:trPr>
        <w:tc>
          <w:tcPr>
            <w:tcW w:type="dxa" w:w="1900"/>
            <w:vAlign w:val="cente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Pr>
          <w:p>
            <w:pPr>
              <w:spacing w:after="0" w:line="259" w:lineRule="auto"/>
            </w:pPr>
            <w:r>
              <w:rPr>
                <w:color w:val="0B1727"/>
                <w:sz w:val="18"/>
              </w:rPr>
              <w:t>Corner damage</w:t>
            </w:r>
          </w:p>
        </w:tc>
        <w:tc>
          <w:tcPr>
            <w:tcW w:type="dxa" w:w="3700"/>
            <w:vAlign w:val="cente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Pr>
          <w:p>
            <w:pPr>
              <w:spacing w:after="0" w:line="259" w:lineRule="auto"/>
            </w:pPr>
            <w:r>
              <w:rPr>
                <w:color w:val="0B1727"/>
                <w:sz w:val="18"/>
              </w:rPr>
              <w:t>Blade angle, blade condition, wire exit and sudden cake movement</w:t>
            </w:r>
          </w:p>
        </w:tc>
        <w:tc>
          <w:tcPr>
            <w:tcW w:type="dxa" w:w="3760"/>
            <w:vAlign w:val="cente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Pr>
          <w:p>
            <w:pPr>
              <w:spacing w:after="0" w:line="259" w:lineRule="auto"/>
            </w:pPr>
            <w:r>
              <w:rPr>
                <w:color w:val="0B1727"/>
                <w:sz w:val="18"/>
              </w:rPr>
              <w:t>Cake strength, pre-curing and mould release</w:t>
            </w:r>
          </w:p>
        </w:tc>
      </w:tr>
      <w:tr>
        <w:trPr>
          <w:cantSplit/>
        </w:trPr>
        <w:tc>
          <w:tcPr>
            <w:tcW w:type="dxa" w:w="1900"/>
            <w:shd w:fill="F5F7F8"/>
            <w:vAlign w:val="cente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Pr>
          <w:p>
            <w:pPr>
              <w:spacing w:after="0" w:line="259" w:lineRule="auto"/>
            </w:pPr>
            <w:r>
              <w:rPr>
                <w:color w:val="0B1727"/>
                <w:sz w:val="18"/>
              </w:rPr>
              <w:t>Dimensional variation</w:t>
            </w:r>
          </w:p>
        </w:tc>
        <w:tc>
          <w:tcPr>
            <w:tcW w:type="dxa" w:w="3700"/>
            <w:shd w:fill="F5F7F8"/>
            <w:vAlign w:val="cente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Pr>
          <w:p>
            <w:pPr>
              <w:spacing w:after="0" w:line="259" w:lineRule="auto"/>
            </w:pPr>
            <w:r>
              <w:rPr>
                <w:color w:val="0B1727"/>
                <w:sz w:val="18"/>
              </w:rPr>
              <w:t>Wire spacing, tension, frame alignment and side-plate position</w:t>
            </w:r>
          </w:p>
        </w:tc>
        <w:tc>
          <w:tcPr>
            <w:tcW w:type="dxa" w:w="3760"/>
            <w:shd w:fill="F5F7F8"/>
            <w:vAlign w:val="cente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Pr>
          <w:p>
            <w:pPr>
              <w:spacing w:after="0" w:line="259" w:lineRule="auto"/>
            </w:pPr>
            <w:r>
              <w:rPr>
                <w:color w:val="0B1727"/>
                <w:sz w:val="18"/>
              </w:rPr>
              <w:t>Cake deformation and recipe consistency</w:t>
            </w:r>
          </w:p>
        </w:tc>
      </w:tr>
      <w:tr>
        <w:trPr>
          <w:cantSplit/>
        </w:trPr>
        <w:tc>
          <w:tcPr>
            <w:tcW w:type="dxa" w:w="1900"/>
            <w:vAlign w:val="cente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Pr>
          <w:p>
            <w:pPr>
              <w:spacing w:after="0" w:line="259" w:lineRule="auto"/>
            </w:pPr>
            <w:r>
              <w:rPr>
                <w:color w:val="0B1727"/>
                <w:sz w:val="18"/>
              </w:rPr>
              <w:t>Uneven face finish</w:t>
            </w:r>
          </w:p>
        </w:tc>
        <w:tc>
          <w:tcPr>
            <w:tcW w:type="dxa" w:w="3700"/>
            <w:vAlign w:val="cente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Pr>
          <w:p>
            <w:pPr>
              <w:spacing w:after="0" w:line="259" w:lineRule="auto"/>
            </w:pPr>
            <w:r>
              <w:rPr>
                <w:color w:val="0B1727"/>
                <w:sz w:val="18"/>
              </w:rPr>
              <w:t>Blade alignment, wear and cutting movement</w:t>
            </w:r>
          </w:p>
        </w:tc>
        <w:tc>
          <w:tcPr>
            <w:tcW w:type="dxa" w:w="3760"/>
            <w:vAlign w:val="cente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Pr>
          <w:p>
            <w:pPr>
              <w:spacing w:after="0" w:line="259" w:lineRule="auto"/>
            </w:pPr>
            <w:r>
              <w:rPr>
                <w:color w:val="0B1727"/>
                <w:sz w:val="18"/>
              </w:rPr>
              <w:t>Cake hardness and material consistency</w:t>
            </w:r>
          </w:p>
        </w:tc>
      </w:tr>
      <w:tr>
        <w:trPr>
          <w:cantSplit/>
        </w:trPr>
        <w:tc>
          <w:tcPr>
            <w:tcW w:type="dxa" w:w="1900"/>
            <w:shd w:fill="F5F7F8"/>
            <w:vAlign w:val="cente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Pr>
          <w:p>
            <w:pPr>
              <w:spacing w:after="0" w:line="259" w:lineRule="auto"/>
            </w:pPr>
            <w:r>
              <w:rPr>
                <w:color w:val="0B1727"/>
                <w:sz w:val="18"/>
              </w:rPr>
              <w:t>Visible wire marks</w:t>
            </w:r>
          </w:p>
        </w:tc>
        <w:tc>
          <w:tcPr>
            <w:tcW w:type="dxa" w:w="3700"/>
            <w:shd w:fill="F5F7F8"/>
            <w:vAlign w:val="cente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Pr>
          <w:p>
            <w:pPr>
              <w:spacing w:after="0" w:line="259" w:lineRule="auto"/>
            </w:pPr>
            <w:r>
              <w:rPr>
                <w:color w:val="0B1727"/>
                <w:sz w:val="18"/>
              </w:rPr>
              <w:t>Wire condition, tension and cutting speed</w:t>
            </w:r>
          </w:p>
        </w:tc>
        <w:tc>
          <w:tcPr>
            <w:tcW w:type="dxa" w:w="3760"/>
            <w:shd w:fill="F5F7F8"/>
            <w:vAlign w:val="cente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Pr>
          <w:p>
            <w:pPr>
              <w:spacing w:after="0" w:line="259" w:lineRule="auto"/>
            </w:pPr>
            <w:r>
              <w:rPr>
                <w:color w:val="0B1727"/>
                <w:sz w:val="18"/>
              </w:rPr>
              <w:t>Green-cake condition</w:t>
            </w:r>
          </w:p>
        </w:tc>
      </w:tr>
      <w:tr>
        <w:trPr>
          <w:cantSplit/>
        </w:trPr>
        <w:tc>
          <w:tcPr>
            <w:tcW w:type="dxa" w:w="1900"/>
            <w:vAlign w:val="cente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Pr>
          <w:p>
            <w:pPr>
              <w:spacing w:after="0" w:line="259" w:lineRule="auto"/>
            </w:pPr>
            <w:r>
              <w:rPr>
                <w:color w:val="0B1727"/>
                <w:sz w:val="18"/>
              </w:rPr>
              <w:t>Frequent wire breakage</w:t>
            </w:r>
          </w:p>
        </w:tc>
        <w:tc>
          <w:tcPr>
            <w:tcW w:type="dxa" w:w="3700"/>
            <w:vAlign w:val="cente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Pr>
          <w:p>
            <w:pPr>
              <w:spacing w:after="0" w:line="259" w:lineRule="auto"/>
            </w:pPr>
            <w:r>
              <w:rPr>
                <w:color w:val="0B1727"/>
                <w:sz w:val="18"/>
              </w:rPr>
              <w:t>Wire specification, tension, alignment and obstruction</w:t>
            </w:r>
          </w:p>
        </w:tc>
        <w:tc>
          <w:tcPr>
            <w:tcW w:type="dxa" w:w="3760"/>
            <w:vAlign w:val="cente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Pr>
          <w:p>
            <w:pPr>
              <w:spacing w:after="0" w:line="259" w:lineRule="auto"/>
            </w:pPr>
            <w:r>
              <w:rPr>
                <w:color w:val="0B1727"/>
                <w:sz w:val="18"/>
              </w:rPr>
              <w:t>Cake hardness and contamination</w:t>
            </w:r>
          </w:p>
        </w:tc>
      </w:tr>
      <w:tr>
        <w:trPr>
          <w:cantSplit/>
        </w:trPr>
        <w:tc>
          <w:tcPr>
            <w:tcW w:type="dxa" w:w="1900"/>
            <w:shd w:fill="F5F7F8"/>
            <w:vAlign w:val="cente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Pr>
          <w:p>
            <w:pPr>
              <w:spacing w:after="0" w:line="259" w:lineRule="auto"/>
            </w:pPr>
            <w:r>
              <w:rPr>
                <w:color w:val="0B1727"/>
                <w:sz w:val="18"/>
              </w:rPr>
              <w:t>Cake cracks during transfer</w:t>
            </w:r>
          </w:p>
        </w:tc>
        <w:tc>
          <w:tcPr>
            <w:tcW w:type="dxa" w:w="3700"/>
            <w:shd w:fill="F5F7F8"/>
            <w:vAlign w:val="cente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Pr>
          <w:p>
            <w:pPr>
              <w:spacing w:after="0" w:line="259" w:lineRule="auto"/>
            </w:pPr>
            <w:r>
              <w:rPr>
                <w:color w:val="0B1727"/>
                <w:sz w:val="18"/>
              </w:rPr>
              <w:t>Ferry-cart alignment, acceleration and stopping</w:t>
            </w:r>
          </w:p>
        </w:tc>
        <w:tc>
          <w:tcPr>
            <w:tcW w:type="dxa" w:w="3760"/>
            <w:shd w:fill="F5F7F8"/>
            <w:vAlign w:val="cente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Pr>
          <w:p>
            <w:pPr>
              <w:spacing w:after="0" w:line="259" w:lineRule="auto"/>
            </w:pPr>
            <w:r>
              <w:rPr>
                <w:color w:val="0B1727"/>
                <w:sz w:val="18"/>
              </w:rPr>
              <w:t>Cake strength and demoulding condition</w:t>
            </w:r>
          </w:p>
        </w:tc>
      </w:tr>
      <w:tr>
        <w:trPr>
          <w:cantSplit/>
        </w:trPr>
        <w:tc>
          <w:tcPr>
            <w:tcW w:type="dxa" w:w="1900"/>
            <w:vAlign w:val="center"/>
            <w:tcMar>
              <w:top w:w="90" w:type="dxa"/>
              <w:start w:w="120" w:type="dxa"/>
              <w:bottom w:w="90" w:type="dxa"/>
              <w:end w:w="120" w:type="dxa"/>
            </w:tcMar>
            <w:tcMar>
              <w:top w:w="90" w:type="dxa"/>
              <w:start w:w="120" w:type="dxa"/>
              <w:bottom w:w="90" w:type="dxa"/>
              <w:end w:w="120" w:type="dxa"/>
            </w:tcMar>
          </w:tcPr>
          <w:p>
            <w:pPr>
              <w:spacing w:after="0" w:line="259" w:lineRule="auto"/>
            </w:pPr>
            <w:r>
              <w:rPr>
                <w:color w:val="0B1727"/>
                <w:sz w:val="18"/>
              </w:rPr>
              <w:t>Cutting-trench blockage</w:t>
            </w:r>
          </w:p>
        </w:tc>
        <w:tc>
          <w:tcPr>
            <w:tcW w:type="dxa" w:w="3700"/>
            <w:vAlign w:val="center"/>
            <w:tcMar>
              <w:top w:w="90" w:type="dxa"/>
              <w:start w:w="120" w:type="dxa"/>
              <w:bottom w:w="90" w:type="dxa"/>
              <w:end w:w="120" w:type="dxa"/>
            </w:tcMar>
            <w:tcMar>
              <w:top w:w="90" w:type="dxa"/>
              <w:start w:w="120" w:type="dxa"/>
              <w:bottom w:w="90" w:type="dxa"/>
              <w:end w:w="120" w:type="dxa"/>
            </w:tcMar>
          </w:tcPr>
          <w:p>
            <w:pPr>
              <w:spacing w:after="0" w:line="259" w:lineRule="auto"/>
            </w:pPr>
            <w:r>
              <w:rPr>
                <w:color w:val="0B1727"/>
                <w:sz w:val="18"/>
              </w:rPr>
              <w:t>Cleaning frequency, circulation and pipeline condition</w:t>
            </w:r>
          </w:p>
        </w:tc>
        <w:tc>
          <w:tcPr>
            <w:tcW w:type="dxa" w:w="3760"/>
            <w:vAlign w:val="center"/>
            <w:tcMar>
              <w:top w:w="90" w:type="dxa"/>
              <w:start w:w="120" w:type="dxa"/>
              <w:bottom w:w="90" w:type="dxa"/>
              <w:end w:w="120" w:type="dxa"/>
            </w:tcMar>
            <w:tcMar>
              <w:top w:w="90" w:type="dxa"/>
              <w:start w:w="120" w:type="dxa"/>
              <w:bottom w:w="90" w:type="dxa"/>
              <w:end w:w="120" w:type="dxa"/>
            </w:tcMar>
          </w:tcPr>
          <w:p>
            <w:pPr>
              <w:spacing w:after="0" w:line="259" w:lineRule="auto"/>
            </w:pPr>
            <w:r>
              <w:rPr>
                <w:color w:val="0B1727"/>
                <w:sz w:val="18"/>
              </w:rPr>
              <w:t>Waste volume and slurry settlement</w:t>
            </w:r>
          </w:p>
        </w:tc>
      </w:tr>
      <w:tr>
        <w:trPr>
          <w:cantSplit/>
        </w:trPr>
        <w:tc>
          <w:tcPr>
            <w:tcW w:type="dxa" w:w="1900"/>
            <w:shd w:fill="F5F7F8"/>
            <w:vAlign w:val="center"/>
            <w:tcMar>
              <w:top w:w="90" w:type="dxa"/>
              <w:start w:w="120" w:type="dxa"/>
              <w:bottom w:w="90" w:type="dxa"/>
              <w:end w:w="120" w:type="dxa"/>
            </w:tcMar>
          </w:tcPr>
          <w:p>
            <w:pPr>
              <w:spacing w:after="0" w:line="259" w:lineRule="auto"/>
            </w:pPr>
            <w:r>
              <w:rPr>
                <w:color w:val="0B1727"/>
                <w:sz w:val="18"/>
              </w:rPr>
              <w:t>Incomplete crust removal</w:t>
            </w:r>
          </w:p>
        </w:tc>
        <w:tc>
          <w:tcPr>
            <w:tcW w:type="dxa" w:w="3700"/>
            <w:shd w:fill="F5F7F8"/>
            <w:vAlign w:val="center"/>
            <w:tcMar>
              <w:top w:w="90" w:type="dxa"/>
              <w:start w:w="120" w:type="dxa"/>
              <w:bottom w:w="90" w:type="dxa"/>
              <w:end w:w="120" w:type="dxa"/>
            </w:tcMar>
          </w:tcPr>
          <w:p>
            <w:pPr>
              <w:spacing w:after="0" w:line="259" w:lineRule="auto"/>
            </w:pPr>
            <w:r>
              <w:rPr>
                <w:color w:val="0B1727"/>
                <w:sz w:val="18"/>
              </w:rPr>
              <w:t>Trimming setting and waste-removal arrangement</w:t>
            </w:r>
          </w:p>
        </w:tc>
        <w:tc>
          <w:tcPr>
            <w:tcW w:type="dxa" w:w="3760"/>
            <w:shd w:fill="F5F7F8"/>
            <w:vAlign w:val="center"/>
            <w:tcMar>
              <w:top w:w="90" w:type="dxa"/>
              <w:start w:w="120" w:type="dxa"/>
              <w:bottom w:w="90" w:type="dxa"/>
              <w:end w:w="120" w:type="dxa"/>
            </w:tcMar>
          </w:tcPr>
          <w:p>
            <w:pPr>
              <w:spacing w:after="0" w:line="259" w:lineRule="auto"/>
            </w:pPr>
            <w:r>
              <w:rPr>
                <w:color w:val="0B1727"/>
                <w:sz w:val="18"/>
              </w:rPr>
              <w:t>Cake shape and mould filling consistency</w:t>
            </w:r>
          </w:p>
        </w:tc>
      </w:tr>
    </w:tbl>
    <w:p>
      <w:pPr>
        <w:spacing w:after="0"/>
      </w:pPr>
    </w:p>
    <w:p>
      <w:pPr>
        <w:pStyle w:val="NoteCallout"/>
      </w:pPr>
      <w:r>
        <w:t>These are diagnostic starting points, not universal conclusions. The production team should evaluate the complete process before assigning a single cause.</w:t>
      </w:r>
    </w:p>
    <w:p>
      <w:pPr>
        <w:pStyle w:val="Heading1"/>
      </w:pPr>
      <w:r>
        <w:t>AAC Cutting Waste Recovery</w:t>
      </w:r>
    </w:p>
    <w:p>
      <w:r>
        <w:t>Face trimming and wire cutting generate green AAC material from the cake ends, surfaces and product-size adjustments. This material can normally be collected and returned to the production process through a controlled waste-slurry system. Recovery can reduce avoidable disposal and improve raw-material utilisation.</w:t>
      </w:r>
    </w:p>
    <w:p>
      <w:r>
        <w:t>The usable proportion of recovered material must not be treated as a fixed percentage for every AAC plant. It depends on raw-material characteristics, mix formulation, recovered-slurry density, water balance, holding time, contamination control, required product quality and process results.</w:t>
      </w:r>
    </w:p>
    <w:p>
      <w:pPr>
        <w:pStyle w:val="NoteCallout"/>
      </w:pPr>
      <w:r>
        <w:t>The permissible recovered-slurry proportion should be established through plant trials and quality control, then controlled as part of the production recipe.</w:t>
      </w:r>
    </w:p>
    <w:p>
      <w:pPr>
        <w:pStyle w:val="Heading2"/>
      </w:pPr>
      <w:r>
        <w:t>Conventional Cutting-Trench Circulation</w:t>
      </w:r>
    </w:p>
    <w:p>
      <w:r>
        <w:t>In a conventional arrangement, cutting waste falls into a trench below the cutting machine. Water and slurry circulation are used to prevent settlement and transfer the recovered material toward the waste-slurry preparation system.</w:t>
      </w:r>
    </w:p>
    <w:p>
      <w:pPr>
        <w:pStyle w:val="ListBullet"/>
      </w:pPr>
      <w:r>
        <w:t>Material settlement</w:t>
      </w:r>
    </w:p>
    <w:p>
      <w:pPr>
        <w:pStyle w:val="ListBullet"/>
      </w:pPr>
      <w:r>
        <w:t>Slurry accumulation</w:t>
      </w:r>
    </w:p>
    <w:p>
      <w:pPr>
        <w:pStyle w:val="ListBullet"/>
      </w:pPr>
      <w:r>
        <w:t>Pump choking</w:t>
      </w:r>
    </w:p>
    <w:p>
      <w:pPr>
        <w:pStyle w:val="ListBullet"/>
      </w:pPr>
      <w:r>
        <w:t>Pipeline blockage</w:t>
      </w:r>
    </w:p>
    <w:p>
      <w:pPr>
        <w:pStyle w:val="ListBullet"/>
      </w:pPr>
      <w:r>
        <w:t>Difficult cleaning</w:t>
      </w:r>
    </w:p>
    <w:p>
      <w:pPr>
        <w:pStyle w:val="ListBullet"/>
      </w:pPr>
      <w:r>
        <w:t>Maintenance-related interruption</w:t>
      </w:r>
    </w:p>
    <w:p>
      <w:r>
        <w:t>Some cutting-trench designs require the circulation pump to operate throughout active cutting periods. The actual operating requirement depends on the trench design, waste load, pump selection and plant process.</w:t>
      </w:r>
    </w:p>
    <w:p>
      <w:pPr>
        <w:pStyle w:val="Heading2"/>
      </w:pPr>
      <w:r>
        <w:t>Separate Cutting-Waste Transfer Arrangement</w:t>
      </w:r>
    </w:p>
    <w:p>
      <w:r>
        <w:t>Laxmi En-Fab can configure a separate arrangement to transfer green cutting waste toward the waste-slurry handling area without converting all the material into slurry directly inside the cutting trench.</w:t>
      </w:r>
    </w:p>
    <w:p>
      <w:pPr>
        <w:pStyle w:val="ListBullet"/>
      </w:pPr>
      <w:r>
        <w:t>Reduce slurry accumulation in the cutting trench</w:t>
      </w:r>
    </w:p>
    <w:p>
      <w:pPr>
        <w:pStyle w:val="ListBullet"/>
      </w:pPr>
      <w:r>
        <w:t>Simplify trench cleaning</w:t>
      </w:r>
    </w:p>
    <w:p>
      <w:pPr>
        <w:pStyle w:val="ListBullet"/>
      </w:pPr>
      <w:r>
        <w:t>Reduce dependency on continuous trench circulation</w:t>
      </w:r>
    </w:p>
    <w:p>
      <w:pPr>
        <w:pStyle w:val="ListBullet"/>
      </w:pPr>
      <w:r>
        <w:t>Reduce blockage risk associated with settled slurry</w:t>
      </w:r>
    </w:p>
    <w:p>
      <w:pPr>
        <w:pStyle w:val="ListBullet"/>
      </w:pPr>
      <w:r>
        <w:t>Transfer recovered material to a controlled slurry-preparation area</w:t>
      </w:r>
    </w:p>
    <w:p>
      <w:r>
        <w:t>This does not mean that slurry pumps are eliminated from the complete AAC production process. The actual effect on maintenance, pump operation and electrical consumption depends on the final system design and must be assessed project by project.</w:t>
      </w:r>
    </w:p>
    <w:p>
      <w:pPr>
        <w:pStyle w:val="Heading1"/>
      </w:pPr>
      <w:r>
        <w:t>Bottom-Layer Removal</w:t>
      </w:r>
    </w:p>
    <w:p>
      <w:r>
        <w:t>After cake cutting, unwanted material may remain between the cake and its supporting plate. Certain tilt-cake configurations use an additional rotation or handling step to separate this bottom layer before the cake proceeds to grouping and autoclave loading. Other cutting technologies may use a different method or generate a different bottom-waste condition.</w:t>
      </w:r>
    </w:p>
    <w:p>
      <w:pPr>
        <w:pStyle w:val="ListBullet"/>
      </w:pPr>
      <w:r>
        <w:t>Cake orientation</w:t>
      </w:r>
    </w:p>
    <w:p>
      <w:pPr>
        <w:pStyle w:val="ListBullet"/>
      </w:pPr>
      <w:r>
        <w:t>Side-plate design</w:t>
      </w:r>
    </w:p>
    <w:p>
      <w:pPr>
        <w:pStyle w:val="ListBullet"/>
      </w:pPr>
      <w:r>
        <w:t>Cutting technology</w:t>
      </w:r>
    </w:p>
    <w:p>
      <w:pPr>
        <w:pStyle w:val="ListBullet"/>
      </w:pPr>
      <w:r>
        <w:t>Required level of automation</w:t>
      </w:r>
    </w:p>
    <w:p>
      <w:pPr>
        <w:pStyle w:val="ListBullet"/>
      </w:pPr>
      <w:r>
        <w:t>Available plant space</w:t>
      </w:r>
    </w:p>
    <w:p>
      <w:pPr>
        <w:pStyle w:val="ListBullet"/>
      </w:pPr>
      <w:r>
        <w:t>Cake-handling sequence</w:t>
      </w:r>
    </w:p>
    <w:p>
      <w:pPr>
        <w:pStyle w:val="ListBullet"/>
      </w:pPr>
      <w:r>
        <w:t>Product range</w:t>
      </w:r>
    </w:p>
    <w:p>
      <w:pPr>
        <w:pStyle w:val="ListBullet"/>
      </w:pPr>
      <w:r>
        <w:t>Maintenance access</w:t>
      </w:r>
    </w:p>
    <w:p>
      <w:r>
        <w:t>For a new project, the proposed sequence should be shown in the layout and process-flow drawing. For an existing plant, the supplier should first study the current side plates, transfer system, civil arrangement and available space.</w:t>
      </w:r>
    </w:p>
    <w:p>
      <w:pPr>
        <w:pStyle w:val="Heading1"/>
      </w:pPr>
      <w:r>
        <w:t>Automation and Control</w:t>
      </w:r>
    </w:p>
    <w:p>
      <w:r>
        <w:t>An automatic AAC cutting system should control the sequence between cake arrival and cake exit. The word “automatic” should not be used only because individual motors or machines operate automatically.</w:t>
      </w:r>
    </w:p>
    <w:p>
      <w:pPr>
        <w:pStyle w:val="ListBullet"/>
      </w:pPr>
      <w:r>
        <w:t>Automatic and manual operating steps</w:t>
      </w:r>
    </w:p>
    <w:p>
      <w:pPr>
        <w:pStyle w:val="ListBullet"/>
      </w:pPr>
      <w:r>
        <w:t>Cake-position detection</w:t>
      </w:r>
    </w:p>
    <w:p>
      <w:pPr>
        <w:pStyle w:val="ListBullet"/>
      </w:pPr>
      <w:r>
        <w:t>Cutting-frame and transfer-cart movement</w:t>
      </w:r>
    </w:p>
    <w:p>
      <w:pPr>
        <w:pStyle w:val="ListBullet"/>
      </w:pPr>
      <w:r>
        <w:t>Sequence interlocks and emergency-stop logic</w:t>
      </w:r>
    </w:p>
    <w:p>
      <w:pPr>
        <w:pStyle w:val="ListBullet"/>
      </w:pPr>
      <w:r>
        <w:t>Fault alarms</w:t>
      </w:r>
    </w:p>
    <w:p>
      <w:pPr>
        <w:pStyle w:val="ListBullet"/>
      </w:pPr>
      <w:r>
        <w:t>Wire-break indication, if included</w:t>
      </w:r>
    </w:p>
    <w:p>
      <w:pPr>
        <w:pStyle w:val="ListBullet"/>
      </w:pPr>
      <w:r>
        <w:t>Recipe or size selection</w:t>
      </w:r>
    </w:p>
    <w:p>
      <w:pPr>
        <w:pStyle w:val="ListBullet"/>
      </w:pPr>
      <w:r>
        <w:t>Maintenance mode</w:t>
      </w:r>
    </w:p>
    <w:p>
      <w:pPr>
        <w:pStyle w:val="ListBullet"/>
      </w:pPr>
      <w:r>
        <w:t>Upstream and downstream connections</w:t>
      </w:r>
    </w:p>
    <w:p>
      <w:pPr>
        <w:pStyle w:val="ListBullet"/>
      </w:pPr>
      <w:r>
        <w:t>PLC/HMI interface</w:t>
      </w:r>
    </w:p>
    <w:p>
      <w:pPr>
        <w:pStyle w:val="ListBullet"/>
      </w:pPr>
      <w:r>
        <w:t>Production monitoring, where included</w:t>
      </w:r>
    </w:p>
    <w:p>
      <w:r>
        <w:t>Automatic operation does not eliminate the need for trained supervision. Operators must understand cake condition, size settings, wire inspection, abnormal sounds, alarm response and safe maintenance procedures.</w:t>
      </w:r>
    </w:p>
    <w:p>
      <w:pPr>
        <w:pStyle w:val="Heading1"/>
      </w:pPr>
      <w:r>
        <w:t>Maintenance and Consumables</w:t>
      </w:r>
    </w:p>
    <w:p>
      <w:pPr>
        <w:pStyle w:val="Heading2"/>
      </w:pPr>
      <w:r>
        <w:t>Routine Checks</w:t>
      </w:r>
    </w:p>
    <w:p>
      <w:pPr>
        <w:pStyle w:val="ListBullet"/>
      </w:pPr>
      <w:r>
        <w:t>Cutting-wire condition and tension</w:t>
      </w:r>
    </w:p>
    <w:p>
      <w:pPr>
        <w:pStyle w:val="ListBullet"/>
      </w:pPr>
      <w:r>
        <w:t>Blade alignment and wear</w:t>
      </w:r>
    </w:p>
    <w:p>
      <w:pPr>
        <w:pStyle w:val="ListBullet"/>
      </w:pPr>
      <w:r>
        <w:t>Cutting-frame alignment</w:t>
      </w:r>
    </w:p>
    <w:p>
      <w:pPr>
        <w:pStyle w:val="ListBullet"/>
      </w:pPr>
      <w:r>
        <w:t>Guide rails and travelling mechanisms</w:t>
      </w:r>
    </w:p>
    <w:p>
      <w:pPr>
        <w:pStyle w:val="ListBullet"/>
      </w:pPr>
      <w:r>
        <w:t>Side-plate condition</w:t>
      </w:r>
    </w:p>
    <w:p>
      <w:pPr>
        <w:pStyle w:val="ListBullet"/>
      </w:pPr>
      <w:r>
        <w:t>Ferry-cart wheels and drive system</w:t>
      </w:r>
    </w:p>
    <w:p>
      <w:pPr>
        <w:pStyle w:val="ListBullet"/>
      </w:pPr>
      <w:r>
        <w:t>Sensors and limit switches</w:t>
      </w:r>
    </w:p>
    <w:p>
      <w:pPr>
        <w:pStyle w:val="ListBullet"/>
      </w:pPr>
      <w:r>
        <w:t>Hydraulic or pneumatic components, where provided</w:t>
      </w:r>
    </w:p>
    <w:p>
      <w:pPr>
        <w:pStyle w:val="ListBullet"/>
      </w:pPr>
      <w:r>
        <w:t>Guards and emergency stops</w:t>
      </w:r>
    </w:p>
    <w:p>
      <w:pPr>
        <w:pStyle w:val="ListBullet"/>
      </w:pPr>
      <w:r>
        <w:t>Cutting-trench cleanliness</w:t>
      </w:r>
    </w:p>
    <w:p>
      <w:pPr>
        <w:pStyle w:val="ListBullet"/>
      </w:pPr>
      <w:r>
        <w:t>Pump and pipeline condition</w:t>
      </w:r>
    </w:p>
    <w:p>
      <w:pPr>
        <w:pStyle w:val="ListBullet"/>
      </w:pPr>
      <w:r>
        <w:t>Electrical-panel cleanliness</w:t>
      </w:r>
    </w:p>
    <w:p>
      <w:pPr>
        <w:pStyle w:val="ListBullet"/>
      </w:pPr>
      <w:r>
        <w:t>Loose fasteners and abnormal vibration</w:t>
      </w:r>
    </w:p>
    <w:p>
      <w:pPr>
        <w:pStyle w:val="Heading2"/>
      </w:pPr>
      <w:r>
        <w:t>Typical Consumables and Critical Spares</w:t>
      </w:r>
    </w:p>
    <w:p>
      <w:r>
        <w:t>The final recommended-spares list should be based on the actual equipment configuration. It may include cutting wires, finishing blades, wire-tensioning components, sensors, bearings, seals, drive components, pump wear parts and electrical control components.</w:t>
      </w:r>
    </w:p>
    <w:p>
      <w:pPr>
        <w:pStyle w:val="Heading1"/>
      </w:pPr>
      <w:r>
        <w:t>Safety Considerations</w:t>
      </w:r>
    </w:p>
    <w:p>
      <w:r>
        <w:t>AAC cutting systems combine moving cake-transfer equipment, cutting frames, wires, blades, drives and slurry-handling areas. Safe access must be considered during design and operation.</w:t>
      </w:r>
    </w:p>
    <w:p>
      <w:pPr>
        <w:pStyle w:val="ListBullet"/>
      </w:pPr>
      <w:r>
        <w:t>Fixed and movable guards</w:t>
      </w:r>
    </w:p>
    <w:p>
      <w:pPr>
        <w:pStyle w:val="ListBullet"/>
      </w:pPr>
      <w:r>
        <w:t>Emergency-stop stations</w:t>
      </w:r>
    </w:p>
    <w:p>
      <w:pPr>
        <w:pStyle w:val="ListBullet"/>
      </w:pPr>
      <w:r>
        <w:t>Access gates with interlocks</w:t>
      </w:r>
    </w:p>
    <w:p>
      <w:pPr>
        <w:pStyle w:val="ListBullet"/>
      </w:pPr>
      <w:r>
        <w:t>Defined operator zones</w:t>
      </w:r>
    </w:p>
    <w:p>
      <w:pPr>
        <w:pStyle w:val="ListBullet"/>
      </w:pPr>
      <w:r>
        <w:t>Safe wire- and blade-change procedures</w:t>
      </w:r>
    </w:p>
    <w:p>
      <w:pPr>
        <w:pStyle w:val="ListBullet"/>
      </w:pPr>
      <w:r>
        <w:t>Lockout and isolation points</w:t>
      </w:r>
    </w:p>
    <w:p>
      <w:pPr>
        <w:pStyle w:val="ListBullet"/>
      </w:pPr>
      <w:r>
        <w:t>Protection around moving carts and frames</w:t>
      </w:r>
    </w:p>
    <w:p>
      <w:pPr>
        <w:pStyle w:val="ListBullet"/>
      </w:pPr>
      <w:r>
        <w:t>Non-slip access near wet areas</w:t>
      </w:r>
    </w:p>
    <w:p>
      <w:pPr>
        <w:pStyle w:val="ListBullet"/>
      </w:pPr>
      <w:r>
        <w:t>Safe inspection and maintenance platforms</w:t>
      </w:r>
    </w:p>
    <w:p>
      <w:pPr>
        <w:pStyle w:val="ListBullet"/>
      </w:pPr>
      <w:r>
        <w:t>Alarm indication before automatic movement</w:t>
      </w:r>
    </w:p>
    <w:p>
      <w:pPr>
        <w:pStyle w:val="ListBullet"/>
      </w:pPr>
      <w:r>
        <w:t>Training for operation, cleaning and maintenance</w:t>
      </w:r>
    </w:p>
    <w:p>
      <w:r>
        <w:t>The final safety arrangement must be reviewed against the installed machinery, plant layout and applicable project requirements.</w:t>
      </w:r>
    </w:p>
    <w:p>
      <w:pPr>
        <w:pStyle w:val="Heading1"/>
      </w:pPr>
      <w:r>
        <w:t>Selecting an AAC Cutting System</w:t>
      </w:r>
    </w:p>
    <w:tbl>
      <w:tblPr>
        <w:tblW w:type="dxa" w:w="9360"/>
        <w:tblLayout w:type="fixed"/>
        <w:tblLook w:firstColumn="1" w:firstRow="1" w:lastColumn="0" w:lastRow="0" w:noHBand="0" w:noVBand="1" w:val="04A0"/>
        <w:jc w:val="left"/>
        <w:tblInd w:w="120" w:type="dxa"/>
        <w:tblBorders>
          <w:top w:val="single" w:sz="5" w:color="CCD6DF"/>
          <w:left w:val="single" w:sz="5" w:color="CCD6DF"/>
          <w:bottom w:val="single" w:sz="5" w:color="CCD6DF"/>
          <w:right w:val="single" w:sz="5" w:color="CCD6DF"/>
          <w:insideH w:val="single" w:sz="5" w:color="CCD6DF"/>
          <w:insideV w:val="single" w:sz="5" w:color="CCD6DF"/>
        </w:tblBorders>
        <w:tblInd w:w="120" w:type="dxa"/>
        <w:tblInd w:w="120" w:type="dxa"/>
        <w:tblInd w:w="120" w:type="dxa"/>
        <w:tblInd w:w="120" w:type="dxa"/>
        <w:tblInd w:w="120" w:type="dxa"/>
        <w:tblInd w:w="120" w:type="dxa"/>
        <w:tblInd w:w="120" w:type="dxa"/>
        <w:tblInd w:w="120" w:type="dxa"/>
        <w:tblInd w:w="120" w:type="dxa"/>
        <w:tblInd w:w="120" w:type="dxa"/>
        <w:tblInd w:w="120" w:type="dxa"/>
        <w:tblInd w:w="120" w:type="dxa"/>
        <w:tblInd w:w="120" w:type="dxa"/>
      </w:tblPr>
      <w:tblGrid>
        <w:gridCol w:w="2850"/>
        <w:gridCol w:w="6510"/>
      </w:tblGrid>
      <w:tr>
        <w:trPr>
          <w:tblHeader w:val="true"/>
          <w:cantSplit/>
        </w:trPr>
        <w:tc>
          <w:tcPr>
            <w:tcW w:type="dxa" w:w="2850"/>
            <w:vAlign w:val="center"/>
            <w:tcMar>
              <w:top w:w="90" w:type="dxa"/>
              <w:start w:w="120" w:type="dxa"/>
              <w:bottom w:w="90" w:type="dxa"/>
              <w:end w:w="120" w:type="dxa"/>
            </w:tcMar>
            <w:shd w:fill="0B1727"/>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Pr>
          <w:p>
            <w:pPr>
              <w:spacing w:after="0"/>
            </w:pPr>
            <w:r>
              <w:rPr>
                <w:b/>
                <w:color w:val="FFFFFF"/>
                <w:sz w:val="19"/>
              </w:rPr>
              <w:t>Selection input</w:t>
            </w:r>
          </w:p>
        </w:tc>
        <w:tc>
          <w:tcPr>
            <w:tcW w:type="dxa" w:w="6510"/>
            <w:vAlign w:val="center"/>
            <w:tcMar>
              <w:top w:w="90" w:type="dxa"/>
              <w:start w:w="120" w:type="dxa"/>
              <w:bottom w:w="90" w:type="dxa"/>
              <w:end w:w="120" w:type="dxa"/>
            </w:tcMar>
            <w:shd w:fill="0B1727"/>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Pr>
          <w:p>
            <w:pPr>
              <w:spacing w:after="0"/>
            </w:pPr>
            <w:r>
              <w:rPr>
                <w:b/>
                <w:color w:val="FFFFFF"/>
                <w:sz w:val="19"/>
              </w:rPr>
              <w:t>Why it matters</w:t>
            </w:r>
          </w:p>
        </w:tc>
      </w:tr>
      <w:tr>
        <w:trPr>
          <w:cantSplit/>
        </w:trPr>
        <w:tc>
          <w:tcPr>
            <w:tcW w:type="dxa" w:w="2850"/>
            <w:vAlign w:val="cente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Pr>
          <w:p>
            <w:pPr>
              <w:spacing w:after="0" w:line="259" w:lineRule="auto"/>
            </w:pPr>
            <w:r>
              <w:rPr>
                <w:color w:val="0B1727"/>
                <w:sz w:val="18"/>
              </w:rPr>
              <w:t>Planned plant capacity</w:t>
            </w:r>
          </w:p>
        </w:tc>
        <w:tc>
          <w:tcPr>
            <w:tcW w:type="dxa" w:w="6510"/>
            <w:vAlign w:val="cente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Pr>
          <w:p>
            <w:pPr>
              <w:spacing w:after="0" w:line="259" w:lineRule="auto"/>
            </w:pPr>
            <w:r>
              <w:rPr>
                <w:color w:val="0B1727"/>
                <w:sz w:val="18"/>
              </w:rPr>
              <w:t>Determines the required cutting cycle and system coordination</w:t>
            </w:r>
          </w:p>
        </w:tc>
      </w:tr>
      <w:tr>
        <w:trPr>
          <w:cantSplit/>
        </w:trPr>
        <w:tc>
          <w:tcPr>
            <w:tcW w:type="dxa" w:w="2850"/>
            <w:shd w:fill="F5F7F8"/>
            <w:vAlign w:val="cente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Pr>
          <w:p>
            <w:pPr>
              <w:spacing w:after="0" w:line="259" w:lineRule="auto"/>
            </w:pPr>
            <w:r>
              <w:rPr>
                <w:color w:val="0B1727"/>
                <w:sz w:val="18"/>
              </w:rPr>
              <w:t>Mould and cake dimensions</w:t>
            </w:r>
          </w:p>
        </w:tc>
        <w:tc>
          <w:tcPr>
            <w:tcW w:type="dxa" w:w="6510"/>
            <w:shd w:fill="F5F7F8"/>
            <w:vAlign w:val="cente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Pr>
          <w:p>
            <w:pPr>
              <w:spacing w:after="0" w:line="259" w:lineRule="auto"/>
            </w:pPr>
            <w:r>
              <w:rPr>
                <w:color w:val="0B1727"/>
                <w:sz w:val="18"/>
              </w:rPr>
              <w:t>Defines the basic machine geometry</w:t>
            </w:r>
          </w:p>
        </w:tc>
      </w:tr>
      <w:tr>
        <w:trPr>
          <w:cantSplit/>
        </w:trPr>
        <w:tc>
          <w:tcPr>
            <w:tcW w:type="dxa" w:w="2850"/>
            <w:vAlign w:val="cente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Pr>
          <w:p>
            <w:pPr>
              <w:spacing w:after="0" w:line="259" w:lineRule="auto"/>
            </w:pPr>
            <w:r>
              <w:rPr>
                <w:color w:val="0B1727"/>
                <w:sz w:val="18"/>
              </w:rPr>
              <w:t>Required block sizes</w:t>
            </w:r>
          </w:p>
        </w:tc>
        <w:tc>
          <w:tcPr>
            <w:tcW w:type="dxa" w:w="6510"/>
            <w:vAlign w:val="cente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Pr>
          <w:p>
            <w:pPr>
              <w:spacing w:after="0" w:line="259" w:lineRule="auto"/>
            </w:pPr>
            <w:r>
              <w:rPr>
                <w:color w:val="0B1727"/>
                <w:sz w:val="18"/>
              </w:rPr>
              <w:t>Determines wire spacing and cutting flexibility</w:t>
            </w:r>
          </w:p>
        </w:tc>
      </w:tr>
      <w:tr>
        <w:trPr>
          <w:cantSplit/>
        </w:trPr>
        <w:tc>
          <w:tcPr>
            <w:tcW w:type="dxa" w:w="2850"/>
            <w:shd w:fill="F5F7F8"/>
            <w:vAlign w:val="cente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Pr>
          <w:p>
            <w:pPr>
              <w:spacing w:after="0" w:line="259" w:lineRule="auto"/>
            </w:pPr>
            <w:r>
              <w:rPr>
                <w:color w:val="0B1727"/>
                <w:sz w:val="18"/>
              </w:rPr>
              <w:t>Product-change frequency</w:t>
            </w:r>
          </w:p>
        </w:tc>
        <w:tc>
          <w:tcPr>
            <w:tcW w:type="dxa" w:w="6510"/>
            <w:shd w:fill="F5F7F8"/>
            <w:vAlign w:val="cente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Pr>
          <w:p>
            <w:pPr>
              <w:spacing w:after="0" w:line="259" w:lineRule="auto"/>
            </w:pPr>
            <w:r>
              <w:rPr>
                <w:color w:val="0B1727"/>
                <w:sz w:val="18"/>
              </w:rPr>
              <w:t>Influences adjustment and recipe requirements</w:t>
            </w:r>
          </w:p>
        </w:tc>
      </w:tr>
      <w:tr>
        <w:trPr>
          <w:cantSplit/>
        </w:trPr>
        <w:tc>
          <w:tcPr>
            <w:tcW w:type="dxa" w:w="2850"/>
            <w:vAlign w:val="cente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Pr>
          <w:p>
            <w:pPr>
              <w:spacing w:after="0" w:line="259" w:lineRule="auto"/>
            </w:pPr>
            <w:r>
              <w:rPr>
                <w:color w:val="0B1727"/>
                <w:sz w:val="18"/>
              </w:rPr>
              <w:t>Green-cake characteristics</w:t>
            </w:r>
          </w:p>
        </w:tc>
        <w:tc>
          <w:tcPr>
            <w:tcW w:type="dxa" w:w="6510"/>
            <w:vAlign w:val="cente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Pr>
          <w:p>
            <w:pPr>
              <w:spacing w:after="0" w:line="259" w:lineRule="auto"/>
            </w:pPr>
            <w:r>
              <w:rPr>
                <w:color w:val="0B1727"/>
                <w:sz w:val="18"/>
              </w:rPr>
              <w:t>Affects wire movement and finishing</w:t>
            </w:r>
          </w:p>
        </w:tc>
      </w:tr>
      <w:tr>
        <w:trPr>
          <w:cantSplit/>
        </w:trPr>
        <w:tc>
          <w:tcPr>
            <w:tcW w:type="dxa" w:w="2850"/>
            <w:shd w:fill="F5F7F8"/>
            <w:vAlign w:val="cente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Pr>
          <w:p>
            <w:pPr>
              <w:spacing w:after="0" w:line="259" w:lineRule="auto"/>
            </w:pPr>
            <w:r>
              <w:rPr>
                <w:color w:val="0B1727"/>
                <w:sz w:val="18"/>
              </w:rPr>
              <w:t>Cutting technology</w:t>
            </w:r>
          </w:p>
        </w:tc>
        <w:tc>
          <w:tcPr>
            <w:tcW w:type="dxa" w:w="6510"/>
            <w:shd w:fill="F5F7F8"/>
            <w:vAlign w:val="cente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Pr>
          <w:p>
            <w:pPr>
              <w:spacing w:after="0" w:line="259" w:lineRule="auto"/>
            </w:pPr>
            <w:r>
              <w:rPr>
                <w:color w:val="0B1727"/>
                <w:sz w:val="18"/>
              </w:rPr>
              <w:t>Determines cake orientation and handling sequence</w:t>
            </w:r>
          </w:p>
        </w:tc>
      </w:tr>
      <w:tr>
        <w:trPr>
          <w:cantSplit/>
        </w:trPr>
        <w:tc>
          <w:tcPr>
            <w:tcW w:type="dxa" w:w="2850"/>
            <w:vAlign w:val="cente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Pr>
          <w:p>
            <w:pPr>
              <w:spacing w:after="0" w:line="259" w:lineRule="auto"/>
            </w:pPr>
            <w:r>
              <w:rPr>
                <w:color w:val="0B1727"/>
                <w:sz w:val="18"/>
              </w:rPr>
              <w:t>Automation level</w:t>
            </w:r>
          </w:p>
        </w:tc>
        <w:tc>
          <w:tcPr>
            <w:tcW w:type="dxa" w:w="6510"/>
            <w:vAlign w:val="cente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Pr>
          <w:p>
            <w:pPr>
              <w:spacing w:after="0" w:line="259" w:lineRule="auto"/>
            </w:pPr>
            <w:r>
              <w:rPr>
                <w:color w:val="0B1727"/>
                <w:sz w:val="18"/>
              </w:rPr>
              <w:t>Defines manual steps, controls and interlocks</w:t>
            </w:r>
          </w:p>
        </w:tc>
      </w:tr>
      <w:tr>
        <w:trPr>
          <w:cantSplit/>
        </w:trPr>
        <w:tc>
          <w:tcPr>
            <w:tcW w:type="dxa" w:w="2850"/>
            <w:shd w:fill="F5F7F8"/>
            <w:vAlign w:val="cente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Pr>
          <w:p>
            <w:pPr>
              <w:spacing w:after="0" w:line="259" w:lineRule="auto"/>
            </w:pPr>
            <w:r>
              <w:rPr>
                <w:color w:val="0B1727"/>
                <w:sz w:val="18"/>
              </w:rPr>
              <w:t>Waste-recovery method</w:t>
            </w:r>
          </w:p>
        </w:tc>
        <w:tc>
          <w:tcPr>
            <w:tcW w:type="dxa" w:w="6510"/>
            <w:shd w:fill="F5F7F8"/>
            <w:vAlign w:val="cente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Pr>
          <w:p>
            <w:pPr>
              <w:spacing w:after="0" w:line="259" w:lineRule="auto"/>
            </w:pPr>
            <w:r>
              <w:rPr>
                <w:color w:val="0B1727"/>
                <w:sz w:val="18"/>
              </w:rPr>
              <w:t>Influences trench, pump and slurry-system design</w:t>
            </w:r>
          </w:p>
        </w:tc>
      </w:tr>
      <w:tr>
        <w:trPr>
          <w:cantSplit/>
        </w:trPr>
        <w:tc>
          <w:tcPr>
            <w:tcW w:type="dxa" w:w="2850"/>
            <w:vAlign w:val="cente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Pr>
          <w:p>
            <w:pPr>
              <w:spacing w:after="0" w:line="259" w:lineRule="auto"/>
            </w:pPr>
            <w:r>
              <w:rPr>
                <w:color w:val="0B1727"/>
                <w:sz w:val="18"/>
              </w:rPr>
              <w:t>Bottom-layer removal</w:t>
            </w:r>
          </w:p>
        </w:tc>
        <w:tc>
          <w:tcPr>
            <w:tcW w:type="dxa" w:w="6510"/>
            <w:vAlign w:val="cente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Pr>
          <w:p>
            <w:pPr>
              <w:spacing w:after="0" w:line="259" w:lineRule="auto"/>
            </w:pPr>
            <w:r>
              <w:rPr>
                <w:color w:val="0B1727"/>
                <w:sz w:val="18"/>
              </w:rPr>
              <w:t>Affects handling equipment and layout</w:t>
            </w:r>
          </w:p>
        </w:tc>
      </w:tr>
      <w:tr>
        <w:trPr>
          <w:cantSplit/>
        </w:trPr>
        <w:tc>
          <w:tcPr>
            <w:tcW w:type="dxa" w:w="2850"/>
            <w:shd w:fill="F5F7F8"/>
            <w:vAlign w:val="cente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Pr>
          <w:p>
            <w:pPr>
              <w:spacing w:after="0" w:line="259" w:lineRule="auto"/>
            </w:pPr>
            <w:r>
              <w:rPr>
                <w:color w:val="0B1727"/>
                <w:sz w:val="18"/>
              </w:rPr>
              <w:t>Available plant space</w:t>
            </w:r>
          </w:p>
        </w:tc>
        <w:tc>
          <w:tcPr>
            <w:tcW w:type="dxa" w:w="6510"/>
            <w:shd w:fill="F5F7F8"/>
            <w:vAlign w:val="cente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Pr>
          <w:p>
            <w:pPr>
              <w:spacing w:after="0" w:line="259" w:lineRule="auto"/>
            </w:pPr>
            <w:r>
              <w:rPr>
                <w:color w:val="0B1727"/>
                <w:sz w:val="18"/>
              </w:rPr>
              <w:t>Determines equipment arrangement and access</w:t>
            </w:r>
          </w:p>
        </w:tc>
      </w:tr>
      <w:tr>
        <w:trPr>
          <w:cantSplit/>
        </w:trPr>
        <w:tc>
          <w:tcPr>
            <w:tcW w:type="dxa" w:w="2850"/>
            <w:vAlign w:val="cente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Pr>
          <w:p>
            <w:pPr>
              <w:spacing w:after="0" w:line="259" w:lineRule="auto"/>
            </w:pPr>
            <w:r>
              <w:rPr>
                <w:color w:val="0B1727"/>
                <w:sz w:val="18"/>
              </w:rPr>
              <w:t>Existing plant interfaces</w:t>
            </w:r>
          </w:p>
        </w:tc>
        <w:tc>
          <w:tcPr>
            <w:tcW w:type="dxa" w:w="6510"/>
            <w:vAlign w:val="center"/>
            <w:tcMar>
              <w:top w:w="90" w:type="dxa"/>
              <w:start w:w="120" w:type="dxa"/>
              <w:bottom w:w="90" w:type="dxa"/>
              <w:end w:w="120" w:type="dxa"/>
            </w:tcMar>
            <w:tcMar>
              <w:top w:w="90" w:type="dxa"/>
              <w:start w:w="120" w:type="dxa"/>
              <w:bottom w:w="90" w:type="dxa"/>
              <w:end w:w="120" w:type="dxa"/>
            </w:tcMar>
            <w:tcMar>
              <w:top w:w="90" w:type="dxa"/>
              <w:start w:w="120" w:type="dxa"/>
              <w:bottom w:w="90" w:type="dxa"/>
              <w:end w:w="120" w:type="dxa"/>
            </w:tcMar>
          </w:tcPr>
          <w:p>
            <w:pPr>
              <w:spacing w:after="0" w:line="259" w:lineRule="auto"/>
            </w:pPr>
            <w:r>
              <w:rPr>
                <w:color w:val="0B1727"/>
                <w:sz w:val="18"/>
              </w:rPr>
              <w:t>Critical for retrofit and expansion projects</w:t>
            </w:r>
          </w:p>
        </w:tc>
      </w:tr>
      <w:tr>
        <w:trPr>
          <w:cantSplit/>
        </w:trPr>
        <w:tc>
          <w:tcPr>
            <w:tcW w:type="dxa" w:w="2850"/>
            <w:shd w:fill="F5F7F8"/>
            <w:vAlign w:val="center"/>
            <w:tcMar>
              <w:top w:w="90" w:type="dxa"/>
              <w:start w:w="120" w:type="dxa"/>
              <w:bottom w:w="90" w:type="dxa"/>
              <w:end w:w="120" w:type="dxa"/>
            </w:tcMar>
            <w:tcMar>
              <w:top w:w="90" w:type="dxa"/>
              <w:start w:w="120" w:type="dxa"/>
              <w:bottom w:w="90" w:type="dxa"/>
              <w:end w:w="120" w:type="dxa"/>
            </w:tcMar>
          </w:tcPr>
          <w:p>
            <w:pPr>
              <w:spacing w:after="0" w:line="259" w:lineRule="auto"/>
            </w:pPr>
            <w:r>
              <w:rPr>
                <w:color w:val="0B1727"/>
                <w:sz w:val="18"/>
              </w:rPr>
              <w:t>Maintenance capability</w:t>
            </w:r>
          </w:p>
        </w:tc>
        <w:tc>
          <w:tcPr>
            <w:tcW w:type="dxa" w:w="6510"/>
            <w:shd w:fill="F5F7F8"/>
            <w:vAlign w:val="center"/>
            <w:tcMar>
              <w:top w:w="90" w:type="dxa"/>
              <w:start w:w="120" w:type="dxa"/>
              <w:bottom w:w="90" w:type="dxa"/>
              <w:end w:w="120" w:type="dxa"/>
            </w:tcMar>
            <w:tcMar>
              <w:top w:w="90" w:type="dxa"/>
              <w:start w:w="120" w:type="dxa"/>
              <w:bottom w:w="90" w:type="dxa"/>
              <w:end w:w="120" w:type="dxa"/>
            </w:tcMar>
          </w:tcPr>
          <w:p>
            <w:pPr>
              <w:spacing w:after="0" w:line="259" w:lineRule="auto"/>
            </w:pPr>
            <w:r>
              <w:rPr>
                <w:color w:val="0B1727"/>
                <w:sz w:val="18"/>
              </w:rPr>
              <w:t>Influences component and system selection</w:t>
            </w:r>
          </w:p>
        </w:tc>
      </w:tr>
      <w:tr>
        <w:trPr>
          <w:cantSplit/>
        </w:trPr>
        <w:tc>
          <w:tcPr>
            <w:tcW w:type="dxa" w:w="2850"/>
            <w:vAlign w:val="center"/>
            <w:tcMar>
              <w:top w:w="90" w:type="dxa"/>
              <w:start w:w="120" w:type="dxa"/>
              <w:bottom w:w="90" w:type="dxa"/>
              <w:end w:w="120" w:type="dxa"/>
            </w:tcMar>
          </w:tcPr>
          <w:p>
            <w:pPr>
              <w:spacing w:after="0" w:line="259" w:lineRule="auto"/>
            </w:pPr>
            <w:r>
              <w:rPr>
                <w:color w:val="0B1727"/>
                <w:sz w:val="18"/>
              </w:rPr>
              <w:t>Future product plans</w:t>
            </w:r>
          </w:p>
        </w:tc>
        <w:tc>
          <w:tcPr>
            <w:tcW w:type="dxa" w:w="6510"/>
            <w:vAlign w:val="center"/>
            <w:tcMar>
              <w:top w:w="90" w:type="dxa"/>
              <w:start w:w="120" w:type="dxa"/>
              <w:bottom w:w="90" w:type="dxa"/>
              <w:end w:w="120" w:type="dxa"/>
            </w:tcMar>
          </w:tcPr>
          <w:p>
            <w:pPr>
              <w:spacing w:after="0" w:line="259" w:lineRule="auto"/>
            </w:pPr>
            <w:r>
              <w:rPr>
                <w:color w:val="0B1727"/>
                <w:sz w:val="18"/>
              </w:rPr>
              <w:t>May require additional size or product flexibility</w:t>
            </w:r>
          </w:p>
        </w:tc>
      </w:tr>
    </w:tbl>
    <w:p>
      <w:pPr>
        <w:spacing w:after="0"/>
      </w:pPr>
    </w:p>
    <w:p>
      <w:pPr>
        <w:pStyle w:val="NoteCallout"/>
      </w:pPr>
      <w:r>
        <w:t>A lower-priced cutting machine may not represent a lower total project cost if the quotation excludes cake handling, waste recovery, controls, civil interfaces, installation or commissioning.</w:t>
      </w:r>
    </w:p>
    <w:p>
      <w:pPr>
        <w:pStyle w:val="Heading1"/>
      </w:pPr>
      <w:r>
        <w:t>New AAC Plant and Existing-Plant Upgrade Requirements</w:t>
      </w:r>
    </w:p>
    <w:p>
      <w:pPr>
        <w:pStyle w:val="Heading2"/>
      </w:pPr>
      <w:r>
        <w:t>For a New AAC Plant</w:t>
      </w:r>
    </w:p>
    <w:p>
      <w:pPr>
        <w:pStyle w:val="ListBullet"/>
      </w:pPr>
      <w:r>
        <w:t>Mould dimensions</w:t>
      </w:r>
    </w:p>
    <w:p>
      <w:pPr>
        <w:pStyle w:val="ListBullet"/>
      </w:pPr>
      <w:r>
        <w:t>Tilting and demoulding</w:t>
      </w:r>
    </w:p>
    <w:p>
      <w:pPr>
        <w:pStyle w:val="ListBullet"/>
      </w:pPr>
      <w:r>
        <w:t>Pre-curing</w:t>
      </w:r>
    </w:p>
    <w:p>
      <w:pPr>
        <w:pStyle w:val="ListBullet"/>
      </w:pPr>
      <w:r>
        <w:t>Cake transfer</w:t>
      </w:r>
    </w:p>
    <w:p>
      <w:pPr>
        <w:pStyle w:val="ListBullet"/>
      </w:pPr>
      <w:r>
        <w:t>Grouping and autoclave loading</w:t>
      </w:r>
    </w:p>
    <w:p>
      <w:pPr>
        <w:pStyle w:val="ListBullet"/>
      </w:pPr>
      <w:r>
        <w:t>Waste-slurry recovery</w:t>
      </w:r>
    </w:p>
    <w:p>
      <w:pPr>
        <w:pStyle w:val="ListBullet"/>
      </w:pPr>
      <w:r>
        <w:t>Automation architecture</w:t>
      </w:r>
    </w:p>
    <w:p>
      <w:pPr>
        <w:pStyle w:val="ListBullet"/>
      </w:pPr>
      <w:r>
        <w:t>Plant layout and future expansion</w:t>
      </w:r>
    </w:p>
    <w:p>
      <w:pPr>
        <w:pStyle w:val="Heading2"/>
      </w:pPr>
      <w:r>
        <w:t>For an Existing AAC Plant</w:t>
      </w:r>
    </w:p>
    <w:p>
      <w:pPr>
        <w:pStyle w:val="ListBullet"/>
      </w:pPr>
      <w:r>
        <w:t>Current cake and mould size</w:t>
      </w:r>
    </w:p>
    <w:p>
      <w:pPr>
        <w:pStyle w:val="ListBullet"/>
      </w:pPr>
      <w:r>
        <w:t>Existing side plates and cutting sequence</w:t>
      </w:r>
    </w:p>
    <w:p>
      <w:pPr>
        <w:pStyle w:val="ListBullet"/>
      </w:pPr>
      <w:r>
        <w:t>Available floor space and foundations</w:t>
      </w:r>
    </w:p>
    <w:p>
      <w:pPr>
        <w:pStyle w:val="ListBullet"/>
      </w:pPr>
      <w:r>
        <w:t>Rail and transfer arrangement</w:t>
      </w:r>
    </w:p>
    <w:p>
      <w:pPr>
        <w:pStyle w:val="ListBullet"/>
      </w:pPr>
      <w:r>
        <w:t>Current electrical controls</w:t>
      </w:r>
    </w:p>
    <w:p>
      <w:pPr>
        <w:pStyle w:val="ListBullet"/>
      </w:pPr>
      <w:r>
        <w:t>Upstream and downstream cycle</w:t>
      </w:r>
    </w:p>
    <w:p>
      <w:pPr>
        <w:pStyle w:val="ListBullet"/>
      </w:pPr>
      <w:r>
        <w:t>Existing waste-recovery system</w:t>
      </w:r>
    </w:p>
    <w:p>
      <w:pPr>
        <w:pStyle w:val="ListBullet"/>
      </w:pPr>
      <w:r>
        <w:t>Main quality or maintenance problem</w:t>
      </w:r>
    </w:p>
    <w:p>
      <w:pPr>
        <w:pStyle w:val="ListBullet"/>
      </w:pPr>
      <w:r>
        <w:t>Permissible production shutdown</w:t>
      </w:r>
    </w:p>
    <w:p>
      <w:r>
        <w:t>Site measurements, photographs, layouts and operating data should be reviewed before finalising the upgrade scope.</w:t>
      </w:r>
    </w:p>
    <w:p>
      <w:pPr>
        <w:pStyle w:val="Heading1"/>
      </w:pPr>
      <w:r>
        <w:t>Information Required for a Technical Proposal</w:t>
      </w:r>
    </w:p>
    <w:p>
      <w:pPr>
        <w:pStyle w:val="ListBullet"/>
      </w:pPr>
      <w:r>
        <w:t>New plant or existing-plant upgrade</w:t>
      </w:r>
    </w:p>
    <w:p>
      <w:pPr>
        <w:pStyle w:val="ListBullet"/>
      </w:pPr>
      <w:r>
        <w:t>Planned or current production capacity</w:t>
      </w:r>
    </w:p>
    <w:p>
      <w:pPr>
        <w:pStyle w:val="ListBullet"/>
      </w:pPr>
      <w:r>
        <w:t>Mould and cake dimensions</w:t>
      </w:r>
    </w:p>
    <w:p>
      <w:pPr>
        <w:pStyle w:val="ListBullet"/>
      </w:pPr>
      <w:r>
        <w:t>Required block sizes</w:t>
      </w:r>
    </w:p>
    <w:p>
      <w:pPr>
        <w:pStyle w:val="ListBullet"/>
      </w:pPr>
      <w:r>
        <w:t>Current cutting-system details, if applicable</w:t>
      </w:r>
    </w:p>
    <w:p>
      <w:pPr>
        <w:pStyle w:val="ListBullet"/>
      </w:pPr>
      <w:r>
        <w:t>Required level of automation</w:t>
      </w:r>
    </w:p>
    <w:p>
      <w:pPr>
        <w:pStyle w:val="ListBullet"/>
      </w:pPr>
      <w:r>
        <w:t>Plant layout or available space</w:t>
      </w:r>
    </w:p>
    <w:p>
      <w:pPr>
        <w:pStyle w:val="ListBullet"/>
      </w:pPr>
      <w:r>
        <w:t>Waste-recovery arrangement</w:t>
      </w:r>
    </w:p>
    <w:p>
      <w:pPr>
        <w:pStyle w:val="ListBullet"/>
      </w:pPr>
      <w:r>
        <w:t>Bottom-layer removal requirement</w:t>
      </w:r>
    </w:p>
    <w:p>
      <w:pPr>
        <w:pStyle w:val="ListBullet"/>
      </w:pPr>
      <w:r>
        <w:t>Current cutting-quality or maintenance problems</w:t>
      </w:r>
    </w:p>
    <w:p>
      <w:pPr>
        <w:pStyle w:val="ListBullet"/>
      </w:pPr>
      <w:r>
        <w:t>Available electrical and utility information</w:t>
      </w:r>
    </w:p>
    <w:p>
      <w:pPr>
        <w:pStyle w:val="ListBullet"/>
      </w:pPr>
      <w:r>
        <w:t>Future expansion or product requirements</w:t>
      </w:r>
    </w:p>
    <w:p>
      <w:pPr>
        <w:pStyle w:val="CTACallout"/>
      </w:pPr>
      <w:r>
        <w:t>REQUEST A CUTTING-SYSTEM TECHNICAL PROPOSAL</w:t>
      </w:r>
    </w:p>
    <w:p>
      <w:pPr>
        <w:pStyle w:val="NoteCallout"/>
      </w:pPr>
      <w:r>
        <w:t>Lower-commitment option: Request a Cutting-Line Evaluation Checklist.</w:t>
      </w:r>
    </w:p>
    <w:p>
      <w:pPr>
        <w:pStyle w:val="Heading1"/>
      </w:pPr>
      <w:r>
        <w:t>Frequently Asked Questions</w:t>
      </w:r>
    </w:p>
    <w:p>
      <w:pPr>
        <w:pStyle w:val="Heading2"/>
      </w:pPr>
      <w:r>
        <w:t>What is an AAC cutting system?</w:t>
      </w:r>
    </w:p>
    <w:p>
      <w:r>
        <w:t>An AAC cutting system cuts a pre-cured green AAC cake into the required product dimensions before autoclaving. Depending on the plant configuration, it can include cake transfer, face trimming, horizontal and vertical wire cutting, bottom-layer removal and cutting-waste recovery.</w:t>
      </w:r>
    </w:p>
    <w:p>
      <w:pPr>
        <w:pStyle w:val="Heading2"/>
      </w:pPr>
      <w:r>
        <w:t>Is AAC cake cut before or after autoclaving?</w:t>
      </w:r>
    </w:p>
    <w:p>
      <w:r>
        <w:t>In the production process described on this page, the green cake is cut after pre-curing and demoulding but before autoclaving. Separate post-autoclave sawing equipment may be used for special finished-product applications.</w:t>
      </w:r>
    </w:p>
    <w:p>
      <w:pPr>
        <w:pStyle w:val="Heading2"/>
      </w:pPr>
      <w:r>
        <w:t>What is the difference between horizontal and vertical cutting?</w:t>
      </w:r>
    </w:p>
    <w:p>
      <w:r>
        <w:t>Horizontal and vertical cutting divide the cake along different axes. The final dimension controlled by each stage depends on cake orientation and the cutting-system configuration.</w:t>
      </w:r>
    </w:p>
    <w:p>
      <w:pPr>
        <w:pStyle w:val="Heading2"/>
      </w:pPr>
      <w:r>
        <w:t>What affects AAC block cutting accuracy?</w:t>
      </w:r>
    </w:p>
    <w:p>
      <w:r>
        <w:t>Important factors include cake condition, wire spacing and tension, blade setting, machine alignment, side-plate condition, cake-transfer movement and consistent upstream process control.</w:t>
      </w:r>
    </w:p>
    <w:p>
      <w:pPr>
        <w:pStyle w:val="Heading2"/>
      </w:pPr>
      <w:r>
        <w:t>Can one cutting system produce different block sizes?</w:t>
      </w:r>
    </w:p>
    <w:p>
      <w:r>
        <w:t>A cutting system can be configured for multiple sizes, but the supported size range, wire arrangement and changeover method must be confirmed in the project specification.</w:t>
      </w:r>
    </w:p>
    <w:p>
      <w:pPr>
        <w:pStyle w:val="Heading2"/>
      </w:pPr>
      <w:r>
        <w:t>How is AAC cutting waste reused?</w:t>
      </w:r>
    </w:p>
    <w:p>
      <w:r>
        <w:t>Green cutting waste can be collected, converted into controlled waste slurry and returned to production. The usable proportion depends on the plant recipe, raw materials, slurry properties and quality-control results.</w:t>
      </w:r>
    </w:p>
    <w:p>
      <w:pPr>
        <w:pStyle w:val="Heading2"/>
      </w:pPr>
      <w:r>
        <w:t>What is bottom-layer removal?</w:t>
      </w:r>
    </w:p>
    <w:p>
      <w:r>
        <w:t>Bottom-layer removal is the separation of unwanted green material remaining between the cut cake and its supporting plate. The method depends on cake orientation and cutting technology.</w:t>
      </w:r>
    </w:p>
    <w:p>
      <w:pPr>
        <w:pStyle w:val="Heading2"/>
      </w:pPr>
      <w:r>
        <w:t>Can a cutting system be installed in an existing AAC plant?</w:t>
      </w:r>
    </w:p>
    <w:p>
      <w:r>
        <w:t>Yes, subject to a technical assessment of cake size, side plates, layout, foundations, transfer arrangement, controls, waste recovery and available shutdown period.</w:t>
      </w:r>
    </w:p>
    <w:p>
      <w:pPr>
        <w:pStyle w:val="Heading2"/>
      </w:pPr>
      <w:r>
        <w:t>What determines the cost of an AAC cutting system?</w:t>
      </w:r>
    </w:p>
    <w:p>
      <w:r>
        <w:t>Cost is influenced by cake size, equipment scope, cutting configuration, automation, bottom-layer removal, waste handling, controls, safety provisions, installation and integration.</w:t>
      </w:r>
    </w:p>
    <w:p>
      <w:pPr>
        <w:pStyle w:val="Heading2"/>
      </w:pPr>
      <w:r>
        <w:t>What should be compared between suppliers?</w:t>
      </w:r>
    </w:p>
    <w:p>
      <w:r>
        <w:t>Compare equipment scope, supported sizes, design cycle, automation sequence, safety, waste recovery, consumables, maintenance access, installation responsibility, commissioning tests, training, warranty, spares and comparable running-plant evidence.</w:t>
      </w:r>
    </w:p>
    <w:p>
      <w:pPr>
        <w:pStyle w:val="Heading1"/>
      </w:pPr>
      <w:r>
        <w:t>Discuss Your AAC Cutting Requirement</w:t>
      </w:r>
    </w:p>
    <w:p>
      <w:r>
        <w:t>Whether you are planning a new AAC plant, expanding production or addressing cutting-section problems, the system should be designed around the complete process—not selected as an isolated machine.</w:t>
      </w:r>
    </w:p>
    <w:p>
      <w:r>
        <w:t>Share your capacity, cake size, required products, layout and automation requirements with Laxmi En-Fab Pvt. Ltd. for a project-specific technical review.</w:t>
      </w:r>
    </w:p>
    <w:p>
      <w:pPr>
        <w:pStyle w:val="CTACallout"/>
      </w:pPr>
      <w:r>
        <w:t>REQUEST A CUTTING-SYSTEM TECHNICAL PROPOSAL</w:t>
      </w:r>
    </w:p>
    <w:p>
      <w:r>
        <w:t>Suggested form fields: Name, company, mobile/email, location, new or existing plant, capacity, cake size, required block sizes, automation requirement, current problem and optional drawing upload.</w:t>
      </w:r>
    </w:p>
    <w:sectPr w:rsidR="00FC693F" w:rsidRPr="0006063C" w:rsidSect="00034616">
      <w:headerReference w:type="default" r:id="rId9"/>
      <w:footerReference w:type="default" r:id="rId10"/>
      <w:pgSz w:w="12240" w:h="15840"/>
      <w:pgMar w:top="1123" w:right="1181" w:bottom="1123" w:left="1181"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E6B78"/>
        <w:sz w:val="16"/>
      </w:rPr>
      <w:t xml:space="preserve">AAC Cutting System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0C4F80"/>
        <w:sz w:val="16"/>
      </w:rPr>
      <w:t>LAXMI EN-FAB PVT. LTD.  |  AAC PLANT ENGINEERING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Aptos" w:hAnsi="Aptos"/>
      <w:color w:val="0B172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ptos Display" w:hAnsi="Aptos Display"/>
      <w:b/>
      <w:bCs/>
      <w:color w:val="0B1727"/>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ptos Display" w:hAnsi="Aptos Display"/>
      <w:b/>
      <w:bCs/>
      <w:color w:val="0C4F80"/>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w:hAnsi="Aptos"/>
      <w:b/>
      <w:bCs/>
      <w:color w:val="104F7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0B1727"/>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Aptos" w:hAnsi="Aptos"/>
      <w:b w:val="0"/>
      <w:i/>
      <w:iCs/>
      <w:color w:val="5E6B78"/>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83" w:lineRule="auto"/>
      <w:ind w:left="547" w:hanging="274"/>
      <w:contextualSpacing/>
    </w:pPr>
    <w:rPr>
      <w:rFonts w:ascii="Aptos" w:hAnsi="Aptos"/>
      <w:color w:val="0B1727"/>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83" w:lineRule="auto"/>
      <w:ind w:left="547" w:hanging="274"/>
      <w:contextualSpacing/>
    </w:pPr>
    <w:rPr>
      <w:rFonts w:ascii="Aptos" w:hAnsi="Aptos"/>
      <w:color w:val="0B1727"/>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TACallout">
    <w:name w:val="CTA Callout"/>
    <w:pPr>
      <w:keepLines/>
      <w:spacing w:before="160" w:after="160"/>
      <w:ind w:left="259" w:right="259"/>
      <w:shd w:fill="0C4F80"/>
    </w:pPr>
    <w:rPr>
      <w:rFonts w:ascii="Aptos" w:hAnsi="Aptos"/>
      <w:b/>
      <w:color w:val="FFFFFF"/>
      <w:sz w:val="22"/>
    </w:rPr>
  </w:style>
  <w:style w:type="paragraph" w:customStyle="1" w:styleId="NoteCallout">
    <w:name w:val="Note Callout"/>
    <w:pPr>
      <w:keepLines/>
      <w:spacing w:before="160" w:after="160"/>
      <w:ind w:left="259" w:right="259"/>
      <w:shd w:fill="EEF2F5"/>
    </w:pPr>
    <w:rPr>
      <w:rFonts w:ascii="Aptos" w:hAnsi="Aptos"/>
      <w:b/>
      <w:color w:val="0B1727"/>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AAC Cutting System - Publication-Ready Webpage Content</dc:title>
  <dc:subject>AAC cutting system product and technical guide for Laxmi En-Fab Pvt. Ltd.</dc:subject>
  <dc:creator>Laxmi En-Fab Pvt. Ltd.</dc:creator>
  <cp:keywords>AAC cutting system, AAC block cutting machine, AAC cake cutting, waste recovery</cp:keywords>
  <dc:description>generated by python-docx</dc:description>
  <cp:lastModifiedBy/>
  <cp:revision>1</cp:revision>
  <dcterms:created xsi:type="dcterms:W3CDTF">2013-12-23T23:15:00Z</dcterms:created>
  <dcterms:modified xsi:type="dcterms:W3CDTF">2013-12-23T23:15:00Z</dcterms:modified>
  <cp:category/>
</cp:coreProperties>
</file>