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rFonts w:ascii="Arial" w:hAnsi="Arial"/>
          <w:b/>
          <w:color w:val="0C4F80"/>
          <w:sz w:val="20"/>
        </w:rPr>
        <w:t>PRODUCT + TECHNICAL GUIDE</w:t>
      </w:r>
    </w:p>
    <w:p>
      <w:pPr>
        <w:spacing w:after="100"/>
      </w:pPr>
      <w:r>
        <w:rPr>
          <w:rFonts w:ascii="Arial" w:hAnsi="Arial"/>
          <w:b/>
          <w:color w:val="0B1727"/>
          <w:sz w:val="52"/>
        </w:rPr>
        <w:t>AAC Auto Palletizing System</w:t>
      </w:r>
    </w:p>
    <w:p>
      <w:pPr>
        <w:spacing w:after="320"/>
      </w:pPr>
      <w:r>
        <w:rPr>
          <w:rFonts w:ascii="Arial" w:hAnsi="Arial"/>
          <w:color w:val="526171"/>
          <w:sz w:val="26"/>
        </w:rPr>
        <w:t>Engineering post-autoclave block handling around actual production flow—not automation for its own sake.</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1944"/>
            <w:vAlign w:val="center"/>
            <w:tcMar>
              <w:top w:w="100" w:type="dxa"/>
              <w:start w:w="120" w:type="dxa"/>
              <w:bottom w:w="100" w:type="dxa"/>
              <w:end w:w="120" w:type="dxa"/>
            </w:tcMar>
            <w:shd w:fill="0B1727"/>
          </w:tcPr>
          <w:p>
            <w:pPr>
              <w:spacing w:after="40"/>
            </w:pPr>
            <w:r>
              <w:rPr>
                <w:rFonts w:ascii="Arial" w:hAnsi="Arial"/>
                <w:b/>
                <w:color w:val="FFFFFF"/>
                <w:sz w:val="19"/>
              </w:rPr>
              <w:t>SEO field</w:t>
            </w:r>
          </w:p>
        </w:tc>
        <w:tc>
          <w:tcPr>
            <w:tcW w:type="dxa" w:w="7416"/>
            <w:vAlign w:val="center"/>
            <w:tcMar>
              <w:top w:w="100" w:type="dxa"/>
              <w:start w:w="120" w:type="dxa"/>
              <w:bottom w:w="100" w:type="dxa"/>
              <w:end w:w="120" w:type="dxa"/>
            </w:tcMar>
            <w:shd w:fill="0B1727"/>
          </w:tcPr>
          <w:p>
            <w:pPr>
              <w:spacing w:after="40"/>
            </w:pPr>
            <w:r>
              <w:rPr>
                <w:rFonts w:ascii="Arial" w:hAnsi="Arial"/>
                <w:b/>
                <w:color w:val="FFFFFF"/>
                <w:sz w:val="19"/>
              </w:rPr>
              <w:t>Recommended content</w:t>
            </w:r>
          </w:p>
        </w:tc>
      </w:tr>
      <w:tr>
        <w:tc>
          <w:tcPr>
            <w:tcW w:type="dxa" w:w="1944"/>
            <w:vAlign w:val="center"/>
            <w:tcMar>
              <w:top w:w="100" w:type="dxa"/>
              <w:start w:w="120" w:type="dxa"/>
              <w:bottom w:w="100" w:type="dxa"/>
              <w:end w:w="120" w:type="dxa"/>
            </w:tcMar>
          </w:tcPr>
          <w:p>
            <w:pPr>
              <w:spacing w:after="40"/>
            </w:pPr>
            <w:r>
              <w:rPr>
                <w:rFonts w:ascii="Arial" w:hAnsi="Arial"/>
                <w:sz w:val="19"/>
              </w:rPr>
              <w:t>SEO title</w:t>
            </w:r>
          </w:p>
        </w:tc>
        <w:tc>
          <w:tcPr>
            <w:tcW w:type="dxa" w:w="7416"/>
            <w:vAlign w:val="center"/>
            <w:tcMar>
              <w:top w:w="100" w:type="dxa"/>
              <w:start w:w="120" w:type="dxa"/>
              <w:bottom w:w="100" w:type="dxa"/>
              <w:end w:w="120" w:type="dxa"/>
            </w:tcMar>
          </w:tcPr>
          <w:p>
            <w:pPr>
              <w:spacing w:after="40"/>
            </w:pPr>
            <w:r>
              <w:rPr>
                <w:rFonts w:ascii="Arial" w:hAnsi="Arial"/>
                <w:sz w:val="19"/>
              </w:rPr>
              <w:t>AAC Auto Palletizing System for Block Handling</w:t>
            </w:r>
          </w:p>
        </w:tc>
      </w:tr>
      <w:tr>
        <w:tc>
          <w:tcPr>
            <w:tcW w:type="dxa" w:w="1944"/>
            <w:vAlign w:val="center"/>
            <w:tcMar>
              <w:top w:w="100" w:type="dxa"/>
              <w:start w:w="120" w:type="dxa"/>
              <w:bottom w:w="100" w:type="dxa"/>
              <w:end w:w="120" w:type="dxa"/>
            </w:tcMar>
            <w:shd w:fill="F5F7F8"/>
          </w:tcPr>
          <w:p>
            <w:pPr>
              <w:spacing w:after="40"/>
            </w:pPr>
            <w:r>
              <w:rPr>
                <w:rFonts w:ascii="Arial" w:hAnsi="Arial"/>
                <w:sz w:val="19"/>
              </w:rPr>
              <w:t>Meta description</w:t>
            </w:r>
          </w:p>
        </w:tc>
        <w:tc>
          <w:tcPr>
            <w:tcW w:type="dxa" w:w="7416"/>
            <w:vAlign w:val="center"/>
            <w:tcMar>
              <w:top w:w="100" w:type="dxa"/>
              <w:start w:w="120" w:type="dxa"/>
              <w:bottom w:w="100" w:type="dxa"/>
              <w:end w:w="120" w:type="dxa"/>
            </w:tcMar>
            <w:shd w:fill="F5F7F8"/>
          </w:tcPr>
          <w:p>
            <w:pPr>
              <w:spacing w:after="40"/>
            </w:pPr>
            <w:r>
              <w:rPr>
                <w:rFonts w:ascii="Arial" w:hAnsi="Arial"/>
                <w:sz w:val="19"/>
              </w:rPr>
              <w:t>Automate AAC block separation, grouping, stacking and post-autoclave handling. Compare configurations and plan the right system for your plant.</w:t>
            </w:r>
          </w:p>
        </w:tc>
      </w:tr>
      <w:tr>
        <w:tc>
          <w:tcPr>
            <w:tcW w:type="dxa" w:w="1944"/>
            <w:vAlign w:val="center"/>
            <w:tcMar>
              <w:top w:w="100" w:type="dxa"/>
              <w:start w:w="120" w:type="dxa"/>
              <w:bottom w:w="100" w:type="dxa"/>
              <w:end w:w="120" w:type="dxa"/>
            </w:tcMar>
          </w:tcPr>
          <w:p>
            <w:pPr>
              <w:spacing w:after="40"/>
            </w:pPr>
            <w:r>
              <w:rPr>
                <w:rFonts w:ascii="Arial" w:hAnsi="Arial"/>
                <w:sz w:val="19"/>
              </w:rPr>
              <w:t>URL</w:t>
            </w:r>
          </w:p>
        </w:tc>
        <w:tc>
          <w:tcPr>
            <w:tcW w:type="dxa" w:w="7416"/>
            <w:vAlign w:val="center"/>
            <w:tcMar>
              <w:top w:w="100" w:type="dxa"/>
              <w:start w:w="120" w:type="dxa"/>
              <w:bottom w:w="100" w:type="dxa"/>
              <w:end w:w="120" w:type="dxa"/>
            </w:tcMar>
          </w:tcPr>
          <w:p>
            <w:pPr>
              <w:spacing w:after="40"/>
            </w:pPr>
            <w:r>
              <w:rPr>
                <w:rFonts w:ascii="Arial" w:hAnsi="Arial"/>
                <w:sz w:val="19"/>
              </w:rPr>
              <w:t>/aac-auto-palletizing-system/</w:t>
            </w:r>
          </w:p>
        </w:tc>
      </w:tr>
      <w:tr>
        <w:tc>
          <w:tcPr>
            <w:tcW w:type="dxa" w:w="1944"/>
            <w:vAlign w:val="center"/>
            <w:tcMar>
              <w:top w:w="100" w:type="dxa"/>
              <w:start w:w="120" w:type="dxa"/>
              <w:bottom w:w="100" w:type="dxa"/>
              <w:end w:w="120" w:type="dxa"/>
            </w:tcMar>
            <w:shd w:fill="F5F7F8"/>
          </w:tcPr>
          <w:p>
            <w:pPr>
              <w:spacing w:after="40"/>
            </w:pPr>
            <w:r>
              <w:rPr>
                <w:rFonts w:ascii="Arial" w:hAnsi="Arial"/>
                <w:sz w:val="19"/>
              </w:rPr>
              <w:t>Primary keyword</w:t>
            </w:r>
          </w:p>
        </w:tc>
        <w:tc>
          <w:tcPr>
            <w:tcW w:type="dxa" w:w="7416"/>
            <w:vAlign w:val="center"/>
            <w:tcMar>
              <w:top w:w="100" w:type="dxa"/>
              <w:start w:w="120" w:type="dxa"/>
              <w:bottom w:w="100" w:type="dxa"/>
              <w:end w:w="120" w:type="dxa"/>
            </w:tcMar>
            <w:shd w:fill="F5F7F8"/>
          </w:tcPr>
          <w:p>
            <w:pPr>
              <w:spacing w:after="40"/>
            </w:pPr>
            <w:r>
              <w:rPr>
                <w:rFonts w:ascii="Arial" w:hAnsi="Arial"/>
                <w:sz w:val="19"/>
              </w:rPr>
              <w:t>AAC Auto Palletizing System</w:t>
            </w:r>
          </w:p>
        </w:tc>
      </w:tr>
      <w:tr>
        <w:tc>
          <w:tcPr>
            <w:tcW w:type="dxa" w:w="1944"/>
            <w:vAlign w:val="center"/>
            <w:tcMar>
              <w:top w:w="100" w:type="dxa"/>
              <w:start w:w="120" w:type="dxa"/>
              <w:bottom w:w="100" w:type="dxa"/>
              <w:end w:w="120" w:type="dxa"/>
            </w:tcMar>
          </w:tcPr>
          <w:p>
            <w:pPr>
              <w:spacing w:after="40"/>
            </w:pPr>
            <w:r>
              <w:rPr>
                <w:rFonts w:ascii="Arial" w:hAnsi="Arial"/>
                <w:sz w:val="19"/>
              </w:rPr>
              <w:t>Primary CTA</w:t>
            </w:r>
          </w:p>
        </w:tc>
        <w:tc>
          <w:tcPr>
            <w:tcW w:type="dxa" w:w="7416"/>
            <w:vAlign w:val="center"/>
            <w:tcMar>
              <w:top w:w="100" w:type="dxa"/>
              <w:start w:w="120" w:type="dxa"/>
              <w:bottom w:w="100" w:type="dxa"/>
              <w:end w:w="120" w:type="dxa"/>
            </w:tcMar>
          </w:tcPr>
          <w:p>
            <w:pPr>
              <w:spacing w:after="40"/>
            </w:pPr>
            <w:r>
              <w:rPr>
                <w:rFonts w:ascii="Arial" w:hAnsi="Arial"/>
                <w:sz w:val="19"/>
              </w:rPr>
              <w:t>Request a Post-Autoclave Automation Assessment</w:t>
            </w:r>
          </w:p>
        </w:tc>
      </w:tr>
    </w:tbl>
    <w:p>
      <w:pPr>
        <w:pStyle w:val="Heading1"/>
      </w:pPr>
      <w:r>
        <w:t>AAC Auto Palletizing System</w:t>
      </w:r>
    </w:p>
    <w:p>
      <w:r>
        <w:rPr>
          <w:b/>
        </w:rPr>
        <w:t xml:space="preserve">An AAC auto palletizing system </w:t>
      </w:r>
      <w:r>
        <w:t>is a project-specific material-handling line used after autoclaving to move finished AAC blocks through the required separation, inspection, grouping, stacking and pack-preparation stages. Depending on the plant design, the finished stack may be placed on pallets or prepared through another agreed support and dispatch arrangement before transfer to the stockyard.</w:t>
      </w:r>
    </w:p>
    <w:p>
      <w:r>
        <w:t>The purpose is not simply to replace workers with machines. The purpose is to create a post-autoclave handling sequence that can accept the plant’s peak output, form stable dispatch-ready packs and avoid the finished-product section becoming a constraint on production.</w:t>
      </w:r>
    </w:p>
    <w:tbl>
      <w:tblPr>
        <w:tblW w:type="dxa" w:w="9360"/>
        <w:jc w:val="center"/>
        <w:tblLayout w:type="fixed"/>
        <w:tblLook w:firstColumn="1" w:firstRow="1" w:lastColumn="0" w:lastRow="0" w:noHBand="0" w:noVBand="1" w:val="04A0"/>
        <w:tblInd w:w="120" w:type="dxa"/>
      </w:tblPr>
      <w:tblGrid>
        <w:gridCol w:w="9360"/>
      </w:tblGrid>
      <w:tr>
        <w:tc>
          <w:tcPr>
            <w:tcW w:type="dxa" w:w="9360"/>
            <w:shd w:fill="EEF2F5"/>
            <w:tcMar>
              <w:top w:w="160" w:type="dxa"/>
              <w:start w:w="180" w:type="dxa"/>
              <w:bottom w:w="160" w:type="dxa"/>
              <w:end w:w="180" w:type="dxa"/>
            </w:tcMar>
          </w:tcPr>
          <w:p>
            <w:pPr>
              <w:spacing w:after="0"/>
            </w:pPr>
            <w:r>
              <w:rPr>
                <w:rFonts w:ascii="Arial" w:hAnsi="Arial"/>
                <w:b/>
                <w:color w:val="0C4F80"/>
              </w:rPr>
              <w:t xml:space="preserve">Engineering principle: </w:t>
            </w:r>
            <w:r>
              <w:rPr>
                <w:rFonts w:ascii="Arial" w:hAnsi="Arial"/>
              </w:rPr>
              <w:t>Plant capacity alone does not determine the palletizing system. Selection must consider peak autoclave discharge, cake dimensions, block-size mix, available handling time, required pack format, stockyard flow, maintenance capability and project economics.</w:t>
            </w:r>
          </w:p>
        </w:tc>
      </w:tr>
    </w:tbl>
    <w:p>
      <w:pPr>
        <w:pStyle w:val="Heading1"/>
      </w:pPr>
      <w:r>
        <w:t>Where the System Fits in the AAC Process</w:t>
      </w:r>
    </w:p>
    <w:p>
      <w:r>
        <w:t>Post-autoclave handling begins when the cured AAC cake or block group leaves the autoclaving section and ends when a stable finished pack is ready for stockyard movement or dispatch. The exact interfaces depend on the plant’s production technology and layout.</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2088"/>
            <w:vAlign w:val="center"/>
            <w:tcMar>
              <w:top w:w="100" w:type="dxa"/>
              <w:start w:w="120" w:type="dxa"/>
              <w:bottom w:w="100" w:type="dxa"/>
              <w:end w:w="120" w:type="dxa"/>
            </w:tcMar>
            <w:shd w:fill="0B1727"/>
          </w:tcPr>
          <w:p>
            <w:pPr>
              <w:spacing w:after="40"/>
            </w:pPr>
            <w:r>
              <w:rPr>
                <w:rFonts w:ascii="Arial" w:hAnsi="Arial"/>
                <w:b/>
                <w:color w:val="FFFFFF"/>
                <w:sz w:val="19"/>
              </w:rPr>
              <w:t>Process stage</w:t>
            </w:r>
          </w:p>
        </w:tc>
        <w:tc>
          <w:tcPr>
            <w:tcW w:type="dxa" w:w="3168"/>
            <w:vAlign w:val="center"/>
            <w:tcMar>
              <w:top w:w="100" w:type="dxa"/>
              <w:start w:w="120" w:type="dxa"/>
              <w:bottom w:w="100" w:type="dxa"/>
              <w:end w:w="120" w:type="dxa"/>
            </w:tcMar>
            <w:shd w:fill="0B1727"/>
          </w:tcPr>
          <w:p>
            <w:pPr>
              <w:spacing w:after="40"/>
            </w:pPr>
            <w:r>
              <w:rPr>
                <w:rFonts w:ascii="Arial" w:hAnsi="Arial"/>
                <w:b/>
                <w:color w:val="FFFFFF"/>
                <w:sz w:val="19"/>
              </w:rPr>
              <w:t>Purpose</w:t>
            </w:r>
          </w:p>
        </w:tc>
        <w:tc>
          <w:tcPr>
            <w:tcW w:type="dxa" w:w="4104"/>
            <w:vAlign w:val="center"/>
            <w:tcMar>
              <w:top w:w="100" w:type="dxa"/>
              <w:start w:w="120" w:type="dxa"/>
              <w:bottom w:w="100" w:type="dxa"/>
              <w:end w:w="120" w:type="dxa"/>
            </w:tcMar>
            <w:shd w:fill="0B1727"/>
          </w:tcPr>
          <w:p>
            <w:pPr>
              <w:spacing w:after="40"/>
            </w:pPr>
            <w:r>
              <w:rPr>
                <w:rFonts w:ascii="Arial" w:hAnsi="Arial"/>
                <w:b/>
                <w:color w:val="FFFFFF"/>
                <w:sz w:val="19"/>
              </w:rPr>
              <w:t>Configuration note</w:t>
            </w:r>
          </w:p>
        </w:tc>
      </w:tr>
      <w:tr>
        <w:tc>
          <w:tcPr>
            <w:tcW w:type="dxa" w:w="2088"/>
            <w:vAlign w:val="center"/>
            <w:tcMar>
              <w:top w:w="100" w:type="dxa"/>
              <w:start w:w="120" w:type="dxa"/>
              <w:bottom w:w="100" w:type="dxa"/>
              <w:end w:w="120" w:type="dxa"/>
            </w:tcMar>
          </w:tcPr>
          <w:p>
            <w:pPr>
              <w:spacing w:after="40"/>
            </w:pPr>
            <w:r>
              <w:rPr>
                <w:rFonts w:ascii="Arial" w:hAnsi="Arial"/>
                <w:sz w:val="19"/>
              </w:rPr>
              <w:t>Autoclave unloading</w:t>
            </w:r>
          </w:p>
        </w:tc>
        <w:tc>
          <w:tcPr>
            <w:tcW w:type="dxa" w:w="3168"/>
            <w:vAlign w:val="center"/>
            <w:tcMar>
              <w:top w:w="100" w:type="dxa"/>
              <w:start w:w="120" w:type="dxa"/>
              <w:bottom w:w="100" w:type="dxa"/>
              <w:end w:w="120" w:type="dxa"/>
            </w:tcMar>
          </w:tcPr>
          <w:p>
            <w:pPr>
              <w:spacing w:after="40"/>
            </w:pPr>
            <w:r>
              <w:rPr>
                <w:rFonts w:ascii="Arial" w:hAnsi="Arial"/>
                <w:sz w:val="19"/>
              </w:rPr>
              <w:t>Bring the cured cake or block group into the finished-product handling area.</w:t>
            </w:r>
          </w:p>
        </w:tc>
        <w:tc>
          <w:tcPr>
            <w:tcW w:type="dxa" w:w="4104"/>
            <w:vAlign w:val="center"/>
            <w:tcMar>
              <w:top w:w="100" w:type="dxa"/>
              <w:start w:w="120" w:type="dxa"/>
              <w:bottom w:w="100" w:type="dxa"/>
              <w:end w:w="120" w:type="dxa"/>
            </w:tcMar>
          </w:tcPr>
          <w:p>
            <w:pPr>
              <w:spacing w:after="40"/>
            </w:pPr>
            <w:r>
              <w:rPr>
                <w:rFonts w:ascii="Arial" w:hAnsi="Arial"/>
                <w:sz w:val="19"/>
              </w:rPr>
              <w:t>Must match the existing trolley, side plate, grate or unloading arrangement.</w:t>
            </w:r>
          </w:p>
        </w:tc>
      </w:tr>
      <w:tr>
        <w:tc>
          <w:tcPr>
            <w:tcW w:type="dxa" w:w="2088"/>
            <w:vAlign w:val="center"/>
            <w:tcMar>
              <w:top w:w="100" w:type="dxa"/>
              <w:start w:w="120" w:type="dxa"/>
              <w:bottom w:w="100" w:type="dxa"/>
              <w:end w:w="120" w:type="dxa"/>
            </w:tcMar>
            <w:shd w:fill="F5F7F8"/>
          </w:tcPr>
          <w:p>
            <w:pPr>
              <w:spacing w:after="40"/>
            </w:pPr>
            <w:r>
              <w:rPr>
                <w:rFonts w:ascii="Arial" w:hAnsi="Arial"/>
                <w:sz w:val="19"/>
              </w:rPr>
              <w:t>Transfer and buffering</w:t>
            </w:r>
          </w:p>
        </w:tc>
        <w:tc>
          <w:tcPr>
            <w:tcW w:type="dxa" w:w="3168"/>
            <w:vAlign w:val="center"/>
            <w:tcMar>
              <w:top w:w="100" w:type="dxa"/>
              <w:start w:w="120" w:type="dxa"/>
              <w:bottom w:w="100" w:type="dxa"/>
              <w:end w:w="120" w:type="dxa"/>
            </w:tcMar>
            <w:shd w:fill="F5F7F8"/>
          </w:tcPr>
          <w:p>
            <w:pPr>
              <w:spacing w:after="40"/>
            </w:pPr>
            <w:r>
              <w:rPr>
                <w:rFonts w:ascii="Arial" w:hAnsi="Arial"/>
                <w:sz w:val="19"/>
              </w:rPr>
              <w:t>Coordinate movement between discharge and downstream operations.</w:t>
            </w:r>
          </w:p>
        </w:tc>
        <w:tc>
          <w:tcPr>
            <w:tcW w:type="dxa" w:w="4104"/>
            <w:vAlign w:val="center"/>
            <w:tcMar>
              <w:top w:w="100" w:type="dxa"/>
              <w:start w:w="120" w:type="dxa"/>
              <w:bottom w:w="100" w:type="dxa"/>
              <w:end w:w="120" w:type="dxa"/>
            </w:tcMar>
            <w:shd w:fill="F5F7F8"/>
          </w:tcPr>
          <w:p>
            <w:pPr>
              <w:spacing w:after="40"/>
            </w:pPr>
            <w:r>
              <w:rPr>
                <w:rFonts w:ascii="Arial" w:hAnsi="Arial"/>
                <w:sz w:val="19"/>
              </w:rPr>
              <w:t>Buffering may be required where upstream and downstream cycles do not match.</w:t>
            </w:r>
          </w:p>
        </w:tc>
      </w:tr>
      <w:tr>
        <w:tc>
          <w:tcPr>
            <w:tcW w:type="dxa" w:w="2088"/>
            <w:vAlign w:val="center"/>
            <w:tcMar>
              <w:top w:w="100" w:type="dxa"/>
              <w:start w:w="120" w:type="dxa"/>
              <w:bottom w:w="100" w:type="dxa"/>
              <w:end w:w="120" w:type="dxa"/>
            </w:tcMar>
          </w:tcPr>
          <w:p>
            <w:pPr>
              <w:spacing w:after="40"/>
            </w:pPr>
            <w:r>
              <w:rPr>
                <w:rFonts w:ascii="Arial" w:hAnsi="Arial"/>
                <w:sz w:val="19"/>
              </w:rPr>
              <w:t>Separation</w:t>
            </w:r>
          </w:p>
        </w:tc>
        <w:tc>
          <w:tcPr>
            <w:tcW w:type="dxa" w:w="3168"/>
            <w:vAlign w:val="center"/>
            <w:tcMar>
              <w:top w:w="100" w:type="dxa"/>
              <w:start w:w="120" w:type="dxa"/>
              <w:bottom w:w="100" w:type="dxa"/>
              <w:end w:w="120" w:type="dxa"/>
            </w:tcMar>
          </w:tcPr>
          <w:p>
            <w:pPr>
              <w:spacing w:after="40"/>
            </w:pPr>
            <w:r>
              <w:rPr>
                <w:rFonts w:ascii="Arial" w:hAnsi="Arial"/>
                <w:sz w:val="19"/>
              </w:rPr>
              <w:t>Separate cured blocks or layers where required.</w:t>
            </w:r>
          </w:p>
        </w:tc>
        <w:tc>
          <w:tcPr>
            <w:tcW w:type="dxa" w:w="4104"/>
            <w:vAlign w:val="center"/>
            <w:tcMar>
              <w:top w:w="100" w:type="dxa"/>
              <w:start w:w="120" w:type="dxa"/>
              <w:bottom w:w="100" w:type="dxa"/>
              <w:end w:w="120" w:type="dxa"/>
            </w:tcMar>
          </w:tcPr>
          <w:p>
            <w:pPr>
              <w:spacing w:after="40"/>
            </w:pPr>
            <w:r>
              <w:rPr>
                <w:rFonts w:ascii="Arial" w:hAnsi="Arial"/>
                <w:sz w:val="19"/>
              </w:rPr>
              <w:t>May be a separate machine or an integrated interface; final scope is project-specific.</w:t>
            </w:r>
          </w:p>
        </w:tc>
      </w:tr>
      <w:tr>
        <w:tc>
          <w:tcPr>
            <w:tcW w:type="dxa" w:w="2088"/>
            <w:vAlign w:val="center"/>
            <w:tcMar>
              <w:top w:w="100" w:type="dxa"/>
              <w:start w:w="120" w:type="dxa"/>
              <w:bottom w:w="100" w:type="dxa"/>
              <w:end w:w="120" w:type="dxa"/>
            </w:tcMar>
            <w:shd w:fill="F5F7F8"/>
          </w:tcPr>
          <w:p>
            <w:pPr>
              <w:spacing w:after="40"/>
            </w:pPr>
            <w:r>
              <w:rPr>
                <w:rFonts w:ascii="Arial" w:hAnsi="Arial"/>
                <w:sz w:val="19"/>
              </w:rPr>
              <w:t>Inspection and rejection</w:t>
            </w:r>
          </w:p>
        </w:tc>
        <w:tc>
          <w:tcPr>
            <w:tcW w:type="dxa" w:w="3168"/>
            <w:vAlign w:val="center"/>
            <w:tcMar>
              <w:top w:w="100" w:type="dxa"/>
              <w:start w:w="120" w:type="dxa"/>
              <w:bottom w:w="100" w:type="dxa"/>
              <w:end w:w="120" w:type="dxa"/>
            </w:tcMar>
            <w:shd w:fill="F5F7F8"/>
          </w:tcPr>
          <w:p>
            <w:pPr>
              <w:spacing w:after="40"/>
            </w:pPr>
            <w:r>
              <w:rPr>
                <w:rFonts w:ascii="Arial" w:hAnsi="Arial"/>
                <w:sz w:val="19"/>
              </w:rPr>
              <w:t>Allow damaged or non-conforming blocks to be identified and removed.</w:t>
            </w:r>
          </w:p>
        </w:tc>
        <w:tc>
          <w:tcPr>
            <w:tcW w:type="dxa" w:w="4104"/>
            <w:vAlign w:val="center"/>
            <w:tcMar>
              <w:top w:w="100" w:type="dxa"/>
              <w:start w:w="120" w:type="dxa"/>
              <w:bottom w:w="100" w:type="dxa"/>
              <w:end w:w="120" w:type="dxa"/>
            </w:tcMar>
            <w:shd w:fill="F5F7F8"/>
          </w:tcPr>
          <w:p>
            <w:pPr>
              <w:spacing w:after="40"/>
            </w:pPr>
            <w:r>
              <w:rPr>
                <w:rFonts w:ascii="Arial" w:hAnsi="Arial"/>
                <w:sz w:val="19"/>
              </w:rPr>
              <w:t>Manual or automated methods may be selected according to product and project requirements.</w:t>
            </w:r>
          </w:p>
        </w:tc>
      </w:tr>
      <w:tr>
        <w:tc>
          <w:tcPr>
            <w:tcW w:type="dxa" w:w="2088"/>
            <w:vAlign w:val="center"/>
            <w:tcMar>
              <w:top w:w="100" w:type="dxa"/>
              <w:start w:w="120" w:type="dxa"/>
              <w:bottom w:w="100" w:type="dxa"/>
              <w:end w:w="120" w:type="dxa"/>
            </w:tcMar>
          </w:tcPr>
          <w:p>
            <w:pPr>
              <w:spacing w:after="40"/>
            </w:pPr>
            <w:r>
              <w:rPr>
                <w:rFonts w:ascii="Arial" w:hAnsi="Arial"/>
                <w:sz w:val="19"/>
              </w:rPr>
              <w:t>Grouping and stacking</w:t>
            </w:r>
          </w:p>
        </w:tc>
        <w:tc>
          <w:tcPr>
            <w:tcW w:type="dxa" w:w="3168"/>
            <w:vAlign w:val="center"/>
            <w:tcMar>
              <w:top w:w="100" w:type="dxa"/>
              <w:start w:w="120" w:type="dxa"/>
              <w:bottom w:w="100" w:type="dxa"/>
              <w:end w:w="120" w:type="dxa"/>
            </w:tcMar>
          </w:tcPr>
          <w:p>
            <w:pPr>
              <w:spacing w:after="40"/>
            </w:pPr>
            <w:r>
              <w:rPr>
                <w:rFonts w:ascii="Arial" w:hAnsi="Arial"/>
                <w:sz w:val="19"/>
              </w:rPr>
              <w:t>Arrange blocks into the defined pack pattern.</w:t>
            </w:r>
          </w:p>
        </w:tc>
        <w:tc>
          <w:tcPr>
            <w:tcW w:type="dxa" w:w="4104"/>
            <w:vAlign w:val="center"/>
            <w:tcMar>
              <w:top w:w="100" w:type="dxa"/>
              <w:start w:w="120" w:type="dxa"/>
              <w:bottom w:w="100" w:type="dxa"/>
              <w:end w:w="120" w:type="dxa"/>
            </w:tcMar>
          </w:tcPr>
          <w:p>
            <w:pPr>
              <w:spacing w:after="40"/>
            </w:pPr>
            <w:r>
              <w:rPr>
                <w:rFonts w:ascii="Arial" w:hAnsi="Arial"/>
                <w:sz w:val="19"/>
              </w:rPr>
              <w:t>Recipe requirements depend on block sizes, market pack and dispatch practice.</w:t>
            </w:r>
          </w:p>
        </w:tc>
      </w:tr>
      <w:tr>
        <w:tc>
          <w:tcPr>
            <w:tcW w:type="dxa" w:w="2088"/>
            <w:vAlign w:val="center"/>
            <w:tcMar>
              <w:top w:w="100" w:type="dxa"/>
              <w:start w:w="120" w:type="dxa"/>
              <w:bottom w:w="100" w:type="dxa"/>
              <w:end w:w="120" w:type="dxa"/>
            </w:tcMar>
            <w:shd w:fill="F5F7F8"/>
          </w:tcPr>
          <w:p>
            <w:pPr>
              <w:spacing w:after="40"/>
            </w:pPr>
            <w:r>
              <w:rPr>
                <w:rFonts w:ascii="Arial" w:hAnsi="Arial"/>
                <w:sz w:val="19"/>
              </w:rPr>
              <w:t>Pack preparation</w:t>
            </w:r>
          </w:p>
        </w:tc>
        <w:tc>
          <w:tcPr>
            <w:tcW w:type="dxa" w:w="3168"/>
            <w:vAlign w:val="center"/>
            <w:tcMar>
              <w:top w:w="100" w:type="dxa"/>
              <w:start w:w="120" w:type="dxa"/>
              <w:bottom w:w="100" w:type="dxa"/>
              <w:end w:w="120" w:type="dxa"/>
            </w:tcMar>
            <w:shd w:fill="F5F7F8"/>
          </w:tcPr>
          <w:p>
            <w:pPr>
              <w:spacing w:after="40"/>
            </w:pPr>
            <w:r>
              <w:rPr>
                <w:rFonts w:ascii="Arial" w:hAnsi="Arial"/>
                <w:sz w:val="19"/>
              </w:rPr>
              <w:t>Place the stack on the agreed support and prepare it for movement.</w:t>
            </w:r>
          </w:p>
        </w:tc>
        <w:tc>
          <w:tcPr>
            <w:tcW w:type="dxa" w:w="4104"/>
            <w:vAlign w:val="center"/>
            <w:tcMar>
              <w:top w:w="100" w:type="dxa"/>
              <w:start w:w="120" w:type="dxa"/>
              <w:bottom w:w="100" w:type="dxa"/>
              <w:end w:w="120" w:type="dxa"/>
            </w:tcMar>
            <w:shd w:fill="F5F7F8"/>
          </w:tcPr>
          <w:p>
            <w:pPr>
              <w:spacing w:after="40"/>
            </w:pPr>
            <w:r>
              <w:rPr>
                <w:rFonts w:ascii="Arial" w:hAnsi="Arial"/>
                <w:sz w:val="19"/>
              </w:rPr>
              <w:t>Pallet feeding, support insertion, strapping, wrapping and labelling are separate scope decisions.</w:t>
            </w:r>
          </w:p>
        </w:tc>
      </w:tr>
      <w:tr>
        <w:tc>
          <w:tcPr>
            <w:tcW w:type="dxa" w:w="2088"/>
            <w:vAlign w:val="center"/>
            <w:tcMar>
              <w:top w:w="100" w:type="dxa"/>
              <w:start w:w="120" w:type="dxa"/>
              <w:bottom w:w="100" w:type="dxa"/>
              <w:end w:w="120" w:type="dxa"/>
            </w:tcMar>
          </w:tcPr>
          <w:p>
            <w:pPr>
              <w:spacing w:after="40"/>
            </w:pPr>
            <w:r>
              <w:rPr>
                <w:rFonts w:ascii="Arial" w:hAnsi="Arial"/>
                <w:sz w:val="19"/>
              </w:rPr>
              <w:t>Stockyard transfer</w:t>
            </w:r>
          </w:p>
        </w:tc>
        <w:tc>
          <w:tcPr>
            <w:tcW w:type="dxa" w:w="3168"/>
            <w:vAlign w:val="center"/>
            <w:tcMar>
              <w:top w:w="100" w:type="dxa"/>
              <w:start w:w="120" w:type="dxa"/>
              <w:bottom w:w="100" w:type="dxa"/>
              <w:end w:w="120" w:type="dxa"/>
            </w:tcMar>
          </w:tcPr>
          <w:p>
            <w:pPr>
              <w:spacing w:after="40"/>
            </w:pPr>
            <w:r>
              <w:rPr>
                <w:rFonts w:ascii="Arial" w:hAnsi="Arial"/>
                <w:sz w:val="19"/>
              </w:rPr>
              <w:t>Move the finished pack to storage or dispatch.</w:t>
            </w:r>
          </w:p>
        </w:tc>
        <w:tc>
          <w:tcPr>
            <w:tcW w:type="dxa" w:w="4104"/>
            <w:vAlign w:val="center"/>
            <w:tcMar>
              <w:top w:w="100" w:type="dxa"/>
              <w:start w:w="120" w:type="dxa"/>
              <w:bottom w:w="100" w:type="dxa"/>
              <w:end w:w="120" w:type="dxa"/>
            </w:tcMar>
          </w:tcPr>
          <w:p>
            <w:pPr>
              <w:spacing w:after="40"/>
            </w:pPr>
            <w:r>
              <w:rPr>
                <w:rFonts w:ascii="Arial" w:hAnsi="Arial"/>
                <w:sz w:val="19"/>
              </w:rPr>
              <w:t>Interface must match forklift, conveyor, crane or other selected logistics.</w:t>
            </w:r>
          </w:p>
        </w:tc>
      </w:tr>
    </w:tbl>
    <w:p>
      <w:pPr>
        <w:pStyle w:val="Heading1"/>
      </w:pPr>
      <w:r>
        <w:t>Why Post-Autoclave Handling Becomes a Bottleneck</w:t>
      </w:r>
    </w:p>
    <w:p>
      <w:r>
        <w:t>Increasing batching, cutting or autoclaving capacity does not automatically increase dispatch-ready output. If finished blocks cannot be separated, inspected, grouped and moved within the available handling window, material accumulates after the autoclaves and the downstream section begins to restrict the plant.</w:t>
      </w:r>
    </w:p>
    <w:p>
      <w:r>
        <w:t>This risk is influenced by:</w:t>
      </w:r>
    </w:p>
    <w:p>
      <w:pPr>
        <w:pStyle w:val="ListBullet"/>
      </w:pPr>
      <w:r>
        <w:t>the number of cakes or block groups discharged during peak periods</w:t>
      </w:r>
    </w:p>
    <w:p>
      <w:pPr>
        <w:pStyle w:val="ListBullet"/>
      </w:pPr>
      <w:r>
        <w:t>cake dimensions and the quantity of blocks in each cake</w:t>
      </w:r>
    </w:p>
    <w:p>
      <w:pPr>
        <w:pStyle w:val="ListBullet"/>
      </w:pPr>
      <w:r>
        <w:t>the number of block sizes and pack patterns produced</w:t>
      </w:r>
    </w:p>
    <w:p>
      <w:pPr>
        <w:pStyle w:val="ListBullet"/>
      </w:pPr>
      <w:r>
        <w:t>manual handling time and labour availability across shifts</w:t>
      </w:r>
    </w:p>
    <w:p>
      <w:pPr>
        <w:pStyle w:val="ListBullet"/>
      </w:pPr>
      <w:r>
        <w:t>the need to remove damaged blocks or rearrange mixed products</w:t>
      </w:r>
    </w:p>
    <w:p>
      <w:pPr>
        <w:pStyle w:val="ListBullet"/>
      </w:pPr>
      <w:r>
        <w:t>pallet availability, support insertion and packaging time</w:t>
      </w:r>
    </w:p>
    <w:p>
      <w:pPr>
        <w:pStyle w:val="ListBullet"/>
      </w:pPr>
      <w:r>
        <w:t>distance and movement method between the line, stockyard and dispatch area</w:t>
      </w:r>
    </w:p>
    <w:p>
      <w:pPr>
        <w:pStyle w:val="ListBullet"/>
      </w:pPr>
      <w:r>
        <w:t>stoppages, changeovers and the ability to recover without blocking upstream production</w:t>
      </w:r>
    </w:p>
    <w:p>
      <w:pPr>
        <w:pStyle w:val="Heading1"/>
      </w:pPr>
      <w:r>
        <w:t>How an AAC Auto Palletizing Line Works</w:t>
      </w:r>
    </w:p>
    <w:p>
      <w:r>
        <w:t>The operating sequence must be confirmed against the selected AAC production technology. A typical engineering sequence may contain the following stages:</w:t>
      </w:r>
    </w:p>
    <w:p>
      <w:pPr>
        <w:pStyle w:val="ListNumber"/>
      </w:pPr>
      <w:r>
        <w:rPr>
          <w:b/>
        </w:rPr>
        <w:t xml:space="preserve">Receive the cured product: </w:t>
      </w:r>
      <w:r>
        <w:t>The cake or block group is moved from the autoclave unloading arrangement to the post-autoclave line.</w:t>
      </w:r>
    </w:p>
    <w:p>
      <w:pPr>
        <w:pStyle w:val="ListNumber"/>
      </w:pPr>
      <w:r>
        <w:rPr>
          <w:b/>
        </w:rPr>
        <w:t xml:space="preserve">Transfer and position: </w:t>
      </w:r>
      <w:r>
        <w:t>The product is positioned for separation, inspection or grouping. Controlled positioning is important because the next handling operation depends on repeatable alignment.</w:t>
      </w:r>
    </w:p>
    <w:p>
      <w:pPr>
        <w:pStyle w:val="ListNumber"/>
      </w:pPr>
      <w:r>
        <w:rPr>
          <w:b/>
        </w:rPr>
        <w:t xml:space="preserve">Separate where required: </w:t>
      </w:r>
      <w:r>
        <w:t>Cured blocks or layers are separated according to the selected production process. The separator and palletizer should be treated as distinct scope items unless an integrated arrangement is specifically defined.</w:t>
      </w:r>
    </w:p>
    <w:p>
      <w:pPr>
        <w:pStyle w:val="ListNumber"/>
      </w:pPr>
      <w:r>
        <w:rPr>
          <w:b/>
        </w:rPr>
        <w:t xml:space="preserve">Inspect and remove rejected blocks: </w:t>
      </w:r>
      <w:r>
        <w:t>The line should provide a practical method for identifying and removing damaged or non-conforming blocks without disrupting the complete sequence.</w:t>
      </w:r>
    </w:p>
    <w:p>
      <w:pPr>
        <w:pStyle w:val="ListNumber"/>
      </w:pPr>
      <w:r>
        <w:rPr>
          <w:b/>
        </w:rPr>
        <w:t xml:space="preserve">Form the stack: </w:t>
      </w:r>
      <w:r>
        <w:t>Blocks are grouped into the required dispatch pattern. Different product sizes may require different recipes, gripper settings, guides or changeover procedures.</w:t>
      </w:r>
    </w:p>
    <w:p>
      <w:pPr>
        <w:pStyle w:val="ListNumber"/>
      </w:pPr>
      <w:r>
        <w:rPr>
          <w:b/>
        </w:rPr>
        <w:t xml:space="preserve">Prepare the finished pack: </w:t>
      </w:r>
      <w:r>
        <w:t>The completed stack is placed on a pallet or another agreed support arrangement. Optional strapping, wrapping, corner protection or labelling may follow where included in the project scope.</w:t>
      </w:r>
    </w:p>
    <w:p>
      <w:pPr>
        <w:pStyle w:val="ListNumber"/>
      </w:pPr>
      <w:r>
        <w:rPr>
          <w:b/>
        </w:rPr>
        <w:t xml:space="preserve">Transfer to the stockyard: </w:t>
      </w:r>
      <w:r>
        <w:t>The finished pack is released to the selected stockyard-handling method, with sufficient space and access for safe movement.</w:t>
      </w:r>
    </w:p>
    <w:p>
      <w:pPr>
        <w:pStyle w:val="Heading1"/>
      </w:pPr>
      <w:r>
        <w:t>Choose the Right Automation Level</w:t>
      </w:r>
    </w:p>
    <w:p>
      <w:r>
        <w:t>Not every AAC plant requires a completely automatic finished-product line. The correct decision is the lowest practical level of automation that can meet the required output, pack quality, safety and operating objectives without creating unnecessary complexity.</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1800"/>
            <w:vAlign w:val="center"/>
            <w:tcMar>
              <w:top w:w="100" w:type="dxa"/>
              <w:start w:w="120" w:type="dxa"/>
              <w:bottom w:w="100" w:type="dxa"/>
              <w:end w:w="120" w:type="dxa"/>
            </w:tcMar>
            <w:shd w:fill="0B1727"/>
          </w:tcPr>
          <w:p>
            <w:pPr>
              <w:spacing w:after="40"/>
            </w:pPr>
            <w:r>
              <w:rPr>
                <w:rFonts w:ascii="Arial" w:hAnsi="Arial"/>
                <w:b/>
                <w:color w:val="FFFFFF"/>
                <w:sz w:val="19"/>
              </w:rPr>
              <w:t>Configuration</w:t>
            </w:r>
          </w:p>
        </w:tc>
        <w:tc>
          <w:tcPr>
            <w:tcW w:type="dxa" w:w="2592"/>
            <w:vAlign w:val="center"/>
            <w:tcMar>
              <w:top w:w="100" w:type="dxa"/>
              <w:start w:w="120" w:type="dxa"/>
              <w:bottom w:w="100" w:type="dxa"/>
              <w:end w:w="120" w:type="dxa"/>
            </w:tcMar>
            <w:shd w:fill="0B1727"/>
          </w:tcPr>
          <w:p>
            <w:pPr>
              <w:spacing w:after="40"/>
            </w:pPr>
            <w:r>
              <w:rPr>
                <w:rFonts w:ascii="Arial" w:hAnsi="Arial"/>
                <w:b/>
                <w:color w:val="FFFFFF"/>
                <w:sz w:val="19"/>
              </w:rPr>
              <w:t>Where it may fit</w:t>
            </w:r>
          </w:p>
        </w:tc>
        <w:tc>
          <w:tcPr>
            <w:tcW w:type="dxa" w:w="2520"/>
            <w:vAlign w:val="center"/>
            <w:tcMar>
              <w:top w:w="100" w:type="dxa"/>
              <w:start w:w="120" w:type="dxa"/>
              <w:bottom w:w="100" w:type="dxa"/>
              <w:end w:w="120" w:type="dxa"/>
            </w:tcMar>
            <w:shd w:fill="0B1727"/>
          </w:tcPr>
          <w:p>
            <w:pPr>
              <w:spacing w:after="40"/>
            </w:pPr>
            <w:r>
              <w:rPr>
                <w:rFonts w:ascii="Arial" w:hAnsi="Arial"/>
                <w:b/>
                <w:color w:val="FFFFFF"/>
                <w:sz w:val="19"/>
              </w:rPr>
              <w:t>Main advantages</w:t>
            </w:r>
          </w:p>
        </w:tc>
        <w:tc>
          <w:tcPr>
            <w:tcW w:type="dxa" w:w="2448"/>
            <w:vAlign w:val="center"/>
            <w:tcMar>
              <w:top w:w="100" w:type="dxa"/>
              <w:start w:w="120" w:type="dxa"/>
              <w:bottom w:w="100" w:type="dxa"/>
              <w:end w:w="120" w:type="dxa"/>
            </w:tcMar>
            <w:shd w:fill="0B1727"/>
          </w:tcPr>
          <w:p>
            <w:pPr>
              <w:spacing w:after="40"/>
            </w:pPr>
            <w:r>
              <w:rPr>
                <w:rFonts w:ascii="Arial" w:hAnsi="Arial"/>
                <w:b/>
                <w:color w:val="FFFFFF"/>
                <w:sz w:val="19"/>
              </w:rPr>
              <w:t>Important limitations</w:t>
            </w:r>
          </w:p>
        </w:tc>
      </w:tr>
      <w:tr>
        <w:tc>
          <w:tcPr>
            <w:tcW w:type="dxa" w:w="1800"/>
            <w:vAlign w:val="center"/>
            <w:tcMar>
              <w:top w:w="100" w:type="dxa"/>
              <w:start w:w="120" w:type="dxa"/>
              <w:bottom w:w="100" w:type="dxa"/>
              <w:end w:w="120" w:type="dxa"/>
            </w:tcMar>
          </w:tcPr>
          <w:p>
            <w:pPr>
              <w:spacing w:after="40"/>
            </w:pPr>
            <w:r>
              <w:rPr>
                <w:rFonts w:ascii="Arial" w:hAnsi="Arial"/>
                <w:sz w:val="19"/>
              </w:rPr>
              <w:t>Manual handling</w:t>
            </w:r>
          </w:p>
        </w:tc>
        <w:tc>
          <w:tcPr>
            <w:tcW w:type="dxa" w:w="2592"/>
            <w:vAlign w:val="center"/>
            <w:tcMar>
              <w:top w:w="100" w:type="dxa"/>
              <w:start w:w="120" w:type="dxa"/>
              <w:bottom w:w="100" w:type="dxa"/>
              <w:end w:w="120" w:type="dxa"/>
            </w:tcMar>
          </w:tcPr>
          <w:p>
            <w:pPr>
              <w:spacing w:after="40"/>
            </w:pPr>
            <w:r>
              <w:rPr>
                <w:rFonts w:ascii="Arial" w:hAnsi="Arial"/>
                <w:sz w:val="19"/>
              </w:rPr>
              <w:t>Lower output, simple product mix or conditions where labour and handling time remain manageable.</w:t>
            </w:r>
          </w:p>
        </w:tc>
        <w:tc>
          <w:tcPr>
            <w:tcW w:type="dxa" w:w="2520"/>
            <w:vAlign w:val="center"/>
            <w:tcMar>
              <w:top w:w="100" w:type="dxa"/>
              <w:start w:w="120" w:type="dxa"/>
              <w:bottom w:w="100" w:type="dxa"/>
              <w:end w:w="120" w:type="dxa"/>
            </w:tcMar>
          </w:tcPr>
          <w:p>
            <w:pPr>
              <w:spacing w:after="40"/>
            </w:pPr>
            <w:r>
              <w:rPr>
                <w:rFonts w:ascii="Arial" w:hAnsi="Arial"/>
                <w:sz w:val="19"/>
              </w:rPr>
              <w:t>Lower initial investment; simple recovery; high flexibility.</w:t>
            </w:r>
          </w:p>
        </w:tc>
        <w:tc>
          <w:tcPr>
            <w:tcW w:type="dxa" w:w="2448"/>
            <w:vAlign w:val="center"/>
            <w:tcMar>
              <w:top w:w="100" w:type="dxa"/>
              <w:start w:w="120" w:type="dxa"/>
              <w:bottom w:w="100" w:type="dxa"/>
              <w:end w:w="120" w:type="dxa"/>
            </w:tcMar>
          </w:tcPr>
          <w:p>
            <w:pPr>
              <w:spacing w:after="40"/>
            </w:pPr>
            <w:r>
              <w:rPr>
                <w:rFonts w:ascii="Arial" w:hAnsi="Arial"/>
                <w:sz w:val="19"/>
              </w:rPr>
              <w:t>Greater labour dependence; variable cycle and stack consistency; difficult to scale.</w:t>
            </w:r>
          </w:p>
        </w:tc>
      </w:tr>
      <w:tr>
        <w:tc>
          <w:tcPr>
            <w:tcW w:type="dxa" w:w="1800"/>
            <w:vAlign w:val="center"/>
            <w:tcMar>
              <w:top w:w="100" w:type="dxa"/>
              <w:start w:w="120" w:type="dxa"/>
              <w:bottom w:w="100" w:type="dxa"/>
              <w:end w:w="120" w:type="dxa"/>
            </w:tcMar>
            <w:shd w:fill="F5F7F8"/>
          </w:tcPr>
          <w:p>
            <w:pPr>
              <w:spacing w:after="40"/>
            </w:pPr>
            <w:r>
              <w:rPr>
                <w:rFonts w:ascii="Arial" w:hAnsi="Arial"/>
                <w:sz w:val="19"/>
              </w:rPr>
              <w:t>Selective automation</w:t>
            </w:r>
          </w:p>
        </w:tc>
        <w:tc>
          <w:tcPr>
            <w:tcW w:type="dxa" w:w="2592"/>
            <w:vAlign w:val="center"/>
            <w:tcMar>
              <w:top w:w="100" w:type="dxa"/>
              <w:start w:w="120" w:type="dxa"/>
              <w:bottom w:w="100" w:type="dxa"/>
              <w:end w:w="120" w:type="dxa"/>
            </w:tcMar>
            <w:shd w:fill="F5F7F8"/>
          </w:tcPr>
          <w:p>
            <w:pPr>
              <w:spacing w:after="40"/>
            </w:pPr>
            <w:r>
              <w:rPr>
                <w:rFonts w:ascii="Arial" w:hAnsi="Arial"/>
                <w:sz w:val="19"/>
              </w:rPr>
              <w:t>Plants where the most labour-intensive or repetitive stages are clear bottlenecks.</w:t>
            </w:r>
          </w:p>
        </w:tc>
        <w:tc>
          <w:tcPr>
            <w:tcW w:type="dxa" w:w="2520"/>
            <w:vAlign w:val="center"/>
            <w:tcMar>
              <w:top w:w="100" w:type="dxa"/>
              <w:start w:w="120" w:type="dxa"/>
              <w:bottom w:w="100" w:type="dxa"/>
              <w:end w:w="120" w:type="dxa"/>
            </w:tcMar>
            <w:shd w:fill="F5F7F8"/>
          </w:tcPr>
          <w:p>
            <w:pPr>
              <w:spacing w:after="40"/>
            </w:pPr>
            <w:r>
              <w:rPr>
                <w:rFonts w:ascii="Arial" w:hAnsi="Arial"/>
                <w:sz w:val="19"/>
              </w:rPr>
              <w:t>Targets the highest-value operations while retaining flexibility.</w:t>
            </w:r>
          </w:p>
        </w:tc>
        <w:tc>
          <w:tcPr>
            <w:tcW w:type="dxa" w:w="2448"/>
            <w:vAlign w:val="center"/>
            <w:tcMar>
              <w:top w:w="100" w:type="dxa"/>
              <w:start w:w="120" w:type="dxa"/>
              <w:bottom w:w="100" w:type="dxa"/>
              <w:end w:w="120" w:type="dxa"/>
            </w:tcMar>
            <w:shd w:fill="F5F7F8"/>
          </w:tcPr>
          <w:p>
            <w:pPr>
              <w:spacing w:after="40"/>
            </w:pPr>
            <w:r>
              <w:rPr>
                <w:rFonts w:ascii="Arial" w:hAnsi="Arial"/>
                <w:sz w:val="19"/>
              </w:rPr>
              <w:t>Manual and automatic interfaces must be balanced carefully.</w:t>
            </w:r>
          </w:p>
        </w:tc>
      </w:tr>
      <w:tr>
        <w:tc>
          <w:tcPr>
            <w:tcW w:type="dxa" w:w="1800"/>
            <w:vAlign w:val="center"/>
            <w:tcMar>
              <w:top w:w="100" w:type="dxa"/>
              <w:start w:w="120" w:type="dxa"/>
              <w:bottom w:w="100" w:type="dxa"/>
              <w:end w:w="120" w:type="dxa"/>
            </w:tcMar>
          </w:tcPr>
          <w:p>
            <w:pPr>
              <w:spacing w:after="40"/>
            </w:pPr>
            <w:r>
              <w:rPr>
                <w:rFonts w:ascii="Arial" w:hAnsi="Arial"/>
                <w:sz w:val="19"/>
              </w:rPr>
              <w:t>Integrated automation</w:t>
            </w:r>
          </w:p>
        </w:tc>
        <w:tc>
          <w:tcPr>
            <w:tcW w:type="dxa" w:w="2592"/>
            <w:vAlign w:val="center"/>
            <w:tcMar>
              <w:top w:w="100" w:type="dxa"/>
              <w:start w:w="120" w:type="dxa"/>
              <w:bottom w:w="100" w:type="dxa"/>
              <w:end w:w="120" w:type="dxa"/>
            </w:tcMar>
          </w:tcPr>
          <w:p>
            <w:pPr>
              <w:spacing w:after="40"/>
            </w:pPr>
            <w:r>
              <w:rPr>
                <w:rFonts w:ascii="Arial" w:hAnsi="Arial"/>
                <w:sz w:val="19"/>
              </w:rPr>
              <w:t>Projects with demanding peak flow, repeated pack patterns and a justified automation case.</w:t>
            </w:r>
          </w:p>
        </w:tc>
        <w:tc>
          <w:tcPr>
            <w:tcW w:type="dxa" w:w="2520"/>
            <w:vAlign w:val="center"/>
            <w:tcMar>
              <w:top w:w="100" w:type="dxa"/>
              <w:start w:w="120" w:type="dxa"/>
              <w:bottom w:w="100" w:type="dxa"/>
              <w:end w:w="120" w:type="dxa"/>
            </w:tcMar>
          </w:tcPr>
          <w:p>
            <w:pPr>
              <w:spacing w:after="40"/>
            </w:pPr>
            <w:r>
              <w:rPr>
                <w:rFonts w:ascii="Arial" w:hAnsi="Arial"/>
                <w:sz w:val="19"/>
              </w:rPr>
              <w:t>Coordinated movement, recipe-based operation and lower dependence on repetitive manual handling.</w:t>
            </w:r>
          </w:p>
        </w:tc>
        <w:tc>
          <w:tcPr>
            <w:tcW w:type="dxa" w:w="2448"/>
            <w:vAlign w:val="center"/>
            <w:tcMar>
              <w:top w:w="100" w:type="dxa"/>
              <w:start w:w="120" w:type="dxa"/>
              <w:bottom w:w="100" w:type="dxa"/>
              <w:end w:w="120" w:type="dxa"/>
            </w:tcMar>
          </w:tcPr>
          <w:p>
            <w:pPr>
              <w:spacing w:after="40"/>
            </w:pPr>
            <w:r>
              <w:rPr>
                <w:rFonts w:ascii="Arial" w:hAnsi="Arial"/>
                <w:sz w:val="19"/>
              </w:rPr>
              <w:t>Higher integration and maintenance requirements; stoppage recovery must be designed.</w:t>
            </w:r>
          </w:p>
        </w:tc>
      </w:tr>
    </w:tbl>
    <w:tbl>
      <w:tblPr>
        <w:tblW w:type="dxa" w:w="9360"/>
        <w:jc w:val="center"/>
        <w:tblLayout w:type="fixed"/>
        <w:tblLook w:firstColumn="1" w:firstRow="1" w:lastColumn="0" w:lastRow="0" w:noHBand="0" w:noVBand="1" w:val="04A0"/>
        <w:tblInd w:w="120" w:type="dxa"/>
      </w:tblPr>
      <w:tblGrid>
        <w:gridCol w:w="9360"/>
      </w:tblGrid>
      <w:tr>
        <w:tc>
          <w:tcPr>
            <w:tcW w:type="dxa" w:w="9360"/>
            <w:shd w:fill="EEF2F5"/>
            <w:tcMar>
              <w:top w:w="160" w:type="dxa"/>
              <w:start w:w="180" w:type="dxa"/>
              <w:bottom w:w="160" w:type="dxa"/>
              <w:end w:w="180" w:type="dxa"/>
            </w:tcMar>
          </w:tcPr>
          <w:p>
            <w:pPr>
              <w:spacing w:after="0"/>
            </w:pPr>
            <w:r>
              <w:rPr>
                <w:rFonts w:ascii="Arial" w:hAnsi="Arial"/>
                <w:b/>
                <w:color w:val="0C4F80"/>
              </w:rPr>
              <w:t xml:space="preserve">Avoid a common mistake: </w:t>
            </w:r>
            <w:r>
              <w:rPr>
                <w:rFonts w:ascii="Arial" w:hAnsi="Arial"/>
              </w:rPr>
              <w:t>Do not label a line “fully automatic” without defining every remaining manual task. Inspection, rejection removal, pallet loading, packaging-material replenishment, forklift movement, cleaning, maintenance and breakdown recovery may still require operators.</w:t>
            </w:r>
          </w:p>
        </w:tc>
      </w:tr>
    </w:tbl>
    <w:p>
      <w:pPr>
        <w:pStyle w:val="Heading1"/>
      </w:pPr>
      <w:r>
        <w:t>How the Required System Capacity Should Be Determined</w:t>
      </w:r>
    </w:p>
    <w:p>
      <w:r>
        <w:t>The system should be sized around the plant’s peak finished-product flow—not only its nominal daily production. A reliable assessment compares the maximum product arriving from the autoclaving section with the time available to separate, group, stack and release each pack.</w:t>
      </w:r>
    </w:p>
    <w:p>
      <w:pPr>
        <w:pStyle w:val="Heading2"/>
      </w:pPr>
      <w:r>
        <w:t>Key design inputs</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3240"/>
            <w:vAlign w:val="center"/>
            <w:tcMar>
              <w:top w:w="100" w:type="dxa"/>
              <w:start w:w="120" w:type="dxa"/>
              <w:bottom w:w="100" w:type="dxa"/>
              <w:end w:w="120" w:type="dxa"/>
            </w:tcMar>
            <w:shd w:fill="0B1727"/>
          </w:tcPr>
          <w:p>
            <w:pPr>
              <w:spacing w:after="40"/>
            </w:pPr>
            <w:r>
              <w:rPr>
                <w:rFonts w:ascii="Arial" w:hAnsi="Arial"/>
                <w:b/>
                <w:color w:val="FFFFFF"/>
                <w:sz w:val="19"/>
              </w:rPr>
              <w:t>Required input</w:t>
            </w:r>
          </w:p>
        </w:tc>
        <w:tc>
          <w:tcPr>
            <w:tcW w:type="dxa" w:w="6120"/>
            <w:vAlign w:val="center"/>
            <w:tcMar>
              <w:top w:w="100" w:type="dxa"/>
              <w:start w:w="120" w:type="dxa"/>
              <w:bottom w:w="100" w:type="dxa"/>
              <w:end w:w="120" w:type="dxa"/>
            </w:tcMar>
            <w:shd w:fill="0B1727"/>
          </w:tcPr>
          <w:p>
            <w:pPr>
              <w:spacing w:after="40"/>
            </w:pPr>
            <w:r>
              <w:rPr>
                <w:rFonts w:ascii="Arial" w:hAnsi="Arial"/>
                <w:b/>
                <w:color w:val="FFFFFF"/>
                <w:sz w:val="19"/>
              </w:rPr>
              <w:t>Why it matters</w:t>
            </w:r>
          </w:p>
        </w:tc>
      </w:tr>
      <w:tr>
        <w:tc>
          <w:tcPr>
            <w:tcW w:type="dxa" w:w="3240"/>
            <w:vAlign w:val="center"/>
            <w:tcMar>
              <w:top w:w="100" w:type="dxa"/>
              <w:start w:w="120" w:type="dxa"/>
              <w:bottom w:w="100" w:type="dxa"/>
              <w:end w:w="120" w:type="dxa"/>
            </w:tcMar>
          </w:tcPr>
          <w:p>
            <w:pPr>
              <w:spacing w:after="40"/>
            </w:pPr>
            <w:r>
              <w:rPr>
                <w:rFonts w:ascii="Arial" w:hAnsi="Arial"/>
                <w:sz w:val="19"/>
              </w:rPr>
              <w:t>Current and planned production</w:t>
            </w:r>
          </w:p>
        </w:tc>
        <w:tc>
          <w:tcPr>
            <w:tcW w:type="dxa" w:w="6120"/>
            <w:vAlign w:val="center"/>
            <w:tcMar>
              <w:top w:w="100" w:type="dxa"/>
              <w:start w:w="120" w:type="dxa"/>
              <w:bottom w:w="100" w:type="dxa"/>
              <w:end w:w="120" w:type="dxa"/>
            </w:tcMar>
          </w:tcPr>
          <w:p>
            <w:pPr>
              <w:spacing w:after="40"/>
            </w:pPr>
            <w:r>
              <w:rPr>
                <w:rFonts w:ascii="Arial" w:hAnsi="Arial"/>
                <w:sz w:val="19"/>
              </w:rPr>
              <w:t>Defines the present requirement and whether future expansion should be accommodated.</w:t>
            </w:r>
          </w:p>
        </w:tc>
      </w:tr>
      <w:tr>
        <w:tc>
          <w:tcPr>
            <w:tcW w:type="dxa" w:w="3240"/>
            <w:vAlign w:val="center"/>
            <w:tcMar>
              <w:top w:w="100" w:type="dxa"/>
              <w:start w:w="120" w:type="dxa"/>
              <w:bottom w:w="100" w:type="dxa"/>
              <w:end w:w="120" w:type="dxa"/>
            </w:tcMar>
            <w:shd w:fill="F5F7F8"/>
          </w:tcPr>
          <w:p>
            <w:pPr>
              <w:spacing w:after="40"/>
            </w:pPr>
            <w:r>
              <w:rPr>
                <w:rFonts w:ascii="Arial" w:hAnsi="Arial"/>
                <w:sz w:val="19"/>
              </w:rPr>
              <w:t>Peak autoclave discharge pattern</w:t>
            </w:r>
          </w:p>
        </w:tc>
        <w:tc>
          <w:tcPr>
            <w:tcW w:type="dxa" w:w="6120"/>
            <w:vAlign w:val="center"/>
            <w:tcMar>
              <w:top w:w="100" w:type="dxa"/>
              <w:start w:w="120" w:type="dxa"/>
              <w:bottom w:w="100" w:type="dxa"/>
              <w:end w:w="120" w:type="dxa"/>
            </w:tcMar>
            <w:shd w:fill="F5F7F8"/>
          </w:tcPr>
          <w:p>
            <w:pPr>
              <w:spacing w:after="40"/>
            </w:pPr>
            <w:r>
              <w:rPr>
                <w:rFonts w:ascii="Arial" w:hAnsi="Arial"/>
                <w:sz w:val="19"/>
              </w:rPr>
              <w:t>Shows how many cakes or block groups may reach the line within a short operating window.</w:t>
            </w:r>
          </w:p>
        </w:tc>
      </w:tr>
      <w:tr>
        <w:tc>
          <w:tcPr>
            <w:tcW w:type="dxa" w:w="3240"/>
            <w:vAlign w:val="center"/>
            <w:tcMar>
              <w:top w:w="100" w:type="dxa"/>
              <w:start w:w="120" w:type="dxa"/>
              <w:bottom w:w="100" w:type="dxa"/>
              <w:end w:w="120" w:type="dxa"/>
            </w:tcMar>
          </w:tcPr>
          <w:p>
            <w:pPr>
              <w:spacing w:after="40"/>
            </w:pPr>
            <w:r>
              <w:rPr>
                <w:rFonts w:ascii="Arial" w:hAnsi="Arial"/>
                <w:sz w:val="19"/>
              </w:rPr>
              <w:t>Cake dimensions and orientation</w:t>
            </w:r>
          </w:p>
        </w:tc>
        <w:tc>
          <w:tcPr>
            <w:tcW w:type="dxa" w:w="6120"/>
            <w:vAlign w:val="center"/>
            <w:tcMar>
              <w:top w:w="100" w:type="dxa"/>
              <w:start w:w="120" w:type="dxa"/>
              <w:bottom w:w="100" w:type="dxa"/>
              <w:end w:w="120" w:type="dxa"/>
            </w:tcMar>
          </w:tcPr>
          <w:p>
            <w:pPr>
              <w:spacing w:after="40"/>
            </w:pPr>
            <w:r>
              <w:rPr>
                <w:rFonts w:ascii="Arial" w:hAnsi="Arial"/>
                <w:sz w:val="19"/>
              </w:rPr>
              <w:t>Determines transfer, gripper, separation and layout requirements.</w:t>
            </w:r>
          </w:p>
        </w:tc>
      </w:tr>
      <w:tr>
        <w:tc>
          <w:tcPr>
            <w:tcW w:type="dxa" w:w="3240"/>
            <w:vAlign w:val="center"/>
            <w:tcMar>
              <w:top w:w="100" w:type="dxa"/>
              <w:start w:w="120" w:type="dxa"/>
              <w:bottom w:w="100" w:type="dxa"/>
              <w:end w:w="120" w:type="dxa"/>
            </w:tcMar>
            <w:shd w:fill="F5F7F8"/>
          </w:tcPr>
          <w:p>
            <w:pPr>
              <w:spacing w:after="40"/>
            </w:pPr>
            <w:r>
              <w:rPr>
                <w:rFonts w:ascii="Arial" w:hAnsi="Arial"/>
                <w:sz w:val="19"/>
              </w:rPr>
              <w:t>Block-size matrix and product mix</w:t>
            </w:r>
          </w:p>
        </w:tc>
        <w:tc>
          <w:tcPr>
            <w:tcW w:type="dxa" w:w="6120"/>
            <w:vAlign w:val="center"/>
            <w:tcMar>
              <w:top w:w="100" w:type="dxa"/>
              <w:start w:w="120" w:type="dxa"/>
              <w:bottom w:w="100" w:type="dxa"/>
              <w:end w:w="120" w:type="dxa"/>
            </w:tcMar>
            <w:shd w:fill="F5F7F8"/>
          </w:tcPr>
          <w:p>
            <w:pPr>
              <w:spacing w:after="40"/>
            </w:pPr>
            <w:r>
              <w:rPr>
                <w:rFonts w:ascii="Arial" w:hAnsi="Arial"/>
                <w:sz w:val="19"/>
              </w:rPr>
              <w:t>Affects grouping recipes, changeovers, stack patterns and inspection.</w:t>
            </w:r>
          </w:p>
        </w:tc>
      </w:tr>
      <w:tr>
        <w:tc>
          <w:tcPr>
            <w:tcW w:type="dxa" w:w="3240"/>
            <w:vAlign w:val="center"/>
            <w:tcMar>
              <w:top w:w="100" w:type="dxa"/>
              <w:start w:w="120" w:type="dxa"/>
              <w:bottom w:w="100" w:type="dxa"/>
              <w:end w:w="120" w:type="dxa"/>
            </w:tcMar>
          </w:tcPr>
          <w:p>
            <w:pPr>
              <w:spacing w:after="40"/>
            </w:pPr>
            <w:r>
              <w:rPr>
                <w:rFonts w:ascii="Arial" w:hAnsi="Arial"/>
                <w:sz w:val="19"/>
              </w:rPr>
              <w:t>Required pack configuration</w:t>
            </w:r>
          </w:p>
        </w:tc>
        <w:tc>
          <w:tcPr>
            <w:tcW w:type="dxa" w:w="6120"/>
            <w:vAlign w:val="center"/>
            <w:tcMar>
              <w:top w:w="100" w:type="dxa"/>
              <w:start w:w="120" w:type="dxa"/>
              <w:bottom w:w="100" w:type="dxa"/>
              <w:end w:w="120" w:type="dxa"/>
            </w:tcMar>
          </w:tcPr>
          <w:p>
            <w:pPr>
              <w:spacing w:after="40"/>
            </w:pPr>
            <w:r>
              <w:rPr>
                <w:rFonts w:ascii="Arial" w:hAnsi="Arial"/>
                <w:sz w:val="19"/>
              </w:rPr>
              <w:t>Defines layer count, stack dimensions, support method and stability requirements.</w:t>
            </w:r>
          </w:p>
        </w:tc>
      </w:tr>
      <w:tr>
        <w:tc>
          <w:tcPr>
            <w:tcW w:type="dxa" w:w="3240"/>
            <w:vAlign w:val="center"/>
            <w:tcMar>
              <w:top w:w="100" w:type="dxa"/>
              <w:start w:w="120" w:type="dxa"/>
              <w:bottom w:w="100" w:type="dxa"/>
              <w:end w:w="120" w:type="dxa"/>
            </w:tcMar>
            <w:shd w:fill="F5F7F8"/>
          </w:tcPr>
          <w:p>
            <w:pPr>
              <w:spacing w:after="40"/>
            </w:pPr>
            <w:r>
              <w:rPr>
                <w:rFonts w:ascii="Arial" w:hAnsi="Arial"/>
                <w:sz w:val="19"/>
              </w:rPr>
              <w:t>Pallet, support and packaging method</w:t>
            </w:r>
          </w:p>
        </w:tc>
        <w:tc>
          <w:tcPr>
            <w:tcW w:type="dxa" w:w="6120"/>
            <w:vAlign w:val="center"/>
            <w:tcMar>
              <w:top w:w="100" w:type="dxa"/>
              <w:start w:w="120" w:type="dxa"/>
              <w:bottom w:w="100" w:type="dxa"/>
              <w:end w:w="120" w:type="dxa"/>
            </w:tcMar>
            <w:shd w:fill="F5F7F8"/>
          </w:tcPr>
          <w:p>
            <w:pPr>
              <w:spacing w:after="40"/>
            </w:pPr>
            <w:r>
              <w:rPr>
                <w:rFonts w:ascii="Arial" w:hAnsi="Arial"/>
                <w:sz w:val="19"/>
              </w:rPr>
              <w:t>Affects pallet feeding, support insertion, strapping, wrapping and stockyard interfaces.</w:t>
            </w:r>
          </w:p>
        </w:tc>
      </w:tr>
      <w:tr>
        <w:tc>
          <w:tcPr>
            <w:tcW w:type="dxa" w:w="3240"/>
            <w:vAlign w:val="center"/>
            <w:tcMar>
              <w:top w:w="100" w:type="dxa"/>
              <w:start w:w="120" w:type="dxa"/>
              <w:bottom w:w="100" w:type="dxa"/>
              <w:end w:w="120" w:type="dxa"/>
            </w:tcMar>
          </w:tcPr>
          <w:p>
            <w:pPr>
              <w:spacing w:after="40"/>
            </w:pPr>
            <w:r>
              <w:rPr>
                <w:rFonts w:ascii="Arial" w:hAnsi="Arial"/>
                <w:sz w:val="19"/>
              </w:rPr>
              <w:t>Available floor area and clear height</w:t>
            </w:r>
          </w:p>
        </w:tc>
        <w:tc>
          <w:tcPr>
            <w:tcW w:type="dxa" w:w="6120"/>
            <w:vAlign w:val="center"/>
            <w:tcMar>
              <w:top w:w="100" w:type="dxa"/>
              <w:start w:w="120" w:type="dxa"/>
              <w:bottom w:w="100" w:type="dxa"/>
              <w:end w:w="120" w:type="dxa"/>
            </w:tcMar>
          </w:tcPr>
          <w:p>
            <w:pPr>
              <w:spacing w:after="40"/>
            </w:pPr>
            <w:r>
              <w:rPr>
                <w:rFonts w:ascii="Arial" w:hAnsi="Arial"/>
                <w:sz w:val="19"/>
              </w:rPr>
              <w:t>Controls equipment arrangement, access, buffer space and maintenance zones.</w:t>
            </w:r>
          </w:p>
        </w:tc>
      </w:tr>
      <w:tr>
        <w:tc>
          <w:tcPr>
            <w:tcW w:type="dxa" w:w="3240"/>
            <w:vAlign w:val="center"/>
            <w:tcMar>
              <w:top w:w="100" w:type="dxa"/>
              <w:start w:w="120" w:type="dxa"/>
              <w:bottom w:w="100" w:type="dxa"/>
              <w:end w:w="120" w:type="dxa"/>
            </w:tcMar>
            <w:shd w:fill="F5F7F8"/>
          </w:tcPr>
          <w:p>
            <w:pPr>
              <w:spacing w:after="40"/>
            </w:pPr>
            <w:r>
              <w:rPr>
                <w:rFonts w:ascii="Arial" w:hAnsi="Arial"/>
                <w:sz w:val="19"/>
              </w:rPr>
              <w:t>Stockyard and dispatch method</w:t>
            </w:r>
          </w:p>
        </w:tc>
        <w:tc>
          <w:tcPr>
            <w:tcW w:type="dxa" w:w="6120"/>
            <w:vAlign w:val="center"/>
            <w:tcMar>
              <w:top w:w="100" w:type="dxa"/>
              <w:start w:w="120" w:type="dxa"/>
              <w:bottom w:w="100" w:type="dxa"/>
              <w:end w:w="120" w:type="dxa"/>
            </w:tcMar>
            <w:shd w:fill="F5F7F8"/>
          </w:tcPr>
          <w:p>
            <w:pPr>
              <w:spacing w:after="40"/>
            </w:pPr>
            <w:r>
              <w:rPr>
                <w:rFonts w:ascii="Arial" w:hAnsi="Arial"/>
                <w:sz w:val="19"/>
              </w:rPr>
              <w:t>Determines finished-pack release and vehicle or forklift movement.</w:t>
            </w:r>
          </w:p>
        </w:tc>
      </w:tr>
      <w:tr>
        <w:tc>
          <w:tcPr>
            <w:tcW w:type="dxa" w:w="3240"/>
            <w:vAlign w:val="center"/>
            <w:tcMar>
              <w:top w:w="100" w:type="dxa"/>
              <w:start w:w="120" w:type="dxa"/>
              <w:bottom w:w="100" w:type="dxa"/>
              <w:end w:w="120" w:type="dxa"/>
            </w:tcMar>
          </w:tcPr>
          <w:p>
            <w:pPr>
              <w:spacing w:after="40"/>
            </w:pPr>
            <w:r>
              <w:rPr>
                <w:rFonts w:ascii="Arial" w:hAnsi="Arial"/>
                <w:sz w:val="19"/>
              </w:rPr>
              <w:t>Available utilities and control architecture</w:t>
            </w:r>
          </w:p>
        </w:tc>
        <w:tc>
          <w:tcPr>
            <w:tcW w:type="dxa" w:w="6120"/>
            <w:vAlign w:val="center"/>
            <w:tcMar>
              <w:top w:w="100" w:type="dxa"/>
              <w:start w:w="120" w:type="dxa"/>
              <w:bottom w:w="100" w:type="dxa"/>
              <w:end w:w="120" w:type="dxa"/>
            </w:tcMar>
          </w:tcPr>
          <w:p>
            <w:pPr>
              <w:spacing w:after="40"/>
            </w:pPr>
            <w:r>
              <w:rPr>
                <w:rFonts w:ascii="Arial" w:hAnsi="Arial"/>
                <w:sz w:val="19"/>
              </w:rPr>
              <w:t>Defines electrical, pneumatic, hydraulic and PLC/HMI integration requirements.</w:t>
            </w:r>
          </w:p>
        </w:tc>
      </w:tr>
      <w:tr>
        <w:tc>
          <w:tcPr>
            <w:tcW w:type="dxa" w:w="3240"/>
            <w:vAlign w:val="center"/>
            <w:tcMar>
              <w:top w:w="100" w:type="dxa"/>
              <w:start w:w="120" w:type="dxa"/>
              <w:bottom w:w="100" w:type="dxa"/>
              <w:end w:w="120" w:type="dxa"/>
            </w:tcMar>
            <w:shd w:fill="F5F7F8"/>
          </w:tcPr>
          <w:p>
            <w:pPr>
              <w:spacing w:after="40"/>
            </w:pPr>
            <w:r>
              <w:rPr>
                <w:rFonts w:ascii="Arial" w:hAnsi="Arial"/>
                <w:sz w:val="19"/>
              </w:rPr>
              <w:t>Maintenance and operating capability</w:t>
            </w:r>
          </w:p>
        </w:tc>
        <w:tc>
          <w:tcPr>
            <w:tcW w:type="dxa" w:w="6120"/>
            <w:vAlign w:val="center"/>
            <w:tcMar>
              <w:top w:w="100" w:type="dxa"/>
              <w:start w:w="120" w:type="dxa"/>
              <w:bottom w:w="100" w:type="dxa"/>
              <w:end w:w="120" w:type="dxa"/>
            </w:tcMar>
            <w:shd w:fill="F5F7F8"/>
          </w:tcPr>
          <w:p>
            <w:pPr>
              <w:spacing w:after="40"/>
            </w:pPr>
            <w:r>
              <w:rPr>
                <w:rFonts w:ascii="Arial" w:hAnsi="Arial"/>
                <w:sz w:val="19"/>
              </w:rPr>
              <w:t>Influences the suitable automation level, component strategy and recovery philosophy.</w:t>
            </w:r>
          </w:p>
        </w:tc>
      </w:tr>
    </w:tbl>
    <w:p>
      <w:r>
        <w:t>A project proposal should state the agreed design basis, expected operating conditions, exclusions and acceptance criteria. Cycle time, utility consumption, manpower and output should not be quoted as universal values because each is affected by the final configuration and operating method.</w:t>
      </w:r>
    </w:p>
    <w:p>
      <w:pPr>
        <w:pStyle w:val="Heading1"/>
      </w:pPr>
      <w:r>
        <w:t>Palletized and Alternative Pack-Handling Concepts</w:t>
      </w:r>
    </w:p>
    <w:p>
      <w:r>
        <w:t>The word palletizing is often used broadly, but the actual pack-support concept has an important effect on equipment, operating cost and dispatch logistics.</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2304"/>
            <w:vAlign w:val="center"/>
            <w:tcMar>
              <w:top w:w="100" w:type="dxa"/>
              <w:start w:w="120" w:type="dxa"/>
              <w:bottom w:w="100" w:type="dxa"/>
              <w:end w:w="120" w:type="dxa"/>
            </w:tcMar>
            <w:shd w:fill="0B1727"/>
          </w:tcPr>
          <w:p>
            <w:pPr>
              <w:spacing w:after="40"/>
            </w:pPr>
            <w:r>
              <w:rPr>
                <w:rFonts w:ascii="Arial" w:hAnsi="Arial"/>
                <w:b/>
                <w:color w:val="FFFFFF"/>
                <w:sz w:val="19"/>
              </w:rPr>
              <w:t>Concept</w:t>
            </w:r>
          </w:p>
        </w:tc>
        <w:tc>
          <w:tcPr>
            <w:tcW w:type="dxa" w:w="3168"/>
            <w:vAlign w:val="center"/>
            <w:tcMar>
              <w:top w:w="100" w:type="dxa"/>
              <w:start w:w="120" w:type="dxa"/>
              <w:bottom w:w="100" w:type="dxa"/>
              <w:end w:w="120" w:type="dxa"/>
            </w:tcMar>
            <w:shd w:fill="0B1727"/>
          </w:tcPr>
          <w:p>
            <w:pPr>
              <w:spacing w:after="40"/>
            </w:pPr>
            <w:r>
              <w:rPr>
                <w:rFonts w:ascii="Arial" w:hAnsi="Arial"/>
                <w:b/>
                <w:color w:val="FFFFFF"/>
                <w:sz w:val="19"/>
              </w:rPr>
              <w:t>Potential application</w:t>
            </w:r>
          </w:p>
        </w:tc>
        <w:tc>
          <w:tcPr>
            <w:tcW w:type="dxa" w:w="3888"/>
            <w:vAlign w:val="center"/>
            <w:tcMar>
              <w:top w:w="100" w:type="dxa"/>
              <w:start w:w="120" w:type="dxa"/>
              <w:bottom w:w="100" w:type="dxa"/>
              <w:end w:w="120" w:type="dxa"/>
            </w:tcMar>
            <w:shd w:fill="0B1727"/>
          </w:tcPr>
          <w:p>
            <w:pPr>
              <w:spacing w:after="40"/>
            </w:pPr>
            <w:r>
              <w:rPr>
                <w:rFonts w:ascii="Arial" w:hAnsi="Arial"/>
                <w:b/>
                <w:color w:val="FFFFFF"/>
                <w:sz w:val="19"/>
              </w:rPr>
              <w:t>Points to evaluate</w:t>
            </w:r>
          </w:p>
        </w:tc>
      </w:tr>
      <w:tr>
        <w:tc>
          <w:tcPr>
            <w:tcW w:type="dxa" w:w="2304"/>
            <w:vAlign w:val="center"/>
            <w:tcMar>
              <w:top w:w="100" w:type="dxa"/>
              <w:start w:w="120" w:type="dxa"/>
              <w:bottom w:w="100" w:type="dxa"/>
              <w:end w:w="120" w:type="dxa"/>
            </w:tcMar>
          </w:tcPr>
          <w:p>
            <w:pPr>
              <w:spacing w:after="40"/>
            </w:pPr>
            <w:r>
              <w:rPr>
                <w:rFonts w:ascii="Arial" w:hAnsi="Arial"/>
                <w:sz w:val="19"/>
              </w:rPr>
              <w:t>Conventional palletized pack</w:t>
            </w:r>
          </w:p>
        </w:tc>
        <w:tc>
          <w:tcPr>
            <w:tcW w:type="dxa" w:w="3168"/>
            <w:vAlign w:val="center"/>
            <w:tcMar>
              <w:top w:w="100" w:type="dxa"/>
              <w:start w:w="120" w:type="dxa"/>
              <w:bottom w:w="100" w:type="dxa"/>
              <w:end w:w="120" w:type="dxa"/>
            </w:tcMar>
          </w:tcPr>
          <w:p>
            <w:pPr>
              <w:spacing w:after="40"/>
            </w:pPr>
            <w:r>
              <w:rPr>
                <w:rFonts w:ascii="Arial" w:hAnsi="Arial"/>
                <w:sz w:val="19"/>
              </w:rPr>
              <w:t>Finished blocks are formed on a transport pallet for forklift or stockyard movement.</w:t>
            </w:r>
          </w:p>
        </w:tc>
        <w:tc>
          <w:tcPr>
            <w:tcW w:type="dxa" w:w="3888"/>
            <w:vAlign w:val="center"/>
            <w:tcMar>
              <w:top w:w="100" w:type="dxa"/>
              <w:start w:w="120" w:type="dxa"/>
              <w:bottom w:w="100" w:type="dxa"/>
              <w:end w:w="120" w:type="dxa"/>
            </w:tcMar>
          </w:tcPr>
          <w:p>
            <w:pPr>
              <w:spacing w:after="40"/>
            </w:pPr>
            <w:r>
              <w:rPr>
                <w:rFonts w:ascii="Arial" w:hAnsi="Arial"/>
                <w:sz w:val="19"/>
              </w:rPr>
              <w:t>Pallet dimensions, load rating, availability, return cycle, storage and damage replacement.</w:t>
            </w:r>
          </w:p>
        </w:tc>
      </w:tr>
      <w:tr>
        <w:tc>
          <w:tcPr>
            <w:tcW w:type="dxa" w:w="2304"/>
            <w:vAlign w:val="center"/>
            <w:tcMar>
              <w:top w:w="100" w:type="dxa"/>
              <w:start w:w="120" w:type="dxa"/>
              <w:bottom w:w="100" w:type="dxa"/>
              <w:end w:w="120" w:type="dxa"/>
            </w:tcMar>
            <w:shd w:fill="F5F7F8"/>
          </w:tcPr>
          <w:p>
            <w:pPr>
              <w:spacing w:after="40"/>
            </w:pPr>
            <w:r>
              <w:rPr>
                <w:rFonts w:ascii="Arial" w:hAnsi="Arial"/>
                <w:sz w:val="19"/>
              </w:rPr>
              <w:t>Reduced-pallet or alternative support</w:t>
            </w:r>
          </w:p>
        </w:tc>
        <w:tc>
          <w:tcPr>
            <w:tcW w:type="dxa" w:w="3168"/>
            <w:vAlign w:val="center"/>
            <w:tcMar>
              <w:top w:w="100" w:type="dxa"/>
              <w:start w:w="120" w:type="dxa"/>
              <w:bottom w:w="100" w:type="dxa"/>
              <w:end w:w="120" w:type="dxa"/>
            </w:tcMar>
            <w:shd w:fill="F5F7F8"/>
          </w:tcPr>
          <w:p>
            <w:pPr>
              <w:spacing w:after="40"/>
            </w:pPr>
            <w:r>
              <w:rPr>
                <w:rFonts w:ascii="Arial" w:hAnsi="Arial"/>
                <w:sz w:val="19"/>
              </w:rPr>
              <w:t>Pack is formed using the support arrangement defined for the project.</w:t>
            </w:r>
          </w:p>
        </w:tc>
        <w:tc>
          <w:tcPr>
            <w:tcW w:type="dxa" w:w="3888"/>
            <w:vAlign w:val="center"/>
            <w:tcMar>
              <w:top w:w="100" w:type="dxa"/>
              <w:start w:w="120" w:type="dxa"/>
              <w:bottom w:w="100" w:type="dxa"/>
              <w:end w:w="120" w:type="dxa"/>
            </w:tcMar>
            <w:shd w:fill="F5F7F8"/>
          </w:tcPr>
          <w:p>
            <w:pPr>
              <w:spacing w:after="40"/>
            </w:pPr>
            <w:r>
              <w:rPr>
                <w:rFonts w:ascii="Arial" w:hAnsi="Arial"/>
                <w:sz w:val="19"/>
              </w:rPr>
              <w:t>Compatibility with strapping, lifting, vehicle loading, stability and customer handling.</w:t>
            </w:r>
          </w:p>
        </w:tc>
      </w:tr>
      <w:tr>
        <w:tc>
          <w:tcPr>
            <w:tcW w:type="dxa" w:w="2304"/>
            <w:vAlign w:val="center"/>
            <w:tcMar>
              <w:top w:w="100" w:type="dxa"/>
              <w:start w:w="120" w:type="dxa"/>
              <w:bottom w:w="100" w:type="dxa"/>
              <w:end w:w="120" w:type="dxa"/>
            </w:tcMar>
          </w:tcPr>
          <w:p>
            <w:pPr>
              <w:spacing w:after="40"/>
            </w:pPr>
            <w:r>
              <w:rPr>
                <w:rFonts w:ascii="Arial" w:hAnsi="Arial"/>
                <w:sz w:val="19"/>
              </w:rPr>
              <w:t>Palletless handling</w:t>
            </w:r>
          </w:p>
        </w:tc>
        <w:tc>
          <w:tcPr>
            <w:tcW w:type="dxa" w:w="3168"/>
            <w:vAlign w:val="center"/>
            <w:tcMar>
              <w:top w:w="100" w:type="dxa"/>
              <w:start w:w="120" w:type="dxa"/>
              <w:bottom w:w="100" w:type="dxa"/>
              <w:end w:w="120" w:type="dxa"/>
            </w:tcMar>
          </w:tcPr>
          <w:p>
            <w:pPr>
              <w:spacing w:after="40"/>
            </w:pPr>
            <w:r>
              <w:rPr>
                <w:rFonts w:ascii="Arial" w:hAnsi="Arial"/>
                <w:sz w:val="19"/>
              </w:rPr>
              <w:t>Pack is formed and transferred without a conventional transport pallet where the complete logistics concept permits it.</w:t>
            </w:r>
          </w:p>
        </w:tc>
        <w:tc>
          <w:tcPr>
            <w:tcW w:type="dxa" w:w="3888"/>
            <w:vAlign w:val="center"/>
            <w:tcMar>
              <w:top w:w="100" w:type="dxa"/>
              <w:start w:w="120" w:type="dxa"/>
              <w:bottom w:w="100" w:type="dxa"/>
              <w:end w:w="120" w:type="dxa"/>
            </w:tcMar>
          </w:tcPr>
          <w:p>
            <w:pPr>
              <w:spacing w:after="40"/>
            </w:pPr>
            <w:r>
              <w:rPr>
                <w:rFonts w:ascii="Arial" w:hAnsi="Arial"/>
                <w:sz w:val="19"/>
              </w:rPr>
              <w:t>Equipment interfaces, vertical/horizontal strapping, pack integrity, forklift access and dispatch practice.</w:t>
            </w:r>
          </w:p>
        </w:tc>
      </w:tr>
    </w:tbl>
    <w:p>
      <w:r>
        <w:t>A palletless arrangement should not be selected only to remove pallet cost. The complete movement from stack formation to customer unloading must be evaluated before finalising the concept.</w:t>
      </w:r>
    </w:p>
    <w:p>
      <w:pPr>
        <w:pStyle w:val="Heading1"/>
      </w:pPr>
      <w:r>
        <w:t>Controls, Safety and Breakdown Recovery</w:t>
      </w:r>
    </w:p>
    <w:p>
      <w:r>
        <w:t>A post-autoclave line contains moving loads, lifting operations, clamps, conveyors and transfer equipment. Safe access and predictable recovery are therefore part of system engineering—not optional additions after installation.</w:t>
      </w:r>
    </w:p>
    <w:p>
      <w:r>
        <w:t>The final design should define:</w:t>
      </w:r>
    </w:p>
    <w:p>
      <w:pPr>
        <w:pStyle w:val="ListBullet"/>
      </w:pPr>
      <w:r>
        <w:t>PLC and HMI control boundaries, operating modes and recipe management</w:t>
      </w:r>
    </w:p>
    <w:p>
      <w:pPr>
        <w:pStyle w:val="ListBullet"/>
      </w:pPr>
      <w:r>
        <w:t>sensors and permissives used to confirm product and equipment position</w:t>
      </w:r>
    </w:p>
    <w:p>
      <w:pPr>
        <w:pStyle w:val="ListBullet"/>
      </w:pPr>
      <w:r>
        <w:t>interlocks between separation, transfer, stacking and pack release</w:t>
      </w:r>
    </w:p>
    <w:p>
      <w:pPr>
        <w:pStyle w:val="ListBullet"/>
      </w:pPr>
      <w:r>
        <w:t>emergency-stop zones and a documented restart sequence</w:t>
      </w:r>
    </w:p>
    <w:p>
      <w:pPr>
        <w:pStyle w:val="ListBullet"/>
      </w:pPr>
      <w:r>
        <w:t>physical guarding, access gates and safe maintenance access</w:t>
      </w:r>
    </w:p>
    <w:p>
      <w:pPr>
        <w:pStyle w:val="ListBullet"/>
      </w:pPr>
      <w:r>
        <w:t>manual, maintenance and automatic operating modes</w:t>
      </w:r>
    </w:p>
    <w:p>
      <w:pPr>
        <w:pStyle w:val="ListBullet"/>
      </w:pPr>
      <w:r>
        <w:t>controlled removal of damaged or misaligned blocks</w:t>
      </w:r>
    </w:p>
    <w:p>
      <w:pPr>
        <w:pStyle w:val="ListBullet"/>
      </w:pPr>
      <w:r>
        <w:t>recovery after power failure, equipment trip or partially completed cycle</w:t>
      </w:r>
    </w:p>
    <w:p>
      <w:pPr>
        <w:pStyle w:val="ListBullet"/>
      </w:pPr>
      <w:r>
        <w:t>safe manual handling or bypass provisions where required by the operating plan</w:t>
      </w:r>
    </w:p>
    <w:p>
      <w:r>
        <w:t>Applicable machinery, electrical and occupational-safety requirements must be confirmed during detailed engineering for the installation location and final equipment scope.</w:t>
      </w:r>
    </w:p>
    <w:p>
      <w:pPr>
        <w:pStyle w:val="Heading1"/>
      </w:pPr>
      <w:r>
        <w:t>Quality and Block-Damage Considerations</w:t>
      </w:r>
    </w:p>
    <w:p>
      <w:r>
        <w:t>Automation does not automatically guarantee lower block damage. Finished-block condition depends on product strength, separation quality, alignment, clamp or gripper contact, acceleration, transfer distance, stack pattern and operator response to abnormal conditions.</w:t>
      </w:r>
    </w:p>
    <w:p>
      <w:r>
        <w:t>A technically responsible design should therefore review:</w:t>
      </w:r>
    </w:p>
    <w:p>
      <w:pPr>
        <w:pStyle w:val="ListBullet"/>
      </w:pPr>
      <w:r>
        <w:t>the condition of blocks entering the line</w:t>
      </w:r>
    </w:p>
    <w:p>
      <w:pPr>
        <w:pStyle w:val="ListBullet"/>
      </w:pPr>
      <w:r>
        <w:t>contact surfaces and gripping-force control</w:t>
      </w:r>
    </w:p>
    <w:p>
      <w:pPr>
        <w:pStyle w:val="ListBullet"/>
      </w:pPr>
      <w:r>
        <w:t>transfer acceleration and deceleration</w:t>
      </w:r>
    </w:p>
    <w:p>
      <w:pPr>
        <w:pStyle w:val="ListBullet"/>
      </w:pPr>
      <w:r>
        <w:t>alignment before lifting or pushing</w:t>
      </w:r>
    </w:p>
    <w:p>
      <w:pPr>
        <w:pStyle w:val="ListBullet"/>
      </w:pPr>
      <w:r>
        <w:t>support under each layer or stack</w:t>
      </w:r>
    </w:p>
    <w:p>
      <w:pPr>
        <w:pStyle w:val="ListBullet"/>
      </w:pPr>
      <w:r>
        <w:t>handling of chipped, cracked or misaligned products</w:t>
      </w:r>
    </w:p>
    <w:p>
      <w:pPr>
        <w:pStyle w:val="ListBullet"/>
      </w:pPr>
      <w:r>
        <w:t>pack stability during stockyard and vehicle movement</w:t>
      </w:r>
    </w:p>
    <w:p>
      <w:pPr>
        <w:pStyle w:val="Heading1"/>
      </w:pPr>
      <w:r>
        <w:t>Utilities, Maintenance and Operating Skills</w:t>
      </w:r>
    </w:p>
    <w:p>
      <w:r>
        <w:t>Utility and maintenance requirements depend on whether the final system uses electric drives, hydraulic power packs, pneumatic actuators, lifting equipment, conveyors, automatic pallet feeding or packaging machinery. Project-specific values should be issued only after the configuration is frozen.</w:t>
      </w:r>
    </w:p>
    <w:p>
      <w:r>
        <w:t>Before purchase, the operating team should confirm:</w:t>
      </w:r>
    </w:p>
    <w:p>
      <w:pPr>
        <w:pStyle w:val="ListBullet"/>
      </w:pPr>
      <w:r>
        <w:t>connected and operating electrical load</w:t>
      </w:r>
    </w:p>
    <w:p>
      <w:pPr>
        <w:pStyle w:val="ListBullet"/>
      </w:pPr>
      <w:r>
        <w:t>compressed-air pressure and quality, where required</w:t>
      </w:r>
    </w:p>
    <w:p>
      <w:pPr>
        <w:pStyle w:val="ListBullet"/>
      </w:pPr>
      <w:r>
        <w:t>hydraulic power-unit scope and fluid-maintenance requirements, where used</w:t>
      </w:r>
    </w:p>
    <w:p>
      <w:pPr>
        <w:pStyle w:val="ListBullet"/>
      </w:pPr>
      <w:r>
        <w:t>lubrication and inspection schedule</w:t>
      </w:r>
    </w:p>
    <w:p>
      <w:pPr>
        <w:pStyle w:val="ListBullet"/>
      </w:pPr>
      <w:r>
        <w:t>wear parts, sensors and critical spare components</w:t>
      </w:r>
    </w:p>
    <w:p>
      <w:pPr>
        <w:pStyle w:val="ListBullet"/>
      </w:pPr>
      <w:r>
        <w:t>instrumentation and automation skills required on each shift</w:t>
      </w:r>
    </w:p>
    <w:p>
      <w:pPr>
        <w:pStyle w:val="ListBullet"/>
      </w:pPr>
      <w:r>
        <w:t>remote-support and fault-diagnostic arrangements</w:t>
      </w:r>
    </w:p>
    <w:p>
      <w:pPr>
        <w:pStyle w:val="ListBullet"/>
      </w:pPr>
      <w:r>
        <w:t>planned access for cleaning and preventive maintenance</w:t>
      </w:r>
    </w:p>
    <w:p>
      <w:pPr>
        <w:pStyle w:val="Heading1"/>
      </w:pPr>
      <w:r>
        <w:t>New Plant Integration vs Existing-Plant Retrofit</w:t>
      </w:r>
    </w:p>
    <w:p>
      <w:r>
        <w:t>In a new AAC plant, post-autoclave handling can be developed together with the autoclave unloading system, production building and stockyard. A retrofit requires more detailed survey work because the new equipment must interface with an operating plant and available space.</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4680"/>
            <w:vAlign w:val="center"/>
            <w:tcMar>
              <w:top w:w="100" w:type="dxa"/>
              <w:start w:w="120" w:type="dxa"/>
              <w:bottom w:w="100" w:type="dxa"/>
              <w:end w:w="120" w:type="dxa"/>
            </w:tcMar>
            <w:shd w:fill="0B1727"/>
          </w:tcPr>
          <w:p>
            <w:pPr>
              <w:spacing w:after="40"/>
            </w:pPr>
            <w:r>
              <w:rPr>
                <w:rFonts w:ascii="Arial" w:hAnsi="Arial"/>
                <w:b/>
                <w:color w:val="FFFFFF"/>
                <w:sz w:val="19"/>
              </w:rPr>
              <w:t>New plant</w:t>
            </w:r>
          </w:p>
        </w:tc>
        <w:tc>
          <w:tcPr>
            <w:tcW w:type="dxa" w:w="4680"/>
            <w:vAlign w:val="center"/>
            <w:tcMar>
              <w:top w:w="100" w:type="dxa"/>
              <w:start w:w="120" w:type="dxa"/>
              <w:bottom w:w="100" w:type="dxa"/>
              <w:end w:w="120" w:type="dxa"/>
            </w:tcMar>
            <w:shd w:fill="0B1727"/>
          </w:tcPr>
          <w:p>
            <w:pPr>
              <w:spacing w:after="40"/>
            </w:pPr>
            <w:r>
              <w:rPr>
                <w:rFonts w:ascii="Arial" w:hAnsi="Arial"/>
                <w:b/>
                <w:color w:val="FFFFFF"/>
                <w:sz w:val="19"/>
              </w:rPr>
              <w:t>Existing-plant retrofit</w:t>
            </w:r>
          </w:p>
        </w:tc>
      </w:tr>
      <w:tr>
        <w:tc>
          <w:tcPr>
            <w:tcW w:type="dxa" w:w="4680"/>
            <w:vAlign w:val="center"/>
            <w:tcMar>
              <w:top w:w="100" w:type="dxa"/>
              <w:start w:w="120" w:type="dxa"/>
              <w:bottom w:w="100" w:type="dxa"/>
              <w:end w:w="120" w:type="dxa"/>
            </w:tcMar>
          </w:tcPr>
          <w:p>
            <w:pPr>
              <w:spacing w:after="40"/>
            </w:pPr>
            <w:r>
              <w:rPr>
                <w:rFonts w:ascii="Arial" w:hAnsi="Arial"/>
                <w:sz w:val="19"/>
              </w:rPr>
              <w:t>Layout and floor levels can be coordinated from the beginning.</w:t>
            </w:r>
          </w:p>
        </w:tc>
        <w:tc>
          <w:tcPr>
            <w:tcW w:type="dxa" w:w="4680"/>
            <w:vAlign w:val="center"/>
            <w:tcMar>
              <w:top w:w="100" w:type="dxa"/>
              <w:start w:w="120" w:type="dxa"/>
              <w:bottom w:w="100" w:type="dxa"/>
              <w:end w:w="120" w:type="dxa"/>
            </w:tcMar>
          </w:tcPr>
          <w:p>
            <w:pPr>
              <w:spacing w:after="40"/>
            </w:pPr>
            <w:r>
              <w:rPr>
                <w:rFonts w:ascii="Arial" w:hAnsi="Arial"/>
                <w:sz w:val="19"/>
              </w:rPr>
              <w:t>Existing foundations, rails, columns, floor levels and movement routes must be surveyed.</w:t>
            </w:r>
          </w:p>
        </w:tc>
      </w:tr>
      <w:tr>
        <w:tc>
          <w:tcPr>
            <w:tcW w:type="dxa" w:w="4680"/>
            <w:vAlign w:val="center"/>
            <w:tcMar>
              <w:top w:w="100" w:type="dxa"/>
              <w:start w:w="120" w:type="dxa"/>
              <w:bottom w:w="100" w:type="dxa"/>
              <w:end w:w="120" w:type="dxa"/>
            </w:tcMar>
            <w:shd w:fill="F5F7F8"/>
          </w:tcPr>
          <w:p>
            <w:pPr>
              <w:spacing w:after="40"/>
            </w:pPr>
            <w:r>
              <w:rPr>
                <w:rFonts w:ascii="Arial" w:hAnsi="Arial"/>
                <w:sz w:val="19"/>
              </w:rPr>
              <w:t>Buffers and maintenance access can be planned with the complete production flow.</w:t>
            </w:r>
          </w:p>
        </w:tc>
        <w:tc>
          <w:tcPr>
            <w:tcW w:type="dxa" w:w="4680"/>
            <w:vAlign w:val="center"/>
            <w:tcMar>
              <w:top w:w="100" w:type="dxa"/>
              <w:start w:w="120" w:type="dxa"/>
              <w:bottom w:w="100" w:type="dxa"/>
              <w:end w:w="120" w:type="dxa"/>
            </w:tcMar>
            <w:shd w:fill="F5F7F8"/>
          </w:tcPr>
          <w:p>
            <w:pPr>
              <w:spacing w:after="40"/>
            </w:pPr>
            <w:r>
              <w:rPr>
                <w:rFonts w:ascii="Arial" w:hAnsi="Arial"/>
                <w:sz w:val="19"/>
              </w:rPr>
              <w:t>Available space may limit the preferred sequence or require selective automation.</w:t>
            </w:r>
          </w:p>
        </w:tc>
      </w:tr>
      <w:tr>
        <w:tc>
          <w:tcPr>
            <w:tcW w:type="dxa" w:w="4680"/>
            <w:vAlign w:val="center"/>
            <w:tcMar>
              <w:top w:w="100" w:type="dxa"/>
              <w:start w:w="120" w:type="dxa"/>
              <w:bottom w:w="100" w:type="dxa"/>
              <w:end w:w="120" w:type="dxa"/>
            </w:tcMar>
          </w:tcPr>
          <w:p>
            <w:pPr>
              <w:spacing w:after="40"/>
            </w:pPr>
            <w:r>
              <w:rPr>
                <w:rFonts w:ascii="Arial" w:hAnsi="Arial"/>
                <w:sz w:val="19"/>
              </w:rPr>
              <w:t>Controls and utilities can be designed as one system.</w:t>
            </w:r>
          </w:p>
        </w:tc>
        <w:tc>
          <w:tcPr>
            <w:tcW w:type="dxa" w:w="4680"/>
            <w:vAlign w:val="center"/>
            <w:tcMar>
              <w:top w:w="100" w:type="dxa"/>
              <w:start w:w="120" w:type="dxa"/>
              <w:bottom w:w="100" w:type="dxa"/>
              <w:end w:w="120" w:type="dxa"/>
            </w:tcMar>
          </w:tcPr>
          <w:p>
            <w:pPr>
              <w:spacing w:after="40"/>
            </w:pPr>
            <w:r>
              <w:rPr>
                <w:rFonts w:ascii="Arial" w:hAnsi="Arial"/>
                <w:sz w:val="19"/>
              </w:rPr>
              <w:t>Existing PLC, electrical panels, utilities and safety circuits must be assessed for integration.</w:t>
            </w:r>
          </w:p>
        </w:tc>
      </w:tr>
      <w:tr>
        <w:tc>
          <w:tcPr>
            <w:tcW w:type="dxa" w:w="4680"/>
            <w:vAlign w:val="center"/>
            <w:tcMar>
              <w:top w:w="100" w:type="dxa"/>
              <w:start w:w="120" w:type="dxa"/>
              <w:bottom w:w="100" w:type="dxa"/>
              <w:end w:w="120" w:type="dxa"/>
            </w:tcMar>
            <w:shd w:fill="F5F7F8"/>
          </w:tcPr>
          <w:p>
            <w:pPr>
              <w:spacing w:after="40"/>
            </w:pPr>
            <w:r>
              <w:rPr>
                <w:rFonts w:ascii="Arial" w:hAnsi="Arial"/>
                <w:sz w:val="19"/>
              </w:rPr>
              <w:t>Future expansion provisions can be included during engineering.</w:t>
            </w:r>
          </w:p>
        </w:tc>
        <w:tc>
          <w:tcPr>
            <w:tcW w:type="dxa" w:w="4680"/>
            <w:vAlign w:val="center"/>
            <w:tcMar>
              <w:top w:w="100" w:type="dxa"/>
              <w:start w:w="120" w:type="dxa"/>
              <w:bottom w:w="100" w:type="dxa"/>
              <w:end w:w="120" w:type="dxa"/>
            </w:tcMar>
            <w:shd w:fill="F5F7F8"/>
          </w:tcPr>
          <w:p>
            <w:pPr>
              <w:spacing w:after="40"/>
            </w:pPr>
            <w:r>
              <w:rPr>
                <w:rFonts w:ascii="Arial" w:hAnsi="Arial"/>
                <w:sz w:val="19"/>
              </w:rPr>
              <w:t>Installation sequence and production shutdown must be agreed before execution.</w:t>
            </w:r>
          </w:p>
        </w:tc>
      </w:tr>
    </w:tbl>
    <w:p>
      <w:pPr>
        <w:pStyle w:val="Heading1"/>
      </w:pPr>
      <w:r>
        <w:t>What Influences Project Cost?</w:t>
      </w:r>
    </w:p>
    <w:p>
      <w:r>
        <w:t>An AAC auto palletizing system cannot be priced responsibly from plant capacity alone. The main cost-influencing factors include:</w:t>
      </w:r>
    </w:p>
    <w:p>
      <w:pPr>
        <w:pStyle w:val="ListBullet"/>
      </w:pPr>
      <w:r>
        <w:t>new plant or retrofit scope</w:t>
      </w:r>
    </w:p>
    <w:p>
      <w:pPr>
        <w:pStyle w:val="ListBullet"/>
      </w:pPr>
      <w:r>
        <w:t>peak handling requirement and required redundancy</w:t>
      </w:r>
    </w:p>
    <w:p>
      <w:pPr>
        <w:pStyle w:val="ListBullet"/>
      </w:pPr>
      <w:r>
        <w:t>cake and block dimensions</w:t>
      </w:r>
    </w:p>
    <w:p>
      <w:pPr>
        <w:pStyle w:val="ListBullet"/>
      </w:pPr>
      <w:r>
        <w:t>number of product and stack recipes</w:t>
      </w:r>
    </w:p>
    <w:p>
      <w:pPr>
        <w:pStyle w:val="ListBullet"/>
      </w:pPr>
      <w:r>
        <w:t>separation and inspection scope</w:t>
      </w:r>
    </w:p>
    <w:p>
      <w:pPr>
        <w:pStyle w:val="ListBullet"/>
      </w:pPr>
      <w:r>
        <w:t>pallet feeding or alternative support insertion</w:t>
      </w:r>
    </w:p>
    <w:p>
      <w:pPr>
        <w:pStyle w:val="ListBullet"/>
      </w:pPr>
      <w:r>
        <w:t>strapping, wrapping, labelling and other packaging equipment</w:t>
      </w:r>
    </w:p>
    <w:p>
      <w:pPr>
        <w:pStyle w:val="ListBullet"/>
      </w:pPr>
      <w:r>
        <w:t>buffer conveyors and stockyard transfer interfaces</w:t>
      </w:r>
    </w:p>
    <w:p>
      <w:pPr>
        <w:pStyle w:val="ListBullet"/>
      </w:pPr>
      <w:r>
        <w:t>civil, structural and access requirements</w:t>
      </w:r>
    </w:p>
    <w:p>
      <w:pPr>
        <w:pStyle w:val="ListBullet"/>
      </w:pPr>
      <w:r>
        <w:t>PLC/HMI, instrumentation and plant-control integration</w:t>
      </w:r>
    </w:p>
    <w:p>
      <w:pPr>
        <w:pStyle w:val="ListBullet"/>
      </w:pPr>
      <w:r>
        <w:t>installation, shutdown, commissioning, training and spare-parts scope</w:t>
      </w:r>
    </w:p>
    <w:p>
      <w:r>
        <w:t>A commercially comparable proposal should therefore separate base equipment, optional equipment, customer-scope items, utilities, civil work and performance assumptions.</w:t>
      </w:r>
    </w:p>
    <w:p>
      <w:pPr>
        <w:pStyle w:val="Heading1"/>
      </w:pPr>
      <w:r>
        <w:t>What Buyers Should Verify Before Selecting a System</w:t>
      </w:r>
    </w:p>
    <w:p>
      <w:pPr>
        <w:pStyle w:val="ListNumber"/>
      </w:pPr>
      <w:r>
        <w:rPr>
          <w:b/>
        </w:rPr>
        <w:t xml:space="preserve">Exact scope boundary: </w:t>
      </w:r>
      <w:r>
        <w:t>Confirm where the supplier’s responsibility starts and ends—from autoclave unloading through stockyard release.</w:t>
      </w:r>
    </w:p>
    <w:p>
      <w:pPr>
        <w:pStyle w:val="ListNumber"/>
      </w:pPr>
      <w:r>
        <w:rPr>
          <w:b/>
        </w:rPr>
        <w:t xml:space="preserve">Design basis: </w:t>
      </w:r>
      <w:r>
        <w:t>Record peak cakes per handling window, cake dimensions, block mix, pack patterns and expansion requirement.</w:t>
      </w:r>
    </w:p>
    <w:p>
      <w:pPr>
        <w:pStyle w:val="ListNumber"/>
      </w:pPr>
      <w:r>
        <w:rPr>
          <w:b/>
        </w:rPr>
        <w:t xml:space="preserve">Remaining manual tasks: </w:t>
      </w:r>
      <w:r>
        <w:t>List every manual intervention during normal operation, replenishment, rejection handling, cleaning and breakdown recovery.</w:t>
      </w:r>
    </w:p>
    <w:p>
      <w:pPr>
        <w:pStyle w:val="ListNumber"/>
      </w:pPr>
      <w:r>
        <w:rPr>
          <w:b/>
        </w:rPr>
        <w:t xml:space="preserve">Acceptance criteria: </w:t>
      </w:r>
      <w:r>
        <w:t>Agree the method for demonstrating cycle, pack formation, product changeover, alarms and safety functions.</w:t>
      </w:r>
    </w:p>
    <w:p>
      <w:pPr>
        <w:pStyle w:val="ListNumber"/>
      </w:pPr>
      <w:r>
        <w:rPr>
          <w:b/>
        </w:rPr>
        <w:t xml:space="preserve">Running-plant evidence: </w:t>
      </w:r>
      <w:r>
        <w:t>Observe an operating line with a comparable product mix and ask how faults, rejected blocks and maintenance are handled.</w:t>
      </w:r>
    </w:p>
    <w:p>
      <w:pPr>
        <w:pStyle w:val="ListNumber"/>
      </w:pPr>
      <w:r>
        <w:rPr>
          <w:b/>
        </w:rPr>
        <w:t xml:space="preserve">Spares and service: </w:t>
      </w:r>
      <w:r>
        <w:t>Confirm critical components, recommended stock, response process, training and documentation.</w:t>
      </w:r>
    </w:p>
    <w:p>
      <w:pPr>
        <w:pStyle w:val="Heading1"/>
      </w:pPr>
      <w:r>
        <w:t>Laxmi En-Fab’s Engineering Approach</w:t>
      </w:r>
    </w:p>
    <w:p>
      <w:r>
        <w:t>Laxmi En-Fab evaluates post-autoclave automation as part of the complete AAC plant material flow. The objective is to define an appropriate handling sequence for the project rather than applying one standard configuration to every plant.</w:t>
      </w:r>
    </w:p>
    <w:p>
      <w:r>
        <w:t>For a new plant, expansion or automation upgrade, the assessment begins with production flow, product dimensions, pack requirement, available layout, stockyard method and the level of automation that the operating team can maintain. Final machinery scope, technical values and performance criteria are then established through project-specific engineering and commercial documentation.</w:t>
      </w:r>
    </w:p>
    <w:tbl>
      <w:tblPr>
        <w:tblW w:type="dxa" w:w="9360"/>
        <w:jc w:val="center"/>
        <w:tblLayout w:type="fixed"/>
        <w:tblLook w:firstColumn="1" w:firstRow="1" w:lastColumn="0" w:lastRow="0" w:noHBand="0" w:noVBand="1" w:val="04A0"/>
        <w:tblInd w:w="120" w:type="dxa"/>
      </w:tblPr>
      <w:tblGrid>
        <w:gridCol w:w="9360"/>
      </w:tblGrid>
      <w:tr>
        <w:tc>
          <w:tcPr>
            <w:tcW w:type="dxa" w:w="9360"/>
            <w:shd w:fill="EEF2F5"/>
            <w:tcMar>
              <w:top w:w="160" w:type="dxa"/>
              <w:start w:w="180" w:type="dxa"/>
              <w:bottom w:w="160" w:type="dxa"/>
              <w:end w:w="180" w:type="dxa"/>
            </w:tcMar>
          </w:tcPr>
          <w:p>
            <w:pPr>
              <w:spacing w:after="0"/>
            </w:pPr>
            <w:r>
              <w:rPr>
                <w:rFonts w:ascii="Arial" w:hAnsi="Arial"/>
                <w:b/>
                <w:color w:val="0C4F80"/>
              </w:rPr>
              <w:t xml:space="preserve">Important: </w:t>
            </w:r>
            <w:r>
              <w:rPr>
                <w:rFonts w:ascii="Arial" w:hAnsi="Arial"/>
              </w:rPr>
              <w:t>Any capacity, manpower, utility, block-damage or performance commitment should be based on the approved project design, defined operating conditions and agreed acceptance method—not a universal website claim.</w:t>
            </w:r>
          </w:p>
        </w:tc>
      </w:tr>
    </w:tbl>
    <w:p>
      <w:pPr>
        <w:pStyle w:val="Heading1"/>
      </w:pPr>
      <w:r>
        <w:t>Frequently Asked Questions</w:t>
      </w:r>
    </w:p>
    <w:p>
      <w:pPr>
        <w:pStyle w:val="Heading2"/>
      </w:pPr>
      <w:r>
        <w:t>What is an AAC auto palletizing system?</w:t>
      </w:r>
    </w:p>
    <w:p>
      <w:r>
        <w:t>It is a post-autoclave material-handling line that coordinates the required transfer, separation, inspection, grouping, stacking and pack-preparation stages. The exact included operations depend on the agreed project scope.</w:t>
      </w:r>
    </w:p>
    <w:p>
      <w:pPr>
        <w:pStyle w:val="Heading2"/>
      </w:pPr>
      <w:r>
        <w:t>Does every AAC plant need automatic palletizing?</w:t>
      </w:r>
    </w:p>
    <w:p>
      <w:r>
        <w:t>No. The decision depends on peak finished-product flow, product mix, labour arrangement, pack format, available space, maintenance capability and project economics. Manual or selective automation may be more appropriate for some plants.</w:t>
      </w:r>
    </w:p>
    <w:p>
      <w:pPr>
        <w:pStyle w:val="Heading2"/>
      </w:pPr>
      <w:r>
        <w:t>Is plant capacity enough to select the system?</w:t>
      </w:r>
    </w:p>
    <w:p>
      <w:r>
        <w:t>No. Nominal daily capacity does not show how quickly products arrive after autoclaving. Peak discharge, cakes per handling window, cake dimensions and the required pack cycle must also be evaluated.</w:t>
      </w:r>
    </w:p>
    <w:p>
      <w:pPr>
        <w:pStyle w:val="Heading2"/>
      </w:pPr>
      <w:r>
        <w:t>Does the palletizing system include block separation?</w:t>
      </w:r>
    </w:p>
    <w:p>
      <w:r>
        <w:t>Not necessarily. Separation may be a separate machine, an upstream operation or part of an integrated line. The proposal should state the scope boundary clearly.</w:t>
      </w:r>
    </w:p>
    <w:p>
      <w:pPr>
        <w:pStyle w:val="Heading2"/>
      </w:pPr>
      <w:r>
        <w:t>Can one system handle different AAC block sizes?</w:t>
      </w:r>
    </w:p>
    <w:p>
      <w:r>
        <w:t>A project may be designed with multiple recipes, but the supported dimensions, stack patterns, changeover method and any mechanical adjustments must be confirmed during engineering.</w:t>
      </w:r>
    </w:p>
    <w:p>
      <w:pPr>
        <w:pStyle w:val="Heading2"/>
      </w:pPr>
      <w:r>
        <w:t>Can the system be installed in an existing AAC plant?</w:t>
      </w:r>
    </w:p>
    <w:p>
      <w:r>
        <w:t>A retrofit may be possible after surveying the existing unloading method, available space, foundations, rails, floor levels, utilities, controls, stockyard movement and allowable shutdown period.</w:t>
      </w:r>
    </w:p>
    <w:p>
      <w:pPr>
        <w:pStyle w:val="Heading2"/>
      </w:pPr>
      <w:r>
        <w:t>Does automatic palletizing eliminate all manual work?</w:t>
      </w:r>
    </w:p>
    <w:p>
      <w:r>
        <w:t>No. Depending on the configuration, operators may still be required for inspection, rejected-block removal, packaging-material replenishment, forklift movement, cleaning, supervision and maintenance.</w:t>
      </w:r>
    </w:p>
    <w:p>
      <w:pPr>
        <w:pStyle w:val="Heading2"/>
      </w:pPr>
      <w:r>
        <w:t>Does automation always reduce block damage?</w:t>
      </w:r>
    </w:p>
    <w:p>
      <w:r>
        <w:t>No universal reduction should be assumed. Damage depends on incoming block condition, separation quality, alignment, gripping, movement, support and operating practice. These factors must be addressed in the design and acceptance plan.</w:t>
      </w:r>
    </w:p>
    <w:p>
      <w:pPr>
        <w:pStyle w:val="Heading2"/>
      </w:pPr>
      <w:r>
        <w:t>Can AAC blocks be handled without conventional pallets?</w:t>
      </w:r>
    </w:p>
    <w:p>
      <w:r>
        <w:t>Alternative-support or palletless concepts may be considered where the complete pack, strapping, lifting, transport and customer-unloading process permits them. The full logistics chain must be evaluated.</w:t>
      </w:r>
    </w:p>
    <w:p>
      <w:pPr>
        <w:pStyle w:val="Heading2"/>
      </w:pPr>
      <w:r>
        <w:t>What information is required for a technical proposal?</w:t>
      </w:r>
    </w:p>
    <w:p>
      <w:r>
        <w:t>Provide current and planned capacity, peak autoclave discharge, cake and block dimensions, product mix, required pack pattern, support or pallet details, plant layout, stockyard method, utilities and desired automation level.</w:t>
      </w:r>
    </w:p>
    <w:p>
      <w:pPr>
        <w:pStyle w:val="Heading1"/>
      </w:pPr>
      <w:r>
        <w:t>Plan the Right Post-Autoclave Automation</w:t>
      </w:r>
    </w:p>
    <w:p>
      <w:r>
        <w:t>Whether you are planning a new AAC plant, expanding production or upgrading an operating unit, the first step is to establish the actual finished-product flow and define where automation will provide operational value.</w:t>
      </w:r>
    </w:p>
    <w:tbl>
      <w:tblPr>
        <w:tblW w:type="dxa" w:w="9360"/>
        <w:jc w:val="center"/>
        <w:tblLayout w:type="fixed"/>
        <w:tblLook w:firstColumn="1" w:firstRow="1" w:lastColumn="0" w:lastRow="0" w:noHBand="0" w:noVBand="1" w:val="04A0"/>
        <w:tblInd w:w="120" w:type="dxa"/>
      </w:tblPr>
      <w:tblGrid>
        <w:gridCol w:w="9360"/>
      </w:tblGrid>
      <w:tr>
        <w:tc>
          <w:tcPr>
            <w:tcW w:type="dxa" w:w="9360"/>
            <w:shd w:fill="EEF2F5"/>
            <w:tcMar>
              <w:top w:w="160" w:type="dxa"/>
              <w:start w:w="180" w:type="dxa"/>
              <w:bottom w:w="160" w:type="dxa"/>
              <w:end w:w="180" w:type="dxa"/>
            </w:tcMar>
          </w:tcPr>
          <w:p>
            <w:pPr>
              <w:spacing w:after="0"/>
            </w:pPr>
            <w:r>
              <w:rPr>
                <w:rFonts w:ascii="Arial" w:hAnsi="Arial"/>
                <w:b/>
                <w:color w:val="0C4F80"/>
              </w:rPr>
              <w:t xml:space="preserve">Primary CTA — Request a Post-Autoclave Automation Assessment </w:t>
            </w:r>
            <w:r>
              <w:rPr>
                <w:rFonts w:ascii="Arial" w:hAnsi="Arial"/>
              </w:rPr>
              <w:t>Share your plant capacity, peak autoclave discharge, cake size, block-size mix, existing layout and preferred pack method. Laxmi En-Fab can use these inputs to define the appropriate engineering discussion and proposal scope.</w:t>
            </w:r>
          </w:p>
        </w:tc>
      </w:tr>
    </w:tbl>
    <w:p>
      <w:r>
        <w:rPr>
          <w:b/>
          <w:color w:val="0C4F80"/>
        </w:rPr>
        <w:t xml:space="preserve">Secondary CTA: </w:t>
      </w:r>
      <w:r>
        <w:t>Download the AAC Palletizing Design-Input Checklist.</w:t>
      </w:r>
    </w:p>
    <w:p>
      <w:pPr>
        <w:pStyle w:val="Heading1"/>
      </w:pPr>
      <w:r>
        <w:t>Recommended Internal Links</w:t>
      </w:r>
    </w:p>
    <w:p>
      <w:pPr>
        <w:pStyle w:val="ListBullet"/>
      </w:pPr>
      <w:r>
        <w:t>AAC Production Process</w:t>
      </w:r>
    </w:p>
    <w:p>
      <w:pPr>
        <w:pStyle w:val="ListBullet"/>
      </w:pPr>
      <w:r>
        <w:t>AAC Plant Automation</w:t>
      </w:r>
    </w:p>
    <w:p>
      <w:pPr>
        <w:pStyle w:val="ListBullet"/>
      </w:pPr>
      <w:r>
        <w:t>AAC White-Cake Separator</w:t>
      </w:r>
    </w:p>
    <w:p>
      <w:pPr>
        <w:pStyle w:val="ListBullet"/>
      </w:pPr>
      <w:r>
        <w:t>AAC Autoclave Handling System</w:t>
      </w:r>
    </w:p>
    <w:p>
      <w:pPr>
        <w:pStyle w:val="ListBullet"/>
      </w:pPr>
      <w:r>
        <w:t>AAC Plant Capacity Selection</w:t>
      </w:r>
    </w:p>
    <w:p>
      <w:pPr>
        <w:pStyle w:val="ListBullet"/>
      </w:pPr>
      <w:r>
        <w:t>AAC Plant Layout</w:t>
      </w:r>
    </w:p>
    <w:p>
      <w:pPr>
        <w:pStyle w:val="ListBullet"/>
      </w:pPr>
      <w:r>
        <w:t>AAC Plant Expansion and Retrofit</w:t>
      </w:r>
    </w:p>
    <w:p>
      <w:pPr>
        <w:pStyle w:val="ListBullet"/>
      </w:pPr>
      <w:r>
        <w:t>Verify Laxmi: Workshop, Running Plants and Case Studies</w:t>
      </w:r>
    </w:p>
    <w:p>
      <w:pPr>
        <w:pStyle w:val="Heading1"/>
      </w:pPr>
      <w:r>
        <w:t>Developer and Editorial Notes</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2088"/>
            <w:vAlign w:val="center"/>
            <w:tcMar>
              <w:top w:w="100" w:type="dxa"/>
              <w:start w:w="120" w:type="dxa"/>
              <w:bottom w:w="100" w:type="dxa"/>
              <w:end w:w="120" w:type="dxa"/>
            </w:tcMar>
            <w:shd w:fill="0B1727"/>
          </w:tcPr>
          <w:p>
            <w:pPr>
              <w:spacing w:after="40"/>
            </w:pPr>
            <w:r>
              <w:rPr>
                <w:rFonts w:ascii="Arial" w:hAnsi="Arial"/>
                <w:b/>
                <w:color w:val="FFFFFF"/>
                <w:sz w:val="19"/>
              </w:rPr>
              <w:t>Item</w:t>
            </w:r>
          </w:p>
        </w:tc>
        <w:tc>
          <w:tcPr>
            <w:tcW w:type="dxa" w:w="7272"/>
            <w:vAlign w:val="center"/>
            <w:tcMar>
              <w:top w:w="100" w:type="dxa"/>
              <w:start w:w="120" w:type="dxa"/>
              <w:bottom w:w="100" w:type="dxa"/>
              <w:end w:w="120" w:type="dxa"/>
            </w:tcMar>
            <w:shd w:fill="0B1727"/>
          </w:tcPr>
          <w:p>
            <w:pPr>
              <w:spacing w:after="40"/>
            </w:pPr>
            <w:r>
              <w:rPr>
                <w:rFonts w:ascii="Arial" w:hAnsi="Arial"/>
                <w:b/>
                <w:color w:val="FFFFFF"/>
                <w:sz w:val="19"/>
              </w:rPr>
              <w:t>Implementation</w:t>
            </w:r>
          </w:p>
        </w:tc>
      </w:tr>
      <w:tr>
        <w:tc>
          <w:tcPr>
            <w:tcW w:type="dxa" w:w="2088"/>
            <w:vAlign w:val="center"/>
            <w:tcMar>
              <w:top w:w="100" w:type="dxa"/>
              <w:start w:w="120" w:type="dxa"/>
              <w:bottom w:w="100" w:type="dxa"/>
              <w:end w:w="120" w:type="dxa"/>
            </w:tcMar>
          </w:tcPr>
          <w:p>
            <w:pPr>
              <w:spacing w:after="40"/>
            </w:pPr>
            <w:r>
              <w:rPr>
                <w:rFonts w:ascii="Arial" w:hAnsi="Arial"/>
                <w:sz w:val="19"/>
              </w:rPr>
              <w:t>Page type</w:t>
            </w:r>
          </w:p>
        </w:tc>
        <w:tc>
          <w:tcPr>
            <w:tcW w:type="dxa" w:w="7272"/>
            <w:vAlign w:val="center"/>
            <w:tcMar>
              <w:top w:w="100" w:type="dxa"/>
              <w:start w:w="120" w:type="dxa"/>
              <w:bottom w:w="100" w:type="dxa"/>
              <w:end w:w="120" w:type="dxa"/>
            </w:tcMar>
          </w:tcPr>
          <w:p>
            <w:pPr>
              <w:spacing w:after="40"/>
            </w:pPr>
            <w:r>
              <w:rPr>
                <w:rFonts w:ascii="Arial" w:hAnsi="Arial"/>
                <w:sz w:val="19"/>
              </w:rPr>
              <w:t>Product page supported by a technical buying guide.</w:t>
            </w:r>
          </w:p>
        </w:tc>
      </w:tr>
      <w:tr>
        <w:tc>
          <w:tcPr>
            <w:tcW w:type="dxa" w:w="2088"/>
            <w:vAlign w:val="center"/>
            <w:tcMar>
              <w:top w:w="100" w:type="dxa"/>
              <w:start w:w="120" w:type="dxa"/>
              <w:bottom w:w="100" w:type="dxa"/>
              <w:end w:w="120" w:type="dxa"/>
            </w:tcMar>
            <w:shd w:fill="F5F7F8"/>
          </w:tcPr>
          <w:p>
            <w:pPr>
              <w:spacing w:after="40"/>
            </w:pPr>
            <w:r>
              <w:rPr>
                <w:rFonts w:ascii="Arial" w:hAnsi="Arial"/>
                <w:sz w:val="19"/>
              </w:rPr>
              <w:t>Breadcrumb</w:t>
            </w:r>
          </w:p>
        </w:tc>
        <w:tc>
          <w:tcPr>
            <w:tcW w:type="dxa" w:w="7272"/>
            <w:vAlign w:val="center"/>
            <w:tcMar>
              <w:top w:w="100" w:type="dxa"/>
              <w:start w:w="120" w:type="dxa"/>
              <w:bottom w:w="100" w:type="dxa"/>
              <w:end w:w="120" w:type="dxa"/>
            </w:tcMar>
            <w:shd w:fill="F5F7F8"/>
          </w:tcPr>
          <w:p>
            <w:pPr>
              <w:spacing w:after="40"/>
            </w:pPr>
            <w:r>
              <w:rPr>
                <w:rFonts w:ascii="Arial" w:hAnsi="Arial"/>
                <w:sz w:val="19"/>
              </w:rPr>
              <w:t>Home → AAC Plant Machinery → Post-Autoclave Handling → AAC Auto Palletizing System</w:t>
            </w:r>
          </w:p>
        </w:tc>
      </w:tr>
      <w:tr>
        <w:tc>
          <w:tcPr>
            <w:tcW w:type="dxa" w:w="2088"/>
            <w:vAlign w:val="center"/>
            <w:tcMar>
              <w:top w:w="100" w:type="dxa"/>
              <w:start w:w="120" w:type="dxa"/>
              <w:bottom w:w="100" w:type="dxa"/>
              <w:end w:w="120" w:type="dxa"/>
            </w:tcMar>
          </w:tcPr>
          <w:p>
            <w:pPr>
              <w:spacing w:after="40"/>
            </w:pPr>
            <w:r>
              <w:rPr>
                <w:rFonts w:ascii="Arial" w:hAnsi="Arial"/>
                <w:sz w:val="19"/>
              </w:rPr>
              <w:t>Schema</w:t>
            </w:r>
          </w:p>
        </w:tc>
        <w:tc>
          <w:tcPr>
            <w:tcW w:type="dxa" w:w="7272"/>
            <w:vAlign w:val="center"/>
            <w:tcMar>
              <w:top w:w="100" w:type="dxa"/>
              <w:start w:w="120" w:type="dxa"/>
              <w:bottom w:w="100" w:type="dxa"/>
              <w:end w:w="120" w:type="dxa"/>
            </w:tcMar>
          </w:tcPr>
          <w:p>
            <w:pPr>
              <w:spacing w:after="40"/>
            </w:pPr>
            <w:r>
              <w:rPr>
                <w:rFonts w:ascii="Arial" w:hAnsi="Arial"/>
                <w:sz w:val="19"/>
              </w:rPr>
              <w:t>Use visible, supported Product + TechArticle + BreadcrumbList markup. Add Organization sitewide. Add VideoObject only when a real video is embedded.</w:t>
            </w:r>
          </w:p>
        </w:tc>
      </w:tr>
      <w:tr>
        <w:tc>
          <w:tcPr>
            <w:tcW w:type="dxa" w:w="2088"/>
            <w:vAlign w:val="center"/>
            <w:tcMar>
              <w:top w:w="100" w:type="dxa"/>
              <w:start w:w="120" w:type="dxa"/>
              <w:bottom w:w="100" w:type="dxa"/>
              <w:end w:w="120" w:type="dxa"/>
            </w:tcMar>
            <w:shd w:fill="F5F7F8"/>
          </w:tcPr>
          <w:p>
            <w:pPr>
              <w:spacing w:after="40"/>
            </w:pPr>
            <w:r>
              <w:rPr>
                <w:rFonts w:ascii="Arial" w:hAnsi="Arial"/>
                <w:sz w:val="19"/>
              </w:rPr>
              <w:t>Images</w:t>
            </w:r>
          </w:p>
        </w:tc>
        <w:tc>
          <w:tcPr>
            <w:tcW w:type="dxa" w:w="7272"/>
            <w:vAlign w:val="center"/>
            <w:tcMar>
              <w:top w:w="100" w:type="dxa"/>
              <w:start w:w="120" w:type="dxa"/>
              <w:bottom w:w="100" w:type="dxa"/>
              <w:end w:w="120" w:type="dxa"/>
            </w:tcMar>
            <w:shd w:fill="F5F7F8"/>
          </w:tcPr>
          <w:p>
            <w:pPr>
              <w:spacing w:after="40"/>
            </w:pPr>
            <w:r>
              <w:rPr>
                <w:rFonts w:ascii="Arial" w:hAnsi="Arial"/>
                <w:sz w:val="19"/>
              </w:rPr>
              <w:t>Use original system photographs and an annotated flow diagram. Do not place specifications only inside images.</w:t>
            </w:r>
          </w:p>
        </w:tc>
      </w:tr>
      <w:tr>
        <w:tc>
          <w:tcPr>
            <w:tcW w:type="dxa" w:w="2088"/>
            <w:vAlign w:val="center"/>
            <w:tcMar>
              <w:top w:w="100" w:type="dxa"/>
              <w:start w:w="120" w:type="dxa"/>
              <w:bottom w:w="100" w:type="dxa"/>
              <w:end w:w="120" w:type="dxa"/>
            </w:tcMar>
          </w:tcPr>
          <w:p>
            <w:pPr>
              <w:spacing w:after="40"/>
            </w:pPr>
            <w:r>
              <w:rPr>
                <w:rFonts w:ascii="Arial" w:hAnsi="Arial"/>
                <w:sz w:val="19"/>
              </w:rPr>
              <w:t>Author/reviewer</w:t>
            </w:r>
          </w:p>
        </w:tc>
        <w:tc>
          <w:tcPr>
            <w:tcW w:type="dxa" w:w="7272"/>
            <w:vAlign w:val="center"/>
            <w:tcMar>
              <w:top w:w="100" w:type="dxa"/>
              <w:start w:w="120" w:type="dxa"/>
              <w:bottom w:w="100" w:type="dxa"/>
              <w:end w:w="120" w:type="dxa"/>
            </w:tcMar>
          </w:tcPr>
          <w:p>
            <w:pPr>
              <w:spacing w:after="40"/>
            </w:pPr>
            <w:r>
              <w:rPr>
                <w:rFonts w:ascii="Arial" w:hAnsi="Arial"/>
                <w:sz w:val="19"/>
              </w:rPr>
              <w:t>Add a named technical reviewer and last-updated date after company approval.</w:t>
            </w:r>
          </w:p>
        </w:tc>
      </w:tr>
      <w:tr>
        <w:tc>
          <w:tcPr>
            <w:tcW w:type="dxa" w:w="2088"/>
            <w:vAlign w:val="center"/>
            <w:tcMar>
              <w:top w:w="100" w:type="dxa"/>
              <w:start w:w="120" w:type="dxa"/>
              <w:bottom w:w="100" w:type="dxa"/>
              <w:end w:w="120" w:type="dxa"/>
            </w:tcMar>
            <w:shd w:fill="F5F7F8"/>
          </w:tcPr>
          <w:p>
            <w:pPr>
              <w:spacing w:after="40"/>
            </w:pPr>
            <w:r>
              <w:rPr>
                <w:rFonts w:ascii="Arial" w:hAnsi="Arial"/>
                <w:sz w:val="19"/>
              </w:rPr>
              <w:t>Claims</w:t>
            </w:r>
          </w:p>
        </w:tc>
        <w:tc>
          <w:tcPr>
            <w:tcW w:type="dxa" w:w="7272"/>
            <w:vAlign w:val="center"/>
            <w:tcMar>
              <w:top w:w="100" w:type="dxa"/>
              <w:start w:w="120" w:type="dxa"/>
              <w:bottom w:w="100" w:type="dxa"/>
              <w:end w:w="120" w:type="dxa"/>
            </w:tcMar>
            <w:shd w:fill="F5F7F8"/>
          </w:tcPr>
          <w:p>
            <w:pPr>
              <w:spacing w:after="40"/>
            </w:pPr>
            <w:r>
              <w:rPr>
                <w:rFonts w:ascii="Arial" w:hAnsi="Arial"/>
                <w:sz w:val="19"/>
              </w:rPr>
              <w:t>Do not add numerical capacity, manpower, utility, savings, breakage or performance claims without approved evidence and assumptions.</w:t>
            </w:r>
          </w:p>
        </w:tc>
      </w:tr>
    </w:tbl>
    <w:sectPr w:rsidR="00FC693F" w:rsidRPr="0006063C" w:rsidSect="00034616">
      <w:headerReference w:type="default" r:id="rId9"/>
      <w:footerReference w:type="default" r:id="rId10"/>
      <w:pgSz w:w="12240" w:h="15840"/>
      <w:pgMar w:top="1152" w:right="1440" w:bottom="1152"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26171"/>
        <w:sz w:val="16"/>
      </w:rPr>
      <w:t>Publication-ready webpage copy  |  AAC Auto Palletizing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26171"/>
        <w:sz w:val="16"/>
      </w:rPr>
      <w:t>LAXMI EN-FAB PVT. LTD.  |  AAC PLANT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B17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B1727"/>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0C4F8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B17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ind w:left="720" w:hanging="3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ind w:left="720" w:hanging="3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Auto Palletizing System</dc:title>
  <dc:subject>Publication-ready webpage content for Laxmi En-Fab Pvt. Ltd.</dc:subject>
  <dc:creator>Laxmi En-Fab Pvt. Ltd.</dc:creator>
  <cp:keywords>AAC auto palletizing system, AAC block handling, post-autoclave handling, AAC plant automation</cp:keywords>
  <dc:description>generated by python-docx</dc:description>
  <cp:lastModifiedBy/>
  <cp:revision>1</cp:revision>
  <dcterms:created xsi:type="dcterms:W3CDTF">2013-12-23T23:15:00Z</dcterms:created>
  <dcterms:modified xsi:type="dcterms:W3CDTF">2013-12-23T23:15:00Z</dcterms:modified>
  <cp:category/>
</cp:coreProperties>
</file>