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4900D" w14:textId="77777777" w:rsidR="00C12C7D" w:rsidRDefault="00C12C7D" w:rsidP="00C12C7D">
      <w:pPr>
        <w:pStyle w:val="FirstParagraph"/>
        <w:rPr>
          <w:b/>
          <w:bCs/>
        </w:rPr>
      </w:pPr>
      <w:r>
        <w:rPr>
          <w:b/>
          <w:bCs/>
        </w:rPr>
        <w:t>“</w:t>
      </w:r>
      <w:r w:rsidRPr="00A04B91">
        <w:rPr>
          <w:b/>
          <w:bCs/>
          <w:u w:val="single"/>
        </w:rPr>
        <w:t>Why AAC?”</w:t>
      </w:r>
    </w:p>
    <w:p w14:paraId="34972D59" w14:textId="77777777" w:rsidR="00C12C7D" w:rsidRDefault="00C12C7D" w:rsidP="00C12C7D">
      <w:pPr>
        <w:pStyle w:val="FirstParagraph"/>
        <w:rPr>
          <w:b/>
          <w:bCs/>
        </w:rPr>
      </w:pPr>
    </w:p>
    <w:p w14:paraId="26B37518" w14:textId="77777777" w:rsidR="00C12C7D" w:rsidRDefault="00C12C7D" w:rsidP="00C12C7D">
      <w:pPr>
        <w:pStyle w:val="FirstParagraph"/>
      </w:pPr>
      <w:r>
        <w:rPr>
          <w:b/>
          <w:bCs/>
        </w:rPr>
        <w:t>Meta Title:</w:t>
      </w:r>
      <w:r>
        <w:t xml:space="preserve"> Why AAC Blocks? Engineering Benefits &amp; Manufacturing Insights</w:t>
      </w:r>
    </w:p>
    <w:p w14:paraId="4D9FD151" w14:textId="77777777" w:rsidR="00C12C7D" w:rsidRDefault="00C12C7D" w:rsidP="00C12C7D">
      <w:pPr>
        <w:pStyle w:val="BodyText"/>
      </w:pPr>
      <w:r>
        <w:rPr>
          <w:b/>
          <w:bCs/>
        </w:rPr>
        <w:t>Meta Description:</w:t>
      </w:r>
      <w:r>
        <w:t xml:space="preserve"> Learn why AAC is transforming construction with engineering insights, manufacturing advantages, and long-term project economics.</w:t>
      </w:r>
    </w:p>
    <w:p w14:paraId="072DE1BA" w14:textId="77777777" w:rsidR="00C12C7D" w:rsidRDefault="00C12C7D" w:rsidP="00C12C7D">
      <w:pPr>
        <w:pStyle w:val="Heading1"/>
      </w:pPr>
      <w:r>
        <w:t>Why AAC? The Engineering Choice for Faster, Stronger &amp; More Sustainable Construction</w:t>
      </w:r>
    </w:p>
    <w:p w14:paraId="0639531F" w14:textId="77777777" w:rsidR="00C12C7D" w:rsidRDefault="00C12C7D" w:rsidP="00C12C7D">
      <w:pPr>
        <w:pStyle w:val="FirstParagraph"/>
      </w:pPr>
      <w:r>
        <w:t xml:space="preserve">Every construction technology </w:t>
      </w:r>
      <w:proofErr w:type="gramStart"/>
      <w:r>
        <w:t>claims</w:t>
      </w:r>
      <w:proofErr w:type="gramEnd"/>
      <w:r>
        <w:t xml:space="preserve"> to reduce cost, improve quality, and accelerate project delivery. Very few achieve all three simultaneously. Autoclaved Aerated Concrete (AAC) is one of those rare technologies because its advantages originate from engineering principles—not marketing claims.</w:t>
      </w:r>
    </w:p>
    <w:p w14:paraId="603688BA" w14:textId="77777777" w:rsidR="00C12C7D" w:rsidRDefault="00C12C7D" w:rsidP="00C12C7D">
      <w:pPr>
        <w:pStyle w:val="BodyText"/>
      </w:pPr>
      <w:r>
        <w:t xml:space="preserve">The question is no longer </w:t>
      </w:r>
      <w:r>
        <w:rPr>
          <w:i/>
          <w:iCs/>
        </w:rPr>
        <w:t>whether AAC blocks are technically superior to conventional clay bricks</w:t>
      </w:r>
      <w:r>
        <w:t>, but whether your manufacturing process can consistently produce AAC with stable density, compressive strength, dimensional accuracy, and predictable long-term performance.</w:t>
      </w:r>
    </w:p>
    <w:p w14:paraId="272837D1" w14:textId="77777777" w:rsidR="00C12C7D" w:rsidRDefault="00C12C7D" w:rsidP="00C12C7D">
      <w:pPr>
        <w:pStyle w:val="BodyText"/>
      </w:pPr>
      <w:r>
        <w:t xml:space="preserve">For investors, developers, and manufacturers, understanding </w:t>
      </w:r>
      <w:r>
        <w:rPr>
          <w:b/>
          <w:bCs/>
        </w:rPr>
        <w:t>why AAC works</w:t>
      </w:r>
      <w:r>
        <w:t xml:space="preserve"> is more valuable than simply knowing its benefits. The science behind the product determines the profitability of the plant.</w:t>
      </w:r>
    </w:p>
    <w:p w14:paraId="4CF20426" w14:textId="77777777" w:rsidR="00C12C7D" w:rsidRDefault="00C12C7D" w:rsidP="00C12C7D">
      <w:r>
        <w:pict w14:anchorId="1F816EE3">
          <v:rect id="_x0000_i1025" style="width:0;height:1.5pt" o:hralign="center" o:hrstd="t" o:hr="t"/>
        </w:pict>
      </w:r>
    </w:p>
    <w:p w14:paraId="7B95FA9F" w14:textId="77777777" w:rsidR="00C12C7D" w:rsidRDefault="00C12C7D" w:rsidP="00C12C7D">
      <w:pPr>
        <w:pStyle w:val="Heading2"/>
      </w:pPr>
      <w:bookmarkStart w:id="0" w:name="X27e088fa426e0e0a2d6f8300c4c82779dc6bb42"/>
      <w:r>
        <w:t>Why AAC Has Become the Preferred Modern Building Material</w:t>
      </w:r>
    </w:p>
    <w:p w14:paraId="43BC9747" w14:textId="77777777" w:rsidR="00C12C7D" w:rsidRDefault="00C12C7D" w:rsidP="00C12C7D">
      <w:pPr>
        <w:pStyle w:val="FirstParagraph"/>
      </w:pPr>
      <w:r>
        <w:t xml:space="preserve">AAC is a lightweight cellular concrete manufactured from cement, lime, silica sand or fly ash, gypsum, </w:t>
      </w:r>
      <w:proofErr w:type="spellStart"/>
      <w:r>
        <w:t>aluminium</w:t>
      </w:r>
      <w:proofErr w:type="spellEnd"/>
      <w:r>
        <w:t xml:space="preserve"> powder, and water. During production, </w:t>
      </w:r>
      <w:proofErr w:type="spellStart"/>
      <w:r>
        <w:t>aluminium</w:t>
      </w:r>
      <w:proofErr w:type="spellEnd"/>
      <w:r>
        <w:t xml:space="preserve"> reacts with calcium hydroxide to generate hydrogen gas, creating millions of uniformly distributed air cells. After cutting, the green cake undergoes hydrothermal curing inside an autoclave, where high-pressure saturated steam forms crystalline </w:t>
      </w:r>
      <w:proofErr w:type="spellStart"/>
      <w:r>
        <w:rPr>
          <w:b/>
          <w:bCs/>
        </w:rPr>
        <w:t>Tobermorite</w:t>
      </w:r>
      <w:proofErr w:type="spellEnd"/>
      <w:r>
        <w:t>, the mineral responsible for AAC’s structural strength and dimensional stability.</w:t>
      </w:r>
    </w:p>
    <w:p w14:paraId="35045FD3" w14:textId="77777777" w:rsidR="00C12C7D" w:rsidRDefault="00C12C7D" w:rsidP="00C12C7D">
      <w:pPr>
        <w:pStyle w:val="BodyText"/>
      </w:pPr>
      <w:r>
        <w:t>Unlike fired clay bricks, AAC manufacturing is a precisely controlled chemical and thermodynamic process where raw material consistency, batching accuracy, slurry rheology, autoclave pressure profile, and curing cycle directly influence final product quality.</w:t>
      </w:r>
    </w:p>
    <w:p w14:paraId="03DD041D" w14:textId="77777777" w:rsidR="00C12C7D" w:rsidRDefault="00C12C7D" w:rsidP="00C12C7D">
      <w:r>
        <w:pict w14:anchorId="4387B030">
          <v:rect id="_x0000_i1026" style="width:0;height:1.5pt" o:hralign="center" o:hrstd="t" o:hr="t"/>
        </w:pict>
      </w:r>
    </w:p>
    <w:p w14:paraId="50F37392" w14:textId="77777777" w:rsidR="00C12C7D" w:rsidRDefault="00C12C7D" w:rsidP="00C12C7D">
      <w:pPr>
        <w:pStyle w:val="Heading2"/>
      </w:pPr>
      <w:bookmarkStart w:id="1" w:name="key-engineering-advantages-of-aac"/>
      <w:bookmarkEnd w:id="0"/>
      <w:r>
        <w:lastRenderedPageBreak/>
        <w:t>Key Engineering Advantages of AAC</w:t>
      </w:r>
    </w:p>
    <w:p w14:paraId="26A59A3B" w14:textId="77777777" w:rsidR="00C12C7D" w:rsidRDefault="00C12C7D" w:rsidP="00C12C7D">
      <w:pPr>
        <w:pStyle w:val="Heading3"/>
      </w:pPr>
      <w:bookmarkStart w:id="2" w:name="lower-structural-load"/>
      <w:r>
        <w:t>Lower Structural Load</w:t>
      </w:r>
    </w:p>
    <w:p w14:paraId="3A1A9C61" w14:textId="77777777" w:rsidR="00C12C7D" w:rsidRDefault="00C12C7D" w:rsidP="00C12C7D">
      <w:pPr>
        <w:pStyle w:val="FirstParagraph"/>
      </w:pPr>
      <w:r>
        <w:t xml:space="preserve">AAC typically has a density between </w:t>
      </w:r>
      <w:r>
        <w:rPr>
          <w:b/>
          <w:bCs/>
        </w:rPr>
        <w:t>550–700 kg/m³</w:t>
      </w:r>
      <w:r>
        <w:t>, approximately one-third the weight of conventional clay masonry. Reduced dead load lowers foundation requirements, decreases structural steel and reinforced concrete consumption, and improves seismic performance.</w:t>
      </w:r>
    </w:p>
    <w:p w14:paraId="29EE1200" w14:textId="77777777" w:rsidR="00C12C7D" w:rsidRDefault="00C12C7D" w:rsidP="00C12C7D">
      <w:pPr>
        <w:pStyle w:val="Heading3"/>
      </w:pPr>
      <w:bookmarkStart w:id="3" w:name="superior-thermal-efficiency"/>
      <w:bookmarkEnd w:id="2"/>
      <w:r>
        <w:t>Superior Thermal Efficiency</w:t>
      </w:r>
    </w:p>
    <w:p w14:paraId="2D355EE5" w14:textId="77777777" w:rsidR="00C12C7D" w:rsidRDefault="00C12C7D" w:rsidP="00C12C7D">
      <w:pPr>
        <w:pStyle w:val="FirstParagraph"/>
      </w:pPr>
      <w:r>
        <w:t>The closed cellular structure provides excellent thermal insulation, reducing heat transfer through building envelopes. This contributes to lower HVAC energy consumption and improved indoor comfort throughout the building lifecycle.</w:t>
      </w:r>
    </w:p>
    <w:p w14:paraId="7386494F" w14:textId="77777777" w:rsidR="00C12C7D" w:rsidRDefault="00C12C7D" w:rsidP="00C12C7D">
      <w:pPr>
        <w:pStyle w:val="Heading3"/>
      </w:pPr>
      <w:bookmarkStart w:id="4" w:name="high-dimensional-accuracy"/>
      <w:bookmarkEnd w:id="3"/>
      <w:r>
        <w:t>High Dimensional Accuracy</w:t>
      </w:r>
    </w:p>
    <w:p w14:paraId="01B75EE7" w14:textId="77777777" w:rsidR="00C12C7D" w:rsidRDefault="00C12C7D" w:rsidP="00C12C7D">
      <w:pPr>
        <w:pStyle w:val="FirstParagraph"/>
      </w:pPr>
      <w:r>
        <w:t>Precision wire-cutting enables tight dimensional tolerances, allowing thin-joint mortar application. The result is improved wall alignment, reduced plaster thickness, faster masonry work, and lower finishing costs.</w:t>
      </w:r>
    </w:p>
    <w:p w14:paraId="72C0797D" w14:textId="77777777" w:rsidR="00C12C7D" w:rsidRDefault="00C12C7D" w:rsidP="00C12C7D">
      <w:r>
        <w:pict w14:anchorId="477F0458">
          <v:rect id="_x0000_i1027" style="width:0;height:1.5pt" o:hralign="center" o:hrstd="t" o:hr="t"/>
        </w:pict>
      </w:r>
    </w:p>
    <w:p w14:paraId="5D01ABBE" w14:textId="77777777" w:rsidR="00C12C7D" w:rsidRDefault="00C12C7D" w:rsidP="00C12C7D">
      <w:pPr>
        <w:pStyle w:val="Heading2"/>
      </w:pPr>
      <w:bookmarkStart w:id="5" w:name="X6fa0d48f2555f3216f80da487de30239dd6957c"/>
      <w:bookmarkEnd w:id="1"/>
      <w:bookmarkEnd w:id="4"/>
      <w:r>
        <w:t>Technical Insights That Separate Efficient AAC Plants from Average Ones</w:t>
      </w:r>
    </w:p>
    <w:p w14:paraId="24268831" w14:textId="77777777" w:rsidR="00C12C7D" w:rsidRDefault="00C12C7D" w:rsidP="00C12C7D">
      <w:pPr>
        <w:numPr>
          <w:ilvl w:val="0"/>
          <w:numId w:val="1"/>
        </w:numPr>
        <w:spacing w:after="200" w:line="240" w:lineRule="auto"/>
      </w:pPr>
      <w:r>
        <w:rPr>
          <w:b/>
          <w:bCs/>
        </w:rPr>
        <w:t>Quality begins long before the autoclave.</w:t>
      </w:r>
      <w:r>
        <w:t xml:space="preserve"> Stable slurry density, controlled aluminium reaction kinetics, and precise mould filling determine pore distribution and directly affect compressive strength and density variation.</w:t>
      </w:r>
    </w:p>
    <w:p w14:paraId="7543966A" w14:textId="77777777" w:rsidR="00C12C7D" w:rsidRDefault="00C12C7D" w:rsidP="00C12C7D">
      <w:pPr>
        <w:numPr>
          <w:ilvl w:val="0"/>
          <w:numId w:val="1"/>
        </w:numPr>
        <w:spacing w:after="200" w:line="240" w:lineRule="auto"/>
      </w:pPr>
      <w:r>
        <w:rPr>
          <w:b/>
          <w:bCs/>
        </w:rPr>
        <w:t>Autoclaving is a mineral transformation process—not simply steam curing.</w:t>
      </w:r>
      <w:r>
        <w:t xml:space="preserve"> Temperature ramp rate, pressure stability, steam distribution, and holding time govern </w:t>
      </w:r>
      <w:proofErr w:type="spellStart"/>
      <w:r>
        <w:t>Tobermorite</w:t>
      </w:r>
      <w:proofErr w:type="spellEnd"/>
      <w:r>
        <w:t xml:space="preserve"> crystal formation, influencing long-term durability and structural performance.</w:t>
      </w:r>
    </w:p>
    <w:p w14:paraId="3CEE5FD0" w14:textId="77777777" w:rsidR="00C12C7D" w:rsidRDefault="00C12C7D" w:rsidP="00C12C7D">
      <w:pPr>
        <w:numPr>
          <w:ilvl w:val="0"/>
          <w:numId w:val="1"/>
        </w:numPr>
        <w:spacing w:after="200" w:line="240" w:lineRule="auto"/>
      </w:pPr>
      <w:r>
        <w:rPr>
          <w:b/>
          <w:bCs/>
        </w:rPr>
        <w:t>Automation improves consistency more than production speed.</w:t>
      </w:r>
      <w:r>
        <w:t xml:space="preserve"> Integrated batching, process control, cutting synchronization, and material handling reduce process variation, resulting in higher first-pass quality and lower manufacturing cost per cubic metre.</w:t>
      </w:r>
    </w:p>
    <w:p w14:paraId="1FDE796B" w14:textId="77777777" w:rsidR="00C12C7D" w:rsidRDefault="00C12C7D" w:rsidP="00C12C7D">
      <w:r>
        <w:pict w14:anchorId="6ED674D0">
          <v:rect id="_x0000_i1028" style="width:0;height:1.5pt" o:hralign="center" o:hrstd="t" o:hr="t"/>
        </w:pict>
      </w:r>
    </w:p>
    <w:p w14:paraId="34E4C2F5" w14:textId="77777777" w:rsidR="00C12C7D" w:rsidRDefault="00C12C7D" w:rsidP="00C12C7D">
      <w:pPr>
        <w:pStyle w:val="Heading2"/>
      </w:pPr>
      <w:bookmarkStart w:id="6" w:name="X46dfbe7e4109077fb7ff4acba2d578388b34187"/>
      <w:bookmarkEnd w:id="5"/>
      <w:r>
        <w:t>How LAXMI EN FAB PVT LTD Approaches AAC Engineering</w:t>
      </w:r>
    </w:p>
    <w:p w14:paraId="4717F69D" w14:textId="77777777" w:rsidR="00C12C7D" w:rsidRDefault="00C12C7D" w:rsidP="00C12C7D">
      <w:pPr>
        <w:pStyle w:val="Heading3"/>
      </w:pPr>
      <w:bookmarkStart w:id="7" w:name="engineering-before-equipment"/>
      <w:r>
        <w:t>Engineering Before Equipment</w:t>
      </w:r>
    </w:p>
    <w:p w14:paraId="7D5CB50E" w14:textId="77777777" w:rsidR="00C12C7D" w:rsidRDefault="00C12C7D" w:rsidP="00C12C7D">
      <w:pPr>
        <w:pStyle w:val="FirstParagraph"/>
      </w:pPr>
      <w:r>
        <w:t xml:space="preserve">At </w:t>
      </w:r>
      <w:r>
        <w:rPr>
          <w:b/>
          <w:bCs/>
        </w:rPr>
        <w:t>LAXMI EN FAB PVT LTD</w:t>
      </w:r>
      <w:r>
        <w:t xml:space="preserve">, plant design begins with process engineering rather than machinery selection. Every production line is developed by </w:t>
      </w:r>
      <w:proofErr w:type="spellStart"/>
      <w:r>
        <w:t>analysing</w:t>
      </w:r>
      <w:proofErr w:type="spellEnd"/>
      <w:r>
        <w:t xml:space="preserve"> desired block density, raw material characteristics, regional utilities, production capacity, and future expansion requirements.</w:t>
      </w:r>
    </w:p>
    <w:p w14:paraId="689AD9FD" w14:textId="77777777" w:rsidR="00C12C7D" w:rsidRDefault="00C12C7D" w:rsidP="00C12C7D">
      <w:pPr>
        <w:pStyle w:val="BodyText"/>
      </w:pPr>
      <w:r>
        <w:t xml:space="preserve">The manufacturing system is designed as an integrated process where raw material preparation, slurry mixing, </w:t>
      </w:r>
      <w:proofErr w:type="spellStart"/>
      <w:r>
        <w:t>mould</w:t>
      </w:r>
      <w:proofErr w:type="spellEnd"/>
      <w:r>
        <w:t xml:space="preserve"> circulation, cake handling, wire cutting, autoclaving, and finished product logistics operate as one synchronized production ecosystem.</w:t>
      </w:r>
    </w:p>
    <w:p w14:paraId="17A99B26" w14:textId="77777777" w:rsidR="00C12C7D" w:rsidRDefault="00C12C7D" w:rsidP="00C12C7D">
      <w:pPr>
        <w:pStyle w:val="BodyText"/>
      </w:pPr>
      <w:r>
        <w:lastRenderedPageBreak/>
        <w:t>Our engineering philosophy focuses on minimizing process variability instead of merely maximizing installed capacity. Stable production delivers measurable advantages:</w:t>
      </w:r>
    </w:p>
    <w:p w14:paraId="60B1CB48" w14:textId="77777777" w:rsidR="00C12C7D" w:rsidRDefault="00C12C7D" w:rsidP="00C12C7D">
      <w:pPr>
        <w:pStyle w:val="Compact"/>
        <w:numPr>
          <w:ilvl w:val="0"/>
          <w:numId w:val="1"/>
        </w:numPr>
      </w:pPr>
      <w:r>
        <w:t>Consistent block density</w:t>
      </w:r>
    </w:p>
    <w:p w14:paraId="1FD07821" w14:textId="77777777" w:rsidR="00C12C7D" w:rsidRDefault="00C12C7D" w:rsidP="00C12C7D">
      <w:pPr>
        <w:pStyle w:val="Compact"/>
        <w:numPr>
          <w:ilvl w:val="0"/>
          <w:numId w:val="1"/>
        </w:numPr>
      </w:pPr>
      <w:r>
        <w:t>Reliable compressive strength</w:t>
      </w:r>
    </w:p>
    <w:p w14:paraId="1B9D3DD7" w14:textId="77777777" w:rsidR="00C12C7D" w:rsidRDefault="00C12C7D" w:rsidP="00C12C7D">
      <w:pPr>
        <w:pStyle w:val="Compact"/>
        <w:numPr>
          <w:ilvl w:val="0"/>
          <w:numId w:val="1"/>
        </w:numPr>
      </w:pPr>
      <w:r>
        <w:t>Reduced process rejection</w:t>
      </w:r>
    </w:p>
    <w:p w14:paraId="7A5A2F41" w14:textId="77777777" w:rsidR="00C12C7D" w:rsidRDefault="00C12C7D" w:rsidP="00C12C7D">
      <w:pPr>
        <w:pStyle w:val="Compact"/>
        <w:numPr>
          <w:ilvl w:val="0"/>
          <w:numId w:val="1"/>
        </w:numPr>
      </w:pPr>
      <w:r>
        <w:t>Lower steam and energy consumption</w:t>
      </w:r>
    </w:p>
    <w:p w14:paraId="70D3BBC2" w14:textId="77777777" w:rsidR="00C12C7D" w:rsidRDefault="00C12C7D" w:rsidP="00C12C7D">
      <w:pPr>
        <w:pStyle w:val="Compact"/>
        <w:numPr>
          <w:ilvl w:val="0"/>
          <w:numId w:val="1"/>
        </w:numPr>
      </w:pPr>
      <w:r>
        <w:t>Higher plant availability</w:t>
      </w:r>
    </w:p>
    <w:p w14:paraId="05D6F818" w14:textId="77777777" w:rsidR="00C12C7D" w:rsidRDefault="00C12C7D" w:rsidP="00C12C7D">
      <w:pPr>
        <w:pStyle w:val="Compact"/>
        <w:numPr>
          <w:ilvl w:val="0"/>
          <w:numId w:val="1"/>
        </w:numPr>
      </w:pPr>
      <w:r>
        <w:t xml:space="preserve">Predictable operating cost per cubic </w:t>
      </w:r>
      <w:proofErr w:type="spellStart"/>
      <w:r>
        <w:t>metre</w:t>
      </w:r>
      <w:proofErr w:type="spellEnd"/>
    </w:p>
    <w:p w14:paraId="22F85283" w14:textId="77777777" w:rsidR="00C12C7D" w:rsidRDefault="00C12C7D" w:rsidP="00C12C7D">
      <w:pPr>
        <w:pStyle w:val="FirstParagraph"/>
      </w:pPr>
      <w:r>
        <w:t>This systems-based approach enables manufacturers to achieve sustainable profitability rather than relying on short-term production output.</w:t>
      </w:r>
    </w:p>
    <w:p w14:paraId="2B82425C" w14:textId="77777777" w:rsidR="00C12C7D" w:rsidRDefault="00C12C7D" w:rsidP="00C12C7D">
      <w:r>
        <w:pict w14:anchorId="344C4F64">
          <v:rect id="_x0000_i1029" style="width:0;height:1.5pt" o:hralign="center" o:hrstd="t" o:hr="t"/>
        </w:pict>
      </w:r>
    </w:p>
    <w:p w14:paraId="3F3883EF" w14:textId="77777777" w:rsidR="00C12C7D" w:rsidRDefault="00C12C7D" w:rsidP="00C12C7D">
      <w:pPr>
        <w:pStyle w:val="Heading2"/>
      </w:pPr>
      <w:bookmarkStart w:id="8" w:name="X1704daebdefc2f8e1792106379a12d9753987d2"/>
      <w:bookmarkEnd w:id="6"/>
      <w:bookmarkEnd w:id="7"/>
      <w:r>
        <w:t>Why Understanding AAC Matters More Than Simply Manufacturing It</w:t>
      </w:r>
    </w:p>
    <w:p w14:paraId="762A50B9" w14:textId="77777777" w:rsidR="00C12C7D" w:rsidRDefault="00C12C7D" w:rsidP="00C12C7D">
      <w:pPr>
        <w:pStyle w:val="FirstParagraph"/>
      </w:pPr>
      <w:r>
        <w:t>The global shift toward sustainable, lightweight, and energy-efficient construction is accelerating demand for AAC across residential, commercial, and industrial projects. However, market success depends on producing blocks that consistently meet engineering specifications—not occasional production peaks.</w:t>
      </w:r>
    </w:p>
    <w:p w14:paraId="5067AE6F" w14:textId="77777777" w:rsidR="00C12C7D" w:rsidRDefault="00C12C7D" w:rsidP="00C12C7D">
      <w:pPr>
        <w:pStyle w:val="BodyText"/>
      </w:pPr>
      <w:r>
        <w:t>A profitable AAC plant is ultimately an exercise in process control, material science, thermal engineering, and production optimization.</w:t>
      </w:r>
    </w:p>
    <w:p w14:paraId="349BC173" w14:textId="77777777" w:rsidR="00C12C7D" w:rsidRDefault="00C12C7D" w:rsidP="00C12C7D">
      <w:r>
        <w:pict w14:anchorId="6E8E84AB">
          <v:rect id="_x0000_i1030" style="width:0;height:1.5pt" o:hralign="center" o:hrstd="t" o:hr="t"/>
        </w:pict>
      </w:r>
    </w:p>
    <w:bookmarkEnd w:id="8"/>
    <w:p w14:paraId="56592C8C" w14:textId="77777777" w:rsidR="00C12C7D" w:rsidRDefault="00C12C7D" w:rsidP="00C12C7D">
      <w:pPr>
        <w:pStyle w:val="Heading2"/>
      </w:pPr>
      <w:r>
        <w:t>Engineering Consultation</w:t>
      </w:r>
    </w:p>
    <w:p w14:paraId="360ED38C" w14:textId="77777777" w:rsidR="00C12C7D" w:rsidRDefault="00C12C7D" w:rsidP="00C12C7D">
      <w:pPr>
        <w:pStyle w:val="FirstParagraph"/>
      </w:pPr>
      <w:r>
        <w:t xml:space="preserve">Whether you are planning a greenfield AAC manufacturing facility, expanding an existing production line, or evaluating plant performance, </w:t>
      </w:r>
      <w:r>
        <w:rPr>
          <w:b/>
          <w:bCs/>
        </w:rPr>
        <w:t>LAXMI EN FAB PVT LTD</w:t>
      </w:r>
      <w:r>
        <w:t xml:space="preserve"> provides engineering-driven consultation based on process optimization, equipment integration, and practical manufacturing experience. Discuss your project requirements with our engineering team to identify the most technically efficient and commercially viable solution for your production objectives.</w:t>
      </w:r>
    </w:p>
    <w:p w14:paraId="3CB3DB4B" w14:textId="77777777" w:rsidR="00205420" w:rsidRDefault="00205420"/>
    <w:sectPr w:rsidR="00205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FE634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5759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DDA"/>
    <w:rsid w:val="00191279"/>
    <w:rsid w:val="00205420"/>
    <w:rsid w:val="00581811"/>
    <w:rsid w:val="00AD6A6A"/>
    <w:rsid w:val="00C12C7D"/>
    <w:rsid w:val="00D673FE"/>
    <w:rsid w:val="00EF5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F85195-F0C7-4FF1-8A32-066F8A01B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C7D"/>
  </w:style>
  <w:style w:type="paragraph" w:styleId="Heading1">
    <w:name w:val="heading 1"/>
    <w:basedOn w:val="Normal"/>
    <w:next w:val="Normal"/>
    <w:link w:val="Heading1Char"/>
    <w:uiPriority w:val="9"/>
    <w:qFormat/>
    <w:rsid w:val="00EF5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5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D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D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D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5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5D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D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D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DDA"/>
    <w:rPr>
      <w:rFonts w:eastAsiaTheme="majorEastAsia" w:cstheme="majorBidi"/>
      <w:color w:val="272727" w:themeColor="text1" w:themeTint="D8"/>
    </w:rPr>
  </w:style>
  <w:style w:type="paragraph" w:styleId="Title">
    <w:name w:val="Title"/>
    <w:basedOn w:val="Normal"/>
    <w:next w:val="Normal"/>
    <w:link w:val="TitleChar"/>
    <w:uiPriority w:val="10"/>
    <w:qFormat/>
    <w:rsid w:val="00EF5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DDA"/>
    <w:pPr>
      <w:spacing w:before="160"/>
      <w:jc w:val="center"/>
    </w:pPr>
    <w:rPr>
      <w:i/>
      <w:iCs/>
      <w:color w:val="404040" w:themeColor="text1" w:themeTint="BF"/>
    </w:rPr>
  </w:style>
  <w:style w:type="character" w:customStyle="1" w:styleId="QuoteChar">
    <w:name w:val="Quote Char"/>
    <w:basedOn w:val="DefaultParagraphFont"/>
    <w:link w:val="Quote"/>
    <w:uiPriority w:val="29"/>
    <w:rsid w:val="00EF5DDA"/>
    <w:rPr>
      <w:i/>
      <w:iCs/>
      <w:color w:val="404040" w:themeColor="text1" w:themeTint="BF"/>
    </w:rPr>
  </w:style>
  <w:style w:type="paragraph" w:styleId="ListParagraph">
    <w:name w:val="List Paragraph"/>
    <w:basedOn w:val="Normal"/>
    <w:uiPriority w:val="34"/>
    <w:qFormat/>
    <w:rsid w:val="00EF5DDA"/>
    <w:pPr>
      <w:ind w:left="720"/>
      <w:contextualSpacing/>
    </w:pPr>
  </w:style>
  <w:style w:type="character" w:styleId="IntenseEmphasis">
    <w:name w:val="Intense Emphasis"/>
    <w:basedOn w:val="DefaultParagraphFont"/>
    <w:uiPriority w:val="21"/>
    <w:qFormat/>
    <w:rsid w:val="00EF5DDA"/>
    <w:rPr>
      <w:i/>
      <w:iCs/>
      <w:color w:val="2F5496" w:themeColor="accent1" w:themeShade="BF"/>
    </w:rPr>
  </w:style>
  <w:style w:type="paragraph" w:styleId="IntenseQuote">
    <w:name w:val="Intense Quote"/>
    <w:basedOn w:val="Normal"/>
    <w:next w:val="Normal"/>
    <w:link w:val="IntenseQuoteChar"/>
    <w:uiPriority w:val="30"/>
    <w:qFormat/>
    <w:rsid w:val="00EF5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DDA"/>
    <w:rPr>
      <w:i/>
      <w:iCs/>
      <w:color w:val="2F5496" w:themeColor="accent1" w:themeShade="BF"/>
    </w:rPr>
  </w:style>
  <w:style w:type="character" w:styleId="IntenseReference">
    <w:name w:val="Intense Reference"/>
    <w:basedOn w:val="DefaultParagraphFont"/>
    <w:uiPriority w:val="32"/>
    <w:qFormat/>
    <w:rsid w:val="00EF5DDA"/>
    <w:rPr>
      <w:b/>
      <w:bCs/>
      <w:smallCaps/>
      <w:color w:val="2F5496" w:themeColor="accent1" w:themeShade="BF"/>
      <w:spacing w:val="5"/>
    </w:rPr>
  </w:style>
  <w:style w:type="paragraph" w:styleId="BodyText">
    <w:name w:val="Body Text"/>
    <w:basedOn w:val="Normal"/>
    <w:link w:val="BodyTextChar"/>
    <w:qFormat/>
    <w:rsid w:val="00C12C7D"/>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C12C7D"/>
    <w:rPr>
      <w:kern w:val="0"/>
      <w:sz w:val="24"/>
      <w:szCs w:val="24"/>
      <w:lang w:val="en-US"/>
      <w14:ligatures w14:val="none"/>
    </w:rPr>
  </w:style>
  <w:style w:type="paragraph" w:customStyle="1" w:styleId="FirstParagraph">
    <w:name w:val="First Paragraph"/>
    <w:basedOn w:val="BodyText"/>
    <w:next w:val="BodyText"/>
    <w:qFormat/>
    <w:rsid w:val="00C12C7D"/>
  </w:style>
  <w:style w:type="paragraph" w:customStyle="1" w:styleId="Compact">
    <w:name w:val="Compact"/>
    <w:basedOn w:val="BodyText"/>
    <w:qFormat/>
    <w:rsid w:val="00C12C7D"/>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841</Words>
  <Characters>4800</Characters>
  <Application>Microsoft Office Word</Application>
  <DocSecurity>0</DocSecurity>
  <Lines>40</Lines>
  <Paragraphs>11</Paragraphs>
  <ScaleCrop>false</ScaleCrop>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2026-08-14T11:58:00Z</dcterms:created>
  <dcterms:modified xsi:type="dcterms:W3CDTF">2026-08-14T11:58:00Z</dcterms:modified>
</cp:coreProperties>
</file>