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C4F80"/>
          <w:sz w:val="18"/>
        </w:rPr>
        <w:t>WEB PAGE CONTENT  /  INDIA</w:t>
      </w:r>
    </w:p>
    <w:p>
      <w:pPr>
        <w:pStyle w:val="Title"/>
      </w:pPr>
      <w:r>
        <w:t>AAC Plant Project Finance and Bank Loan Guide for India</w:t>
      </w:r>
    </w:p>
    <w:p>
      <w:pPr>
        <w:pStyle w:val="Lead"/>
      </w:pPr>
      <w:r>
        <w:t>A technically credible project, realistic cash-flow plan and complete DPR give lenders a stronger basis for appraisal. They do not guarantee loan sanction.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0C4F80"/>
            <w:tcMar>
              <w:top w:w="90" w:type="dxa"/>
              <w:start w:w="120" w:type="dxa"/>
              <w:bottom w:w="90" w:type="dxa"/>
              <w:end w:w="120" w:type="dxa"/>
            </w:tcMar>
            <w:vAlign w:val="center"/>
          </w:tcPr>
          <w:p>
            <w:pPr>
              <w:spacing w:after="0"/>
            </w:pPr>
            <w:r>
              <w:rPr>
                <w:rFonts w:ascii="Arial" w:hAnsi="Arial"/>
                <w:b/>
                <w:color w:val="FFFFFF"/>
                <w:sz w:val="18"/>
              </w:rPr>
              <w:t>SEO field</w:t>
            </w:r>
          </w:p>
        </w:tc>
        <w:tc>
          <w:tcPr>
            <w:tcW w:type="dxa" w:w="7460"/>
            <w:shd w:fill="0C4F80"/>
            <w:tcMar>
              <w:top w:w="90" w:type="dxa"/>
              <w:start w:w="120" w:type="dxa"/>
              <w:bottom w:w="90" w:type="dxa"/>
              <w:end w:w="120" w:type="dxa"/>
            </w:tcMar>
            <w:vAlign w:val="center"/>
          </w:tcPr>
          <w:p>
            <w:pPr>
              <w:spacing w:after="0"/>
            </w:pPr>
            <w:r>
              <w:rPr>
                <w:rFonts w:ascii="Arial" w:hAnsi="Arial"/>
                <w:b/>
                <w:color w:val="FFFFFF"/>
                <w:sz w:val="18"/>
              </w:rPr>
              <w:t>Recommended copy</w:t>
            </w:r>
          </w:p>
        </w:tc>
      </w:tr>
      <w:tr>
        <w:tc>
          <w:tcPr>
            <w:tcW w:type="dxa" w:w="1900"/>
            <w:tcMar>
              <w:top w:w="90" w:type="dxa"/>
              <w:start w:w="120" w:type="dxa"/>
              <w:bottom w:w="90" w:type="dxa"/>
              <w:end w:w="120" w:type="dxa"/>
            </w:tcMar>
            <w:vAlign w:val="center"/>
          </w:tcPr>
          <w:p>
            <w:pPr>
              <w:spacing w:after="0" w:line="252" w:lineRule="auto"/>
            </w:pPr>
            <w:r>
              <w:rPr>
                <w:rFonts w:ascii="Arial" w:hAnsi="Arial"/>
                <w:color w:val="0B1727"/>
                <w:sz w:val="18"/>
              </w:rPr>
              <w:t>SEO title</w:t>
            </w:r>
          </w:p>
        </w:tc>
        <w:tc>
          <w:tcPr>
            <w:tcW w:type="dxa" w:w="7460"/>
            <w:tcMar>
              <w:top w:w="90" w:type="dxa"/>
              <w:start w:w="120" w:type="dxa"/>
              <w:bottom w:w="90" w:type="dxa"/>
              <w:end w:w="120" w:type="dxa"/>
            </w:tcMar>
            <w:vAlign w:val="center"/>
          </w:tcPr>
          <w:p>
            <w:pPr>
              <w:spacing w:after="0" w:line="252" w:lineRule="auto"/>
            </w:pPr>
            <w:r>
              <w:rPr>
                <w:rFonts w:ascii="Arial" w:hAnsi="Arial"/>
                <w:color w:val="0B1727"/>
                <w:sz w:val="18"/>
              </w:rPr>
              <w:t>AAC Plant Project Finance &amp; Bank Loan Guide</w:t>
            </w:r>
          </w:p>
        </w:tc>
      </w:tr>
      <w:tr>
        <w:tc>
          <w:tcPr>
            <w:tcW w:type="dxa" w:w="1900"/>
            <w:shd w:fill="F5F7F8"/>
            <w:tcMar>
              <w:top w:w="90" w:type="dxa"/>
              <w:start w:w="120" w:type="dxa"/>
              <w:bottom w:w="90" w:type="dxa"/>
              <w:end w:w="120" w:type="dxa"/>
            </w:tcMar>
            <w:vAlign w:val="center"/>
          </w:tcPr>
          <w:p>
            <w:pPr>
              <w:spacing w:after="0" w:line="252" w:lineRule="auto"/>
            </w:pPr>
            <w:r>
              <w:rPr>
                <w:rFonts w:ascii="Arial" w:hAnsi="Arial"/>
                <w:color w:val="0B1727"/>
                <w:sz w:val="18"/>
              </w:rPr>
              <w:t>Meta description</w:t>
            </w:r>
          </w:p>
        </w:tc>
        <w:tc>
          <w:tcPr>
            <w:tcW w:type="dxa" w:w="7460"/>
            <w:shd w:fill="F5F7F8"/>
            <w:tcMar>
              <w:top w:w="90" w:type="dxa"/>
              <w:start w:w="120" w:type="dxa"/>
              <w:bottom w:w="90" w:type="dxa"/>
              <w:end w:w="120" w:type="dxa"/>
            </w:tcMar>
            <w:vAlign w:val="center"/>
          </w:tcPr>
          <w:p>
            <w:pPr>
              <w:spacing w:after="0" w:line="252" w:lineRule="auto"/>
            </w:pPr>
            <w:r>
              <w:rPr>
                <w:rFonts w:ascii="Arial" w:hAnsi="Arial"/>
                <w:color w:val="0B1727"/>
                <w:sz w:val="18"/>
              </w:rPr>
              <w:t>Learn how banks assess AAC plant projects, what a lender-ready DPR includes, and how to plan term loans, working capital and realistic cash flow.</w:t>
            </w:r>
          </w:p>
        </w:tc>
      </w:tr>
      <w:tr>
        <w:tc>
          <w:tcPr>
            <w:tcW w:type="dxa" w:w="1900"/>
            <w:tcMar>
              <w:top w:w="90" w:type="dxa"/>
              <w:start w:w="120" w:type="dxa"/>
              <w:bottom w:w="90" w:type="dxa"/>
              <w:end w:w="120" w:type="dxa"/>
            </w:tcMar>
            <w:vAlign w:val="center"/>
          </w:tcPr>
          <w:p>
            <w:pPr>
              <w:spacing w:after="0" w:line="252" w:lineRule="auto"/>
            </w:pPr>
            <w:r>
              <w:rPr>
                <w:rFonts w:ascii="Arial" w:hAnsi="Arial"/>
                <w:color w:val="0B1727"/>
                <w:sz w:val="18"/>
              </w:rPr>
              <w:t>URL</w:t>
            </w:r>
          </w:p>
        </w:tc>
        <w:tc>
          <w:tcPr>
            <w:tcW w:type="dxa" w:w="7460"/>
            <w:tcMar>
              <w:top w:w="90" w:type="dxa"/>
              <w:start w:w="120" w:type="dxa"/>
              <w:bottom w:w="90" w:type="dxa"/>
              <w:end w:w="120" w:type="dxa"/>
            </w:tcMar>
            <w:vAlign w:val="center"/>
          </w:tcPr>
          <w:p>
            <w:pPr>
              <w:spacing w:after="0" w:line="252" w:lineRule="auto"/>
            </w:pPr>
            <w:r>
              <w:rPr>
                <w:rFonts w:ascii="Arial" w:hAnsi="Arial"/>
                <w:color w:val="0B1727"/>
                <w:sz w:val="18"/>
              </w:rPr>
              <w:t>/aac-plant-project-finance-bank-loan/</w:t>
            </w:r>
          </w:p>
        </w:tc>
      </w:tr>
    </w:tbl>
    <w:p>
      <w:pPr>
        <w:spacing w:after="0"/>
      </w:pPr>
    </w:p>
    <w:p>
      <w:pPr>
        <w:pStyle w:val="Heading1"/>
      </w:pPr>
      <w:r>
        <w:t>Finance begins with a bankable project—not a machinery quotation</w:t>
      </w:r>
    </w:p>
    <w:p>
      <w:r>
        <w:t>An AAC plant loan proposal must explain how the proposed factory will be built, commissioned, operated, sold out and repaid. A machinery quotation is only one input. The lender may also examine the promoter’s background, equity contribution, land and approvals, market evidence, total project cost, implementation schedule, projected cash flow, security and repayment capacity.</w:t>
      </w:r>
    </w:p>
    <w:p>
      <w:r>
        <w:t>For an AAC project, the quality of engineering assumptions directly affects the quality of the financial model. Capacity, product mix, utility consumption, production ramp-up, dispatch radius, selling price, receivable period and working capital should therefore be developed together—not as independent estimates.</w:t>
      </w:r>
    </w:p>
    <w:p>
      <w:pPr>
        <w:pStyle w:val="Heading1"/>
      </w:pPr>
      <w:r>
        <w:t>What does AAC plant project finance normally include?</w:t>
      </w:r>
    </w:p>
    <w:p>
      <w:r>
        <w:t>The financing structure is project- and lender-specific. It normally combines promoter funds with one or more credit facilities. The lender determines eligibility, margin, security, pricing, moratorium and repayment terms after appraisal.</w:t>
      </w:r>
    </w:p>
    <w:tbl>
      <w:tblPr>
        <w:tblStyle w:val="TableGrid"/>
        <w:tblW w:type="dxa" w:w="9360"/>
        <w:jc w:val="left"/>
        <w:tblLayout w:type="fixed"/>
        <w:tblLook w:firstColumn="1" w:firstRow="1" w:lastColumn="0" w:lastRow="0" w:noHBand="0" w:noVBand="1" w:val="04A0"/>
        <w:tblInd w:w="120" w:type="dxa"/>
      </w:tblPr>
      <w:tblGrid>
        <w:gridCol w:w="1650"/>
        <w:gridCol w:w="3300"/>
        <w:gridCol w:w="4410"/>
      </w:tblGrid>
      <w:tr>
        <w:tc>
          <w:tcPr>
            <w:tcW w:type="dxa" w:w="1650"/>
            <w:shd w:fill="0C4F80"/>
            <w:tcMar>
              <w:top w:w="90" w:type="dxa"/>
              <w:start w:w="120" w:type="dxa"/>
              <w:bottom w:w="90" w:type="dxa"/>
              <w:end w:w="120" w:type="dxa"/>
            </w:tcMar>
            <w:vAlign w:val="center"/>
          </w:tcPr>
          <w:p>
            <w:pPr>
              <w:spacing w:after="0"/>
            </w:pPr>
            <w:r>
              <w:rPr>
                <w:rFonts w:ascii="Arial" w:hAnsi="Arial"/>
                <w:b/>
                <w:color w:val="FFFFFF"/>
                <w:sz w:val="18"/>
              </w:rPr>
              <w:t>Facility</w:t>
            </w:r>
          </w:p>
        </w:tc>
        <w:tc>
          <w:tcPr>
            <w:tcW w:type="dxa" w:w="3300"/>
            <w:shd w:fill="0C4F80"/>
            <w:tcMar>
              <w:top w:w="90" w:type="dxa"/>
              <w:start w:w="120" w:type="dxa"/>
              <w:bottom w:w="90" w:type="dxa"/>
              <w:end w:w="120" w:type="dxa"/>
            </w:tcMar>
            <w:vAlign w:val="center"/>
          </w:tcPr>
          <w:p>
            <w:pPr>
              <w:spacing w:after="0"/>
            </w:pPr>
            <w:r>
              <w:rPr>
                <w:rFonts w:ascii="Arial" w:hAnsi="Arial"/>
                <w:b/>
                <w:color w:val="FFFFFF"/>
                <w:sz w:val="18"/>
              </w:rPr>
              <w:t>What it generally funds</w:t>
            </w:r>
          </w:p>
        </w:tc>
        <w:tc>
          <w:tcPr>
            <w:tcW w:type="dxa" w:w="4410"/>
            <w:shd w:fill="0C4F80"/>
            <w:tcMar>
              <w:top w:w="90" w:type="dxa"/>
              <w:start w:w="120" w:type="dxa"/>
              <w:bottom w:w="90" w:type="dxa"/>
              <w:end w:w="120" w:type="dxa"/>
            </w:tcMar>
            <w:vAlign w:val="center"/>
          </w:tcPr>
          <w:p>
            <w:pPr>
              <w:spacing w:after="0"/>
            </w:pPr>
            <w:r>
              <w:rPr>
                <w:rFonts w:ascii="Arial" w:hAnsi="Arial"/>
                <w:b/>
                <w:color w:val="FFFFFF"/>
                <w:sz w:val="18"/>
              </w:rPr>
              <w:t>Important AAC planning point</w:t>
            </w:r>
          </w:p>
        </w:tc>
      </w:tr>
      <w:tr>
        <w:tc>
          <w:tcPr>
            <w:tcW w:type="dxa" w:w="1650"/>
            <w:tcMar>
              <w:top w:w="90" w:type="dxa"/>
              <w:start w:w="120" w:type="dxa"/>
              <w:bottom w:w="90" w:type="dxa"/>
              <w:end w:w="120" w:type="dxa"/>
            </w:tcMar>
            <w:vAlign w:val="center"/>
          </w:tcPr>
          <w:p>
            <w:pPr>
              <w:spacing w:after="0" w:line="252" w:lineRule="auto"/>
            </w:pPr>
            <w:r>
              <w:rPr>
                <w:rFonts w:ascii="Arial" w:hAnsi="Arial"/>
                <w:color w:val="0B1727"/>
                <w:sz w:val="18"/>
              </w:rPr>
              <w:t>Promoter contribution</w:t>
            </w:r>
          </w:p>
        </w:tc>
        <w:tc>
          <w:tcPr>
            <w:tcW w:type="dxa" w:w="3300"/>
            <w:tcMar>
              <w:top w:w="90" w:type="dxa"/>
              <w:start w:w="120" w:type="dxa"/>
              <w:bottom w:w="90" w:type="dxa"/>
              <w:end w:w="120" w:type="dxa"/>
            </w:tcMar>
            <w:vAlign w:val="center"/>
          </w:tcPr>
          <w:p>
            <w:pPr>
              <w:spacing w:after="0" w:line="252" w:lineRule="auto"/>
            </w:pPr>
            <w:r>
              <w:rPr>
                <w:rFonts w:ascii="Arial" w:hAnsi="Arial"/>
                <w:color w:val="0B1727"/>
                <w:sz w:val="18"/>
              </w:rPr>
              <w:t>The promoter’s share of eligible project expenditure and costs not financed by the lender.</w:t>
            </w:r>
          </w:p>
        </w:tc>
        <w:tc>
          <w:tcPr>
            <w:tcW w:type="dxa" w:w="4410"/>
            <w:tcMar>
              <w:top w:w="90" w:type="dxa"/>
              <w:start w:w="120" w:type="dxa"/>
              <w:bottom w:w="90" w:type="dxa"/>
              <w:end w:w="120" w:type="dxa"/>
            </w:tcMar>
            <w:vAlign w:val="center"/>
          </w:tcPr>
          <w:p>
            <w:pPr>
              <w:spacing w:after="0" w:line="252" w:lineRule="auto"/>
            </w:pPr>
            <w:r>
              <w:rPr>
                <w:rFonts w:ascii="Arial" w:hAnsi="Arial"/>
                <w:color w:val="0B1727"/>
                <w:sz w:val="18"/>
              </w:rPr>
              <w:t>Availability and timing of equity should match the implementation schedule.</w:t>
            </w:r>
          </w:p>
        </w:tc>
      </w:tr>
      <w:tr>
        <w:tc>
          <w:tcPr>
            <w:tcW w:type="dxa" w:w="1650"/>
            <w:shd w:fill="F5F7F8"/>
            <w:tcMar>
              <w:top w:w="90" w:type="dxa"/>
              <w:start w:w="120" w:type="dxa"/>
              <w:bottom w:w="90" w:type="dxa"/>
              <w:end w:w="120" w:type="dxa"/>
            </w:tcMar>
            <w:vAlign w:val="center"/>
          </w:tcPr>
          <w:p>
            <w:pPr>
              <w:spacing w:after="0" w:line="252" w:lineRule="auto"/>
            </w:pPr>
            <w:r>
              <w:rPr>
                <w:rFonts w:ascii="Arial" w:hAnsi="Arial"/>
                <w:color w:val="0B1727"/>
                <w:sz w:val="18"/>
              </w:rPr>
              <w:t>Term loan</w:t>
            </w:r>
          </w:p>
        </w:tc>
        <w:tc>
          <w:tcPr>
            <w:tcW w:type="dxa" w:w="3300"/>
            <w:shd w:fill="F5F7F8"/>
            <w:tcMar>
              <w:top w:w="90" w:type="dxa"/>
              <w:start w:w="120" w:type="dxa"/>
              <w:bottom w:w="90" w:type="dxa"/>
              <w:end w:w="120" w:type="dxa"/>
            </w:tcMar>
            <w:vAlign w:val="center"/>
          </w:tcPr>
          <w:p>
            <w:pPr>
              <w:spacing w:after="0" w:line="252" w:lineRule="auto"/>
            </w:pPr>
            <w:r>
              <w:rPr>
                <w:rFonts w:ascii="Arial" w:hAnsi="Arial"/>
                <w:color w:val="0B1727"/>
                <w:sz w:val="18"/>
              </w:rPr>
              <w:t>Eligible fixed assets such as plant and machinery, building, utilities or other approved project costs.</w:t>
            </w:r>
          </w:p>
        </w:tc>
        <w:tc>
          <w:tcPr>
            <w:tcW w:type="dxa" w:w="4410"/>
            <w:shd w:fill="F5F7F8"/>
            <w:tcMar>
              <w:top w:w="90" w:type="dxa"/>
              <w:start w:w="120" w:type="dxa"/>
              <w:bottom w:w="90" w:type="dxa"/>
              <w:end w:w="120" w:type="dxa"/>
            </w:tcMar>
            <w:vAlign w:val="center"/>
          </w:tcPr>
          <w:p>
            <w:pPr>
              <w:spacing w:after="0" w:line="252" w:lineRule="auto"/>
            </w:pPr>
            <w:r>
              <w:rPr>
                <w:rFonts w:ascii="Arial" w:hAnsi="Arial"/>
                <w:color w:val="0B1727"/>
                <w:sz w:val="18"/>
              </w:rPr>
              <w:t>The financed scope must match quotations, civil work and the disbursement plan.</w:t>
            </w:r>
          </w:p>
        </w:tc>
      </w:tr>
      <w:tr>
        <w:tc>
          <w:tcPr>
            <w:tcW w:type="dxa" w:w="1650"/>
            <w:tcMar>
              <w:top w:w="90" w:type="dxa"/>
              <w:start w:w="120" w:type="dxa"/>
              <w:bottom w:w="90" w:type="dxa"/>
              <w:end w:w="120" w:type="dxa"/>
            </w:tcMar>
            <w:vAlign w:val="center"/>
          </w:tcPr>
          <w:p>
            <w:pPr>
              <w:spacing w:after="0" w:line="252" w:lineRule="auto"/>
            </w:pPr>
            <w:r>
              <w:rPr>
                <w:rFonts w:ascii="Arial" w:hAnsi="Arial"/>
                <w:color w:val="0B1727"/>
                <w:sz w:val="18"/>
              </w:rPr>
              <w:t>Working-capital facility</w:t>
            </w:r>
          </w:p>
        </w:tc>
        <w:tc>
          <w:tcPr>
            <w:tcW w:type="dxa" w:w="3300"/>
            <w:tcMar>
              <w:top w:w="90" w:type="dxa"/>
              <w:start w:w="120" w:type="dxa"/>
              <w:bottom w:w="90" w:type="dxa"/>
              <w:end w:w="120" w:type="dxa"/>
            </w:tcMar>
            <w:vAlign w:val="center"/>
          </w:tcPr>
          <w:p>
            <w:pPr>
              <w:spacing w:after="0" w:line="252" w:lineRule="auto"/>
            </w:pPr>
            <w:r>
              <w:rPr>
                <w:rFonts w:ascii="Arial" w:hAnsi="Arial"/>
                <w:color w:val="0B1727"/>
                <w:sz w:val="18"/>
              </w:rPr>
              <w:t>The operating cycle: raw materials, production, finished stock and receivables, less eligible creditors.</w:t>
            </w:r>
          </w:p>
        </w:tc>
        <w:tc>
          <w:tcPr>
            <w:tcW w:type="dxa" w:w="4410"/>
            <w:tcMar>
              <w:top w:w="90" w:type="dxa"/>
              <w:start w:w="120" w:type="dxa"/>
              <w:bottom w:w="90" w:type="dxa"/>
              <w:end w:w="120" w:type="dxa"/>
            </w:tcMar>
            <w:vAlign w:val="center"/>
          </w:tcPr>
          <w:p>
            <w:pPr>
              <w:spacing w:after="0" w:line="252" w:lineRule="auto"/>
            </w:pPr>
            <w:r>
              <w:rPr>
                <w:rFonts w:ascii="Arial" w:hAnsi="Arial"/>
                <w:color w:val="0B1727"/>
                <w:sz w:val="18"/>
              </w:rPr>
              <w:t>A sanctioned term loan does not automatically solve working-capital shortages.</w:t>
            </w:r>
          </w:p>
        </w:tc>
      </w:tr>
      <w:tr>
        <w:tc>
          <w:tcPr>
            <w:tcW w:type="dxa" w:w="1650"/>
            <w:shd w:fill="F5F7F8"/>
            <w:tcMar>
              <w:top w:w="90" w:type="dxa"/>
              <w:start w:w="120" w:type="dxa"/>
              <w:bottom w:w="90" w:type="dxa"/>
              <w:end w:w="120" w:type="dxa"/>
            </w:tcMar>
            <w:vAlign w:val="center"/>
          </w:tcPr>
          <w:p>
            <w:pPr>
              <w:spacing w:after="0" w:line="252" w:lineRule="auto"/>
            </w:pPr>
            <w:r>
              <w:rPr>
                <w:rFonts w:ascii="Arial" w:hAnsi="Arial"/>
                <w:color w:val="0B1727"/>
                <w:sz w:val="18"/>
              </w:rPr>
              <w:t>Contingency or additional equity</w:t>
            </w:r>
          </w:p>
        </w:tc>
        <w:tc>
          <w:tcPr>
            <w:tcW w:type="dxa" w:w="3300"/>
            <w:shd w:fill="F5F7F8"/>
            <w:tcMar>
              <w:top w:w="90" w:type="dxa"/>
              <w:start w:w="120" w:type="dxa"/>
              <w:bottom w:w="90" w:type="dxa"/>
              <w:end w:w="120" w:type="dxa"/>
            </w:tcMar>
            <w:vAlign w:val="center"/>
          </w:tcPr>
          <w:p>
            <w:pPr>
              <w:spacing w:after="0" w:line="252" w:lineRule="auto"/>
            </w:pPr>
            <w:r>
              <w:rPr>
                <w:rFonts w:ascii="Arial" w:hAnsi="Arial"/>
                <w:color w:val="0B1727"/>
                <w:sz w:val="18"/>
              </w:rPr>
              <w:t>Cost overruns, delays, excluded costs and ramp-up support.</w:t>
            </w:r>
          </w:p>
        </w:tc>
        <w:tc>
          <w:tcPr>
            <w:tcW w:type="dxa" w:w="4410"/>
            <w:shd w:fill="F5F7F8"/>
            <w:tcMar>
              <w:top w:w="90" w:type="dxa"/>
              <w:start w:w="120" w:type="dxa"/>
              <w:bottom w:w="90" w:type="dxa"/>
              <w:end w:w="120" w:type="dxa"/>
            </w:tcMar>
            <w:vAlign w:val="center"/>
          </w:tcPr>
          <w:p>
            <w:pPr>
              <w:spacing w:after="0" w:line="252" w:lineRule="auto"/>
            </w:pPr>
            <w:r>
              <w:rPr>
                <w:rFonts w:ascii="Arial" w:hAnsi="Arial"/>
                <w:color w:val="0B1727"/>
                <w:sz w:val="18"/>
              </w:rPr>
              <w:t>Underfunding before commercial stabilisation can interrupt production and debt servicing.</w:t>
            </w:r>
          </w:p>
        </w:tc>
      </w:tr>
    </w:tbl>
    <w:p>
      <w:pPr>
        <w:spacing w:after="0"/>
      </w:pPr>
    </w:p>
    <w:p>
      <w:pPr>
        <w:pStyle w:val="Heading1"/>
      </w:pPr>
      <w:r>
        <w:t>What banks evaluate in an AAC manufacturing project</w:t>
      </w:r>
    </w:p>
    <w:p>
      <w:pPr>
        <w:spacing w:after="100"/>
        <w:ind w:left="403" w:hanging="403"/>
      </w:pPr>
      <w:r>
        <w:rPr>
          <w:b/>
          <w:color w:val="0C4F80"/>
        </w:rPr>
        <w:t xml:space="preserve">1. Promoter strength  </w:t>
      </w:r>
      <w:r>
        <w:t>Experience, net worth, credit history, contribution capacity, management capability and the proposed business structure.</w:t>
      </w:r>
    </w:p>
    <w:p>
      <w:pPr>
        <w:spacing w:after="100"/>
        <w:ind w:left="403" w:hanging="403"/>
      </w:pPr>
      <w:r>
        <w:rPr>
          <w:b/>
          <w:color w:val="0C4F80"/>
        </w:rPr>
        <w:t xml:space="preserve">2. Market validation  </w:t>
      </w:r>
      <w:r>
        <w:t>Addressable demand within an economical dispatch radius, competing capacities, realistic selling prices, customer segments and a credible route to market.</w:t>
      </w:r>
    </w:p>
    <w:p>
      <w:pPr>
        <w:spacing w:after="100"/>
        <w:ind w:left="403" w:hanging="403"/>
      </w:pPr>
      <w:r>
        <w:rPr>
          <w:b/>
          <w:color w:val="0C4F80"/>
        </w:rPr>
        <w:t xml:space="preserve">3. Technical feasibility  </w:t>
      </w:r>
      <w:r>
        <w:t>Raw-material availability and consistency, appropriate plant capacity, equipment scope, process route, utilities, manpower, quality systems, layout and implementation schedule.</w:t>
      </w:r>
    </w:p>
    <w:p>
      <w:pPr>
        <w:spacing w:after="100"/>
        <w:ind w:left="403" w:hanging="403"/>
      </w:pPr>
      <w:r>
        <w:rPr>
          <w:b/>
          <w:color w:val="0C4F80"/>
        </w:rPr>
        <w:t xml:space="preserve">4. Financial viability  </w:t>
      </w:r>
      <w:r>
        <w:t>Total project cost, means of finance, profitability, cash flow, break-even, DSCR, debt-equity position and repayment resilience.</w:t>
      </w:r>
    </w:p>
    <w:p>
      <w:pPr>
        <w:spacing w:after="100"/>
        <w:ind w:left="403" w:hanging="403"/>
      </w:pPr>
      <w:r>
        <w:rPr>
          <w:b/>
          <w:color w:val="0C4F80"/>
        </w:rPr>
        <w:t xml:space="preserve">5. Project readiness  </w:t>
      </w:r>
      <w:r>
        <w:t>Land status, statutory permissions, utility connections, supplier quotations, contracts, implementation milestones, insurance and security documentation.</w:t>
      </w:r>
    </w:p>
    <w:p>
      <w:pPr>
        <w:pStyle w:val="Heading1"/>
      </w:pPr>
      <w:r>
        <w:t>Three AAC engineering realities every DPR should address</w:t>
      </w:r>
    </w:p>
    <w:p>
      <w:pPr>
        <w:pStyle w:val="Heading2"/>
      </w:pPr>
      <w:r>
        <w:t>1. Saleable production matters more than installed capacity</w:t>
      </w:r>
    </w:p>
    <w:p>
      <w:r>
        <w:t>A higher rated capacity does not automatically create a stronger project. The financial model should distinguish installed capacity from achievable and saleable production after considering operating days, plant availability, product yield, quality rejection, maintenance, product mix and market absorption.</w:t>
      </w:r>
    </w:p>
    <w:p>
      <w:r>
        <w:t>Illustration: a smaller plant operating at stable utilisation may support debt more reliably than a larger plant operating far below plan. The conclusion must be tested using the actual capital cost, contribution margin and debt structure; it should not be assumed from capacity alone.</w:t>
      </w:r>
    </w:p>
    <w:p>
      <w:pPr>
        <w:pStyle w:val="Heading2"/>
      </w:pPr>
      <w:r>
        <w:t>2. Utilities directly affect repayment capacity</w:t>
      </w:r>
    </w:p>
    <w:p>
      <w:r>
        <w:t>Steam, fuel, electricity, water and material-handling assumptions flow directly into operating cost and cash generation. A DPR should state the basis of each consumption estimate and test the effect of higher fuel or power cost. Boiler efficiency alone is not sufficient; steam utilisation, condensate return, heat losses, operating discipline and autoclave scheduling also matter.</w:t>
      </w:r>
    </w:p>
    <w:p>
      <w:pPr>
        <w:pStyle w:val="Heading2"/>
      </w:pPr>
      <w:r>
        <w:t>3. Working capital is separate from plant cost</w:t>
      </w:r>
    </w:p>
    <w:p>
      <w:r>
        <w:t>Working-capital need is influenced by raw-material holding, work in progress, finished-goods stock, customer credit, supplier credit, monthly operating expenses and the time required to collect sales proceeds. An AAC plant can be technically ready yet remain underutilised if adequate operating funds are not available during ramp-up.</w:t>
      </w:r>
    </w:p>
    <w:p>
      <w:pPr>
        <w:pStyle w:val="Heading1"/>
      </w:pPr>
      <w:r>
        <w:t>What a lender-ready AAC plant DPR should contain</w:t>
      </w:r>
    </w:p>
    <w:p>
      <w:pPr>
        <w:pStyle w:val="ListBullet"/>
        <w:spacing w:after="60"/>
        <w:ind w:left="360" w:hanging="202"/>
      </w:pPr>
      <w:r>
        <w:t>Promoter and business profile, ownership structure and relevant experience</w:t>
      </w:r>
    </w:p>
    <w:p>
      <w:pPr>
        <w:pStyle w:val="ListBullet"/>
        <w:spacing w:after="60"/>
        <w:ind w:left="360" w:hanging="202"/>
      </w:pPr>
      <w:r>
        <w:t>Site, land status, logistics access and required statutory approvals</w:t>
      </w:r>
    </w:p>
    <w:p>
      <w:pPr>
        <w:pStyle w:val="ListBullet"/>
        <w:spacing w:after="60"/>
        <w:ind w:left="360" w:hanging="202"/>
      </w:pPr>
      <w:r>
        <w:t>Regional demand, competition, selling-price basis and sales plan</w:t>
      </w:r>
    </w:p>
    <w:p>
      <w:pPr>
        <w:pStyle w:val="ListBullet"/>
        <w:spacing w:after="60"/>
        <w:ind w:left="360" w:hanging="202"/>
      </w:pPr>
      <w:r>
        <w:t>Selected capacity, product mix and expansion philosophy</w:t>
      </w:r>
    </w:p>
    <w:p>
      <w:pPr>
        <w:pStyle w:val="ListBullet"/>
        <w:spacing w:after="60"/>
        <w:ind w:left="360" w:hanging="202"/>
      </w:pPr>
      <w:r>
        <w:t>Process description, plant layout, machinery scope and supplier quotations</w:t>
      </w:r>
    </w:p>
    <w:p>
      <w:pPr>
        <w:pStyle w:val="ListBullet"/>
        <w:spacing w:after="60"/>
        <w:ind w:left="360" w:hanging="202"/>
      </w:pPr>
      <w:r>
        <w:t>Raw-material sources, specifications, delivered cost and supply risks</w:t>
      </w:r>
    </w:p>
    <w:p>
      <w:pPr>
        <w:pStyle w:val="ListBullet"/>
        <w:spacing w:after="60"/>
        <w:ind w:left="360" w:hanging="202"/>
      </w:pPr>
      <w:r>
        <w:t>Utilities, manpower, maintenance, quality and safety provisions</w:t>
      </w:r>
    </w:p>
    <w:p>
      <w:pPr>
        <w:pStyle w:val="ListBullet"/>
        <w:spacing w:after="60"/>
        <w:ind w:left="360" w:hanging="202"/>
      </w:pPr>
      <w:r>
        <w:t>Complete project cost, means of finance and implementation schedule</w:t>
      </w:r>
    </w:p>
    <w:p>
      <w:pPr>
        <w:pStyle w:val="ListBullet"/>
        <w:spacing w:after="60"/>
        <w:ind w:left="360" w:hanging="202"/>
      </w:pPr>
      <w:r>
        <w:t>Production ramp-up, operating-cost model and working-capital assessment</w:t>
      </w:r>
    </w:p>
    <w:p>
      <w:pPr>
        <w:pStyle w:val="ListBullet"/>
        <w:spacing w:after="60"/>
        <w:ind w:left="360" w:hanging="202"/>
      </w:pPr>
      <w:r>
        <w:t>Profit and loss, cash flow, balance sheet, break-even, DSCR and repayment plan</w:t>
      </w:r>
    </w:p>
    <w:p>
      <w:pPr>
        <w:pStyle w:val="ListBullet"/>
        <w:spacing w:after="60"/>
        <w:ind w:left="360" w:hanging="202"/>
      </w:pPr>
      <w:r>
        <w:t>Sensitivity analysis, key risks, mitigations and transparent assumptions</w:t>
      </w:r>
    </w:p>
    <w:p>
      <w:pPr>
        <w:pStyle w:val="Heading1"/>
      </w:pPr>
      <w:r>
        <w:t>Project costs commonly missed before loan submission</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0C4F80"/>
            <w:tcMar>
              <w:top w:w="90" w:type="dxa"/>
              <w:start w:w="120" w:type="dxa"/>
              <w:bottom w:w="90" w:type="dxa"/>
              <w:end w:w="120" w:type="dxa"/>
            </w:tcMar>
            <w:vAlign w:val="center"/>
          </w:tcPr>
          <w:p>
            <w:pPr>
              <w:spacing w:after="0"/>
            </w:pPr>
            <w:r>
              <w:rPr>
                <w:rFonts w:ascii="Arial" w:hAnsi="Arial"/>
                <w:b/>
                <w:color w:val="FFFFFF"/>
                <w:sz w:val="18"/>
              </w:rPr>
              <w:t>Cost head</w:t>
            </w:r>
          </w:p>
        </w:tc>
        <w:tc>
          <w:tcPr>
            <w:tcW w:type="dxa" w:w="7160"/>
            <w:shd w:fill="0C4F80"/>
            <w:tcMar>
              <w:top w:w="90" w:type="dxa"/>
              <w:start w:w="120" w:type="dxa"/>
              <w:bottom w:w="90" w:type="dxa"/>
              <w:end w:w="120" w:type="dxa"/>
            </w:tcMar>
            <w:vAlign w:val="center"/>
          </w:tcPr>
          <w:p>
            <w:pPr>
              <w:spacing w:after="0"/>
            </w:pPr>
            <w:r>
              <w:rPr>
                <w:rFonts w:ascii="Arial" w:hAnsi="Arial"/>
                <w:b/>
                <w:color w:val="FFFFFF"/>
                <w:sz w:val="18"/>
              </w:rPr>
              <w:t>What should be checked</w:t>
            </w:r>
          </w:p>
        </w:tc>
      </w:tr>
      <w:tr>
        <w:tc>
          <w:tcPr>
            <w:tcW w:type="dxa" w:w="2200"/>
            <w:tcMar>
              <w:top w:w="90" w:type="dxa"/>
              <w:start w:w="120" w:type="dxa"/>
              <w:bottom w:w="90" w:type="dxa"/>
              <w:end w:w="120" w:type="dxa"/>
            </w:tcMar>
            <w:vAlign w:val="center"/>
          </w:tcPr>
          <w:p>
            <w:pPr>
              <w:spacing w:after="0" w:line="252" w:lineRule="auto"/>
            </w:pPr>
            <w:r>
              <w:rPr>
                <w:rFonts w:ascii="Arial" w:hAnsi="Arial"/>
                <w:color w:val="0B1727"/>
                <w:sz w:val="18"/>
              </w:rPr>
              <w:t>Land and site</w:t>
            </w:r>
          </w:p>
        </w:tc>
        <w:tc>
          <w:tcPr>
            <w:tcW w:type="dxa" w:w="7160"/>
            <w:tcMar>
              <w:top w:w="90" w:type="dxa"/>
              <w:start w:w="120" w:type="dxa"/>
              <w:bottom w:w="90" w:type="dxa"/>
              <w:end w:w="120" w:type="dxa"/>
            </w:tcMar>
            <w:vAlign w:val="center"/>
          </w:tcPr>
          <w:p>
            <w:pPr>
              <w:spacing w:after="0" w:line="252" w:lineRule="auto"/>
            </w:pPr>
            <w:r>
              <w:rPr>
                <w:rFonts w:ascii="Arial" w:hAnsi="Arial"/>
                <w:color w:val="0B1727"/>
                <w:sz w:val="18"/>
              </w:rPr>
              <w:t>Purchase or lease terms, conversion, levelling, roads, drainage and boundary works</w:t>
            </w:r>
          </w:p>
        </w:tc>
      </w:tr>
      <w:tr>
        <w:tc>
          <w:tcPr>
            <w:tcW w:type="dxa" w:w="2200"/>
            <w:shd w:fill="F5F7F8"/>
            <w:tcMar>
              <w:top w:w="90" w:type="dxa"/>
              <w:start w:w="120" w:type="dxa"/>
              <w:bottom w:w="90" w:type="dxa"/>
              <w:end w:w="120" w:type="dxa"/>
            </w:tcMar>
            <w:vAlign w:val="center"/>
          </w:tcPr>
          <w:p>
            <w:pPr>
              <w:spacing w:after="0" w:line="252" w:lineRule="auto"/>
            </w:pPr>
            <w:r>
              <w:rPr>
                <w:rFonts w:ascii="Arial" w:hAnsi="Arial"/>
                <w:color w:val="0B1727"/>
                <w:sz w:val="18"/>
              </w:rPr>
              <w:t>Civil and buildings</w:t>
            </w:r>
          </w:p>
        </w:tc>
        <w:tc>
          <w:tcPr>
            <w:tcW w:type="dxa" w:w="7160"/>
            <w:shd w:fill="F5F7F8"/>
            <w:tcMar>
              <w:top w:w="90" w:type="dxa"/>
              <w:start w:w="120" w:type="dxa"/>
              <w:bottom w:w="90" w:type="dxa"/>
              <w:end w:w="120" w:type="dxa"/>
            </w:tcMar>
            <w:vAlign w:val="center"/>
          </w:tcPr>
          <w:p>
            <w:pPr>
              <w:spacing w:after="0" w:line="252" w:lineRule="auto"/>
            </w:pPr>
            <w:r>
              <w:rPr>
                <w:rFonts w:ascii="Arial" w:hAnsi="Arial"/>
                <w:color w:val="0B1727"/>
                <w:sz w:val="18"/>
              </w:rPr>
              <w:t>Foundations, production sheds, storage, laboratory, offices and statutory facilities</w:t>
            </w:r>
          </w:p>
        </w:tc>
      </w:tr>
      <w:tr>
        <w:tc>
          <w:tcPr>
            <w:tcW w:type="dxa" w:w="2200"/>
            <w:tcMar>
              <w:top w:w="90" w:type="dxa"/>
              <w:start w:w="120" w:type="dxa"/>
              <w:bottom w:w="90" w:type="dxa"/>
              <w:end w:w="120" w:type="dxa"/>
            </w:tcMar>
            <w:vAlign w:val="center"/>
          </w:tcPr>
          <w:p>
            <w:pPr>
              <w:spacing w:after="0" w:line="252" w:lineRule="auto"/>
            </w:pPr>
            <w:r>
              <w:rPr>
                <w:rFonts w:ascii="Arial" w:hAnsi="Arial"/>
                <w:color w:val="0B1727"/>
                <w:sz w:val="18"/>
              </w:rPr>
              <w:t>Plant and machinery</w:t>
            </w:r>
          </w:p>
        </w:tc>
        <w:tc>
          <w:tcPr>
            <w:tcW w:type="dxa" w:w="7160"/>
            <w:tcMar>
              <w:top w:w="90" w:type="dxa"/>
              <w:start w:w="120" w:type="dxa"/>
              <w:bottom w:w="90" w:type="dxa"/>
              <w:end w:w="120" w:type="dxa"/>
            </w:tcMar>
            <w:vAlign w:val="center"/>
          </w:tcPr>
          <w:p>
            <w:pPr>
              <w:spacing w:after="0" w:line="252" w:lineRule="auto"/>
            </w:pPr>
            <w:r>
              <w:rPr>
                <w:rFonts w:ascii="Arial" w:hAnsi="Arial"/>
                <w:color w:val="0B1727"/>
                <w:sz w:val="18"/>
              </w:rPr>
              <w:t>Main line, material handling, controls, safety systems, freight, taxes and exclusions</w:t>
            </w:r>
          </w:p>
        </w:tc>
      </w:tr>
      <w:tr>
        <w:tc>
          <w:tcPr>
            <w:tcW w:type="dxa" w:w="2200"/>
            <w:shd w:fill="F5F7F8"/>
            <w:tcMar>
              <w:top w:w="90" w:type="dxa"/>
              <w:start w:w="120" w:type="dxa"/>
              <w:bottom w:w="90" w:type="dxa"/>
              <w:end w:w="120" w:type="dxa"/>
            </w:tcMar>
            <w:vAlign w:val="center"/>
          </w:tcPr>
          <w:p>
            <w:pPr>
              <w:spacing w:after="0" w:line="252" w:lineRule="auto"/>
            </w:pPr>
            <w:r>
              <w:rPr>
                <w:rFonts w:ascii="Arial" w:hAnsi="Arial"/>
                <w:color w:val="0B1727"/>
                <w:sz w:val="18"/>
              </w:rPr>
              <w:t>Utilities and infrastructure</w:t>
            </w:r>
          </w:p>
        </w:tc>
        <w:tc>
          <w:tcPr>
            <w:tcW w:type="dxa" w:w="7160"/>
            <w:shd w:fill="F5F7F8"/>
            <w:tcMar>
              <w:top w:w="90" w:type="dxa"/>
              <w:start w:w="120" w:type="dxa"/>
              <w:bottom w:w="90" w:type="dxa"/>
              <w:end w:w="120" w:type="dxa"/>
            </w:tcMar>
            <w:vAlign w:val="center"/>
          </w:tcPr>
          <w:p>
            <w:pPr>
              <w:spacing w:after="0" w:line="252" w:lineRule="auto"/>
            </w:pPr>
            <w:r>
              <w:rPr>
                <w:rFonts w:ascii="Arial" w:hAnsi="Arial"/>
                <w:color w:val="0B1727"/>
                <w:sz w:val="18"/>
              </w:rPr>
              <w:t>Electrical system, water system, boiler and steam network, compressed air and backup provisions</w:t>
            </w:r>
          </w:p>
        </w:tc>
      </w:tr>
      <w:tr>
        <w:tc>
          <w:tcPr>
            <w:tcW w:type="dxa" w:w="2200"/>
            <w:tcMar>
              <w:top w:w="90" w:type="dxa"/>
              <w:start w:w="120" w:type="dxa"/>
              <w:bottom w:w="90" w:type="dxa"/>
              <w:end w:w="120" w:type="dxa"/>
            </w:tcMar>
            <w:vAlign w:val="center"/>
          </w:tcPr>
          <w:p>
            <w:pPr>
              <w:spacing w:after="0" w:line="252" w:lineRule="auto"/>
            </w:pPr>
            <w:r>
              <w:rPr>
                <w:rFonts w:ascii="Arial" w:hAnsi="Arial"/>
                <w:color w:val="0B1727"/>
                <w:sz w:val="18"/>
              </w:rPr>
              <w:t>Implementation</w:t>
            </w:r>
          </w:p>
        </w:tc>
        <w:tc>
          <w:tcPr>
            <w:tcW w:type="dxa" w:w="7160"/>
            <w:tcMar>
              <w:top w:w="90" w:type="dxa"/>
              <w:start w:w="120" w:type="dxa"/>
              <w:bottom w:w="90" w:type="dxa"/>
              <w:end w:w="120" w:type="dxa"/>
            </w:tcMar>
            <w:vAlign w:val="center"/>
          </w:tcPr>
          <w:p>
            <w:pPr>
              <w:spacing w:after="0" w:line="252" w:lineRule="auto"/>
            </w:pPr>
            <w:r>
              <w:rPr>
                <w:rFonts w:ascii="Arial" w:hAnsi="Arial"/>
                <w:color w:val="0B1727"/>
                <w:sz w:val="18"/>
              </w:rPr>
              <w:t>Erection, commissioning, testing, professional fees, travel, training and insurance</w:t>
            </w:r>
          </w:p>
        </w:tc>
      </w:tr>
      <w:tr>
        <w:tc>
          <w:tcPr>
            <w:tcW w:type="dxa" w:w="2200"/>
            <w:shd w:fill="F5F7F8"/>
            <w:tcMar>
              <w:top w:w="90" w:type="dxa"/>
              <w:start w:w="120" w:type="dxa"/>
              <w:bottom w:w="90" w:type="dxa"/>
              <w:end w:w="120" w:type="dxa"/>
            </w:tcMar>
            <w:vAlign w:val="center"/>
          </w:tcPr>
          <w:p>
            <w:pPr>
              <w:spacing w:after="0" w:line="252" w:lineRule="auto"/>
            </w:pPr>
            <w:r>
              <w:rPr>
                <w:rFonts w:ascii="Arial" w:hAnsi="Arial"/>
                <w:color w:val="0B1727"/>
                <w:sz w:val="18"/>
              </w:rPr>
              <w:t>Finance and contingency</w:t>
            </w:r>
          </w:p>
        </w:tc>
        <w:tc>
          <w:tcPr>
            <w:tcW w:type="dxa" w:w="7160"/>
            <w:shd w:fill="F5F7F8"/>
            <w:tcMar>
              <w:top w:w="90" w:type="dxa"/>
              <w:start w:w="120" w:type="dxa"/>
              <w:bottom w:w="90" w:type="dxa"/>
              <w:end w:w="120" w:type="dxa"/>
            </w:tcMar>
            <w:vAlign w:val="center"/>
          </w:tcPr>
          <w:p>
            <w:pPr>
              <w:spacing w:after="0" w:line="252" w:lineRule="auto"/>
            </w:pPr>
            <w:r>
              <w:rPr>
                <w:rFonts w:ascii="Arial" w:hAnsi="Arial"/>
                <w:color w:val="0B1727"/>
                <w:sz w:val="18"/>
              </w:rPr>
              <w:t>Pre-operative expenses, interest during construction, contingency and margin for working capital</w:t>
            </w:r>
          </w:p>
        </w:tc>
      </w:tr>
    </w:tbl>
    <w:p>
      <w:pPr>
        <w:spacing w:after="0"/>
      </w:pPr>
    </w:p>
    <w:p>
      <w:pPr>
        <w:pStyle w:val="Heading1"/>
      </w:pPr>
      <w:r>
        <w:t>Sensitivity tests every AAC project should run</w:t>
      </w:r>
    </w:p>
    <w:p>
      <w:r>
        <w:t>A single optimistic forecast is not enough. The project model should show whether repayment remains manageable when one or more assumptions move adversely.</w:t>
      </w:r>
    </w:p>
    <w:tbl>
      <w:tblPr>
        <w:tblStyle w:val="TableGrid"/>
        <w:tblW w:type="dxa" w:w="9360"/>
        <w:jc w:val="left"/>
        <w:tblLayout w:type="fixed"/>
        <w:tblLook w:firstColumn="1" w:firstRow="1" w:lastColumn="0" w:lastRow="0" w:noHBand="0" w:noVBand="1" w:val="04A0"/>
        <w:tblInd w:w="120" w:type="dxa"/>
      </w:tblPr>
      <w:tblGrid>
        <w:gridCol w:w="2250"/>
        <w:gridCol w:w="7110"/>
      </w:tblGrid>
      <w:tr>
        <w:tc>
          <w:tcPr>
            <w:tcW w:type="dxa" w:w="2250"/>
            <w:shd w:fill="0C4F80"/>
            <w:tcMar>
              <w:top w:w="90" w:type="dxa"/>
              <w:start w:w="120" w:type="dxa"/>
              <w:bottom w:w="90" w:type="dxa"/>
              <w:end w:w="120" w:type="dxa"/>
            </w:tcMar>
            <w:vAlign w:val="center"/>
          </w:tcPr>
          <w:p>
            <w:pPr>
              <w:spacing w:after="0"/>
            </w:pPr>
            <w:r>
              <w:rPr>
                <w:rFonts w:ascii="Arial" w:hAnsi="Arial"/>
                <w:b/>
                <w:color w:val="FFFFFF"/>
                <w:sz w:val="18"/>
              </w:rPr>
              <w:t>Variable to test</w:t>
            </w:r>
          </w:p>
        </w:tc>
        <w:tc>
          <w:tcPr>
            <w:tcW w:type="dxa" w:w="7110"/>
            <w:shd w:fill="0C4F80"/>
            <w:tcMar>
              <w:top w:w="90" w:type="dxa"/>
              <w:start w:w="120" w:type="dxa"/>
              <w:bottom w:w="90" w:type="dxa"/>
              <w:end w:w="120" w:type="dxa"/>
            </w:tcMar>
            <w:vAlign w:val="center"/>
          </w:tcPr>
          <w:p>
            <w:pPr>
              <w:spacing w:after="0"/>
            </w:pPr>
            <w:r>
              <w:rPr>
                <w:rFonts w:ascii="Arial" w:hAnsi="Arial"/>
                <w:b/>
                <w:color w:val="FFFFFF"/>
                <w:sz w:val="18"/>
              </w:rPr>
              <w:t>Question the model should answer</w:t>
            </w:r>
          </w:p>
        </w:tc>
      </w:tr>
      <w:tr>
        <w:tc>
          <w:tcPr>
            <w:tcW w:type="dxa" w:w="2250"/>
            <w:tcMar>
              <w:top w:w="90" w:type="dxa"/>
              <w:start w:w="120" w:type="dxa"/>
              <w:bottom w:w="90" w:type="dxa"/>
              <w:end w:w="120" w:type="dxa"/>
            </w:tcMar>
            <w:vAlign w:val="center"/>
          </w:tcPr>
          <w:p>
            <w:pPr>
              <w:spacing w:after="0" w:line="252" w:lineRule="auto"/>
            </w:pPr>
            <w:r>
              <w:rPr>
                <w:rFonts w:ascii="Arial" w:hAnsi="Arial"/>
                <w:color w:val="0B1727"/>
                <w:sz w:val="18"/>
              </w:rPr>
              <w:t>Capacity utilisation</w:t>
            </w:r>
          </w:p>
        </w:tc>
        <w:tc>
          <w:tcPr>
            <w:tcW w:type="dxa" w:w="7110"/>
            <w:tcMar>
              <w:top w:w="90" w:type="dxa"/>
              <w:start w:w="120" w:type="dxa"/>
              <w:bottom w:w="90" w:type="dxa"/>
              <w:end w:w="120" w:type="dxa"/>
            </w:tcMar>
            <w:vAlign w:val="center"/>
          </w:tcPr>
          <w:p>
            <w:pPr>
              <w:spacing w:after="0" w:line="252" w:lineRule="auto"/>
            </w:pPr>
            <w:r>
              <w:rPr>
                <w:rFonts w:ascii="Arial" w:hAnsi="Arial"/>
                <w:color w:val="0B1727"/>
                <w:sz w:val="18"/>
              </w:rPr>
              <w:t>What happens if sales and production ramp up more slowly than planned?</w:t>
            </w:r>
          </w:p>
        </w:tc>
      </w:tr>
      <w:tr>
        <w:tc>
          <w:tcPr>
            <w:tcW w:type="dxa" w:w="2250"/>
            <w:shd w:fill="F5F7F8"/>
            <w:tcMar>
              <w:top w:w="90" w:type="dxa"/>
              <w:start w:w="120" w:type="dxa"/>
              <w:bottom w:w="90" w:type="dxa"/>
              <w:end w:w="120" w:type="dxa"/>
            </w:tcMar>
            <w:vAlign w:val="center"/>
          </w:tcPr>
          <w:p>
            <w:pPr>
              <w:spacing w:after="0" w:line="252" w:lineRule="auto"/>
            </w:pPr>
            <w:r>
              <w:rPr>
                <w:rFonts w:ascii="Arial" w:hAnsi="Arial"/>
                <w:color w:val="0B1727"/>
                <w:sz w:val="18"/>
              </w:rPr>
              <w:t>Sales realisation</w:t>
            </w:r>
          </w:p>
        </w:tc>
        <w:tc>
          <w:tcPr>
            <w:tcW w:type="dxa" w:w="7110"/>
            <w:shd w:fill="F5F7F8"/>
            <w:tcMar>
              <w:top w:w="90" w:type="dxa"/>
              <w:start w:w="120" w:type="dxa"/>
              <w:bottom w:w="90" w:type="dxa"/>
              <w:end w:w="120" w:type="dxa"/>
            </w:tcMar>
            <w:vAlign w:val="center"/>
          </w:tcPr>
          <w:p>
            <w:pPr>
              <w:spacing w:after="0" w:line="252" w:lineRule="auto"/>
            </w:pPr>
            <w:r>
              <w:rPr>
                <w:rFonts w:ascii="Arial" w:hAnsi="Arial"/>
                <w:color w:val="0B1727"/>
                <w:sz w:val="18"/>
              </w:rPr>
              <w:t>Can the project service debt if market price falls or discounting increases?</w:t>
            </w:r>
          </w:p>
        </w:tc>
      </w:tr>
      <w:tr>
        <w:tc>
          <w:tcPr>
            <w:tcW w:type="dxa" w:w="2250"/>
            <w:tcMar>
              <w:top w:w="90" w:type="dxa"/>
              <w:start w:w="120" w:type="dxa"/>
              <w:bottom w:w="90" w:type="dxa"/>
              <w:end w:w="120" w:type="dxa"/>
            </w:tcMar>
            <w:vAlign w:val="center"/>
          </w:tcPr>
          <w:p>
            <w:pPr>
              <w:spacing w:after="0" w:line="252" w:lineRule="auto"/>
            </w:pPr>
            <w:r>
              <w:rPr>
                <w:rFonts w:ascii="Arial" w:hAnsi="Arial"/>
                <w:color w:val="0B1727"/>
                <w:sz w:val="18"/>
              </w:rPr>
              <w:t>Fuel and power</w:t>
            </w:r>
          </w:p>
        </w:tc>
        <w:tc>
          <w:tcPr>
            <w:tcW w:type="dxa" w:w="7110"/>
            <w:tcMar>
              <w:top w:w="90" w:type="dxa"/>
              <w:start w:w="120" w:type="dxa"/>
              <w:bottom w:w="90" w:type="dxa"/>
              <w:end w:w="120" w:type="dxa"/>
            </w:tcMar>
            <w:vAlign w:val="center"/>
          </w:tcPr>
          <w:p>
            <w:pPr>
              <w:spacing w:after="0" w:line="252" w:lineRule="auto"/>
            </w:pPr>
            <w:r>
              <w:rPr>
                <w:rFonts w:ascii="Arial" w:hAnsi="Arial"/>
                <w:color w:val="0B1727"/>
                <w:sz w:val="18"/>
              </w:rPr>
              <w:t>How does an energy-cost increase affect contribution and cash flow?</w:t>
            </w:r>
          </w:p>
        </w:tc>
      </w:tr>
      <w:tr>
        <w:tc>
          <w:tcPr>
            <w:tcW w:type="dxa" w:w="2250"/>
            <w:shd w:fill="F5F7F8"/>
            <w:tcMar>
              <w:top w:w="90" w:type="dxa"/>
              <w:start w:w="120" w:type="dxa"/>
              <w:bottom w:w="90" w:type="dxa"/>
              <w:end w:w="120" w:type="dxa"/>
            </w:tcMar>
            <w:vAlign w:val="center"/>
          </w:tcPr>
          <w:p>
            <w:pPr>
              <w:spacing w:after="0" w:line="252" w:lineRule="auto"/>
            </w:pPr>
            <w:r>
              <w:rPr>
                <w:rFonts w:ascii="Arial" w:hAnsi="Arial"/>
                <w:color w:val="0B1727"/>
                <w:sz w:val="18"/>
              </w:rPr>
              <w:t>Raw-material cost</w:t>
            </w:r>
          </w:p>
        </w:tc>
        <w:tc>
          <w:tcPr>
            <w:tcW w:type="dxa" w:w="7110"/>
            <w:shd w:fill="F5F7F8"/>
            <w:tcMar>
              <w:top w:w="90" w:type="dxa"/>
              <w:start w:w="120" w:type="dxa"/>
              <w:bottom w:w="90" w:type="dxa"/>
              <w:end w:w="120" w:type="dxa"/>
            </w:tcMar>
            <w:vAlign w:val="center"/>
          </w:tcPr>
          <w:p>
            <w:pPr>
              <w:spacing w:after="0" w:line="252" w:lineRule="auto"/>
            </w:pPr>
            <w:r>
              <w:rPr>
                <w:rFonts w:ascii="Arial" w:hAnsi="Arial"/>
                <w:color w:val="0B1727"/>
                <w:sz w:val="18"/>
              </w:rPr>
              <w:t>What is the impact of higher lime, cement, gypsum, aluminium or aggregate cost?</w:t>
            </w:r>
          </w:p>
        </w:tc>
      </w:tr>
      <w:tr>
        <w:tc>
          <w:tcPr>
            <w:tcW w:type="dxa" w:w="2250"/>
            <w:tcMar>
              <w:top w:w="90" w:type="dxa"/>
              <w:start w:w="120" w:type="dxa"/>
              <w:bottom w:w="90" w:type="dxa"/>
              <w:end w:w="120" w:type="dxa"/>
            </w:tcMar>
            <w:vAlign w:val="center"/>
          </w:tcPr>
          <w:p>
            <w:pPr>
              <w:spacing w:after="0" w:line="252" w:lineRule="auto"/>
            </w:pPr>
            <w:r>
              <w:rPr>
                <w:rFonts w:ascii="Arial" w:hAnsi="Arial"/>
                <w:color w:val="0B1727"/>
                <w:sz w:val="18"/>
              </w:rPr>
              <w:t>Receivable days</w:t>
            </w:r>
          </w:p>
        </w:tc>
        <w:tc>
          <w:tcPr>
            <w:tcW w:type="dxa" w:w="7110"/>
            <w:tcMar>
              <w:top w:w="90" w:type="dxa"/>
              <w:start w:w="120" w:type="dxa"/>
              <w:bottom w:w="90" w:type="dxa"/>
              <w:end w:w="120" w:type="dxa"/>
            </w:tcMar>
            <w:vAlign w:val="center"/>
          </w:tcPr>
          <w:p>
            <w:pPr>
              <w:spacing w:after="0" w:line="252" w:lineRule="auto"/>
            </w:pPr>
            <w:r>
              <w:rPr>
                <w:rFonts w:ascii="Arial" w:hAnsi="Arial"/>
                <w:color w:val="0B1727"/>
                <w:sz w:val="18"/>
              </w:rPr>
              <w:t>How much additional working capital is needed if customers pay later?</w:t>
            </w:r>
          </w:p>
        </w:tc>
      </w:tr>
      <w:tr>
        <w:tc>
          <w:tcPr>
            <w:tcW w:type="dxa" w:w="2250"/>
            <w:shd w:fill="F5F7F8"/>
            <w:tcMar>
              <w:top w:w="90" w:type="dxa"/>
              <w:start w:w="120" w:type="dxa"/>
              <w:bottom w:w="90" w:type="dxa"/>
              <w:end w:w="120" w:type="dxa"/>
            </w:tcMar>
            <w:vAlign w:val="center"/>
          </w:tcPr>
          <w:p>
            <w:pPr>
              <w:spacing w:after="0" w:line="252" w:lineRule="auto"/>
            </w:pPr>
            <w:r>
              <w:rPr>
                <w:rFonts w:ascii="Arial" w:hAnsi="Arial"/>
                <w:color w:val="0B1727"/>
                <w:sz w:val="18"/>
              </w:rPr>
              <w:t>Project delay</w:t>
            </w:r>
          </w:p>
        </w:tc>
        <w:tc>
          <w:tcPr>
            <w:tcW w:type="dxa" w:w="7110"/>
            <w:shd w:fill="F5F7F8"/>
            <w:tcMar>
              <w:top w:w="90" w:type="dxa"/>
              <w:start w:w="120" w:type="dxa"/>
              <w:bottom w:w="90" w:type="dxa"/>
              <w:end w:w="120" w:type="dxa"/>
            </w:tcMar>
            <w:vAlign w:val="center"/>
          </w:tcPr>
          <w:p>
            <w:pPr>
              <w:spacing w:after="0" w:line="252" w:lineRule="auto"/>
            </w:pPr>
            <w:r>
              <w:rPr>
                <w:rFonts w:ascii="Arial" w:hAnsi="Arial"/>
                <w:color w:val="0B1727"/>
                <w:sz w:val="18"/>
              </w:rPr>
              <w:t>What happens to interest during construction and the first repayment date?</w:t>
            </w:r>
          </w:p>
        </w:tc>
      </w:tr>
    </w:tbl>
    <w:p>
      <w:pPr>
        <w:spacing w:after="0"/>
      </w:pPr>
    </w:p>
    <w:p>
      <w:pPr>
        <w:pStyle w:val="Heading1"/>
      </w:pPr>
      <w:r>
        <w:t>From project idea to loan disbursement</w:t>
      </w:r>
    </w:p>
    <w:p>
      <w:pPr>
        <w:spacing w:after="100"/>
        <w:ind w:left="403" w:hanging="403"/>
      </w:pPr>
      <w:r>
        <w:rPr>
          <w:b/>
          <w:color w:val="0C4F80"/>
        </w:rPr>
        <w:t xml:space="preserve">Step 1 — Establish feasibility  </w:t>
      </w:r>
      <w:r>
        <w:t>Validate location, raw materials, demand, selling radius, product mix and a practical capacity range.</w:t>
      </w:r>
    </w:p>
    <w:p>
      <w:pPr>
        <w:spacing w:after="100"/>
        <w:ind w:left="403" w:hanging="403"/>
      </w:pPr>
      <w:r>
        <w:rPr>
          <w:b/>
          <w:color w:val="0C4F80"/>
        </w:rPr>
        <w:t xml:space="preserve">Step 2 — Freeze the technical concept  </w:t>
      </w:r>
      <w:r>
        <w:t>Define process, automation level, machinery scope, utilities, civil requirements, manpower and expansion provision.</w:t>
      </w:r>
    </w:p>
    <w:p>
      <w:pPr>
        <w:spacing w:after="100"/>
        <w:ind w:left="403" w:hanging="403"/>
      </w:pPr>
      <w:r>
        <w:rPr>
          <w:b/>
          <w:color w:val="0C4F80"/>
        </w:rPr>
        <w:t xml:space="preserve">Step 3 — Build the cost and operating model  </w:t>
      </w:r>
      <w:r>
        <w:t>Combine quotations with civil, infrastructure, implementation, financing and working-capital requirements.</w:t>
      </w:r>
    </w:p>
    <w:p>
      <w:pPr>
        <w:spacing w:after="100"/>
        <w:ind w:left="403" w:hanging="403"/>
      </w:pPr>
      <w:r>
        <w:rPr>
          <w:b/>
          <w:color w:val="0C4F80"/>
        </w:rPr>
        <w:t xml:space="preserve">Step 4 — Prepare the DPR and documents  </w:t>
      </w:r>
      <w:r>
        <w:t>Use traceable assumptions and supporting evidence. The financial schedules should be reviewed by the appropriate finance professional.</w:t>
      </w:r>
    </w:p>
    <w:p>
      <w:pPr>
        <w:spacing w:after="100"/>
        <w:ind w:left="403" w:hanging="403"/>
      </w:pPr>
      <w:r>
        <w:rPr>
          <w:b/>
          <w:color w:val="0C4F80"/>
        </w:rPr>
        <w:t xml:space="preserve">Step 5 — Submit for lender appraisal  </w:t>
      </w:r>
      <w:r>
        <w:t>Respond consistently to technical, market, security and financial queries. Any revised assumption should flow through the complete model.</w:t>
      </w:r>
    </w:p>
    <w:p>
      <w:pPr>
        <w:spacing w:after="100"/>
        <w:ind w:left="403" w:hanging="403"/>
      </w:pPr>
      <w:r>
        <w:rPr>
          <w:b/>
          <w:color w:val="0C4F80"/>
        </w:rPr>
        <w:t xml:space="preserve">Step 6 — Align sanction and execution  </w:t>
      </w:r>
      <w:r>
        <w:t>Review sanction conditions, promoter contribution, security creation, disbursement milestones and the implementation schedule before committing expenditure.</w:t>
      </w:r>
    </w:p>
    <w:p>
      <w:pPr>
        <w:pStyle w:val="Heading1"/>
      </w:pPr>
      <w:r>
        <w:t>Common reasons proposals face questions or delays</w:t>
      </w:r>
    </w:p>
    <w:p>
      <w:pPr>
        <w:pStyle w:val="ListBullet"/>
        <w:spacing w:after="60"/>
        <w:ind w:left="360" w:hanging="202"/>
      </w:pPr>
      <w:r>
        <w:t>Plant capacity is selected before validating regional demand and logistics.</w:t>
      </w:r>
    </w:p>
    <w:p>
      <w:pPr>
        <w:pStyle w:val="ListBullet"/>
        <w:spacing w:after="60"/>
        <w:ind w:left="360" w:hanging="202"/>
      </w:pPr>
      <w:r>
        <w:t>The machinery quotation is treated as the complete project cost.</w:t>
      </w:r>
    </w:p>
    <w:p>
      <w:pPr>
        <w:pStyle w:val="ListBullet"/>
        <w:spacing w:after="60"/>
        <w:ind w:left="360" w:hanging="202"/>
      </w:pPr>
      <w:r>
        <w:t>Full production is assumed immediately after commissioning.</w:t>
      </w:r>
    </w:p>
    <w:p>
      <w:pPr>
        <w:pStyle w:val="ListBullet"/>
        <w:spacing w:after="60"/>
        <w:ind w:left="360" w:hanging="202"/>
      </w:pPr>
      <w:r>
        <w:t>Selling price is used without customer or regional market evidence.</w:t>
      </w:r>
    </w:p>
    <w:p>
      <w:pPr>
        <w:pStyle w:val="ListBullet"/>
        <w:spacing w:after="60"/>
        <w:ind w:left="360" w:hanging="202"/>
      </w:pPr>
      <w:r>
        <w:t>Working capital and customer-credit periods are underestimated.</w:t>
      </w:r>
    </w:p>
    <w:p>
      <w:pPr>
        <w:pStyle w:val="ListBullet"/>
        <w:spacing w:after="60"/>
        <w:ind w:left="360" w:hanging="202"/>
      </w:pPr>
      <w:r>
        <w:t>Land, approvals, utilities or promoter contribution are not ready in time.</w:t>
      </w:r>
    </w:p>
    <w:p>
      <w:pPr>
        <w:pStyle w:val="ListBullet"/>
        <w:spacing w:after="60"/>
        <w:ind w:left="360" w:hanging="202"/>
      </w:pPr>
      <w:r>
        <w:t>Quotations, project cost and financial projections use inconsistent scopes.</w:t>
      </w:r>
    </w:p>
    <w:p>
      <w:pPr>
        <w:pStyle w:val="ListBullet"/>
        <w:spacing w:after="60"/>
        <w:ind w:left="360" w:hanging="202"/>
      </w:pPr>
      <w:r>
        <w:t>Subsidy or collateral-free finance is treated as certain before eligibility is confirmed.</w:t>
      </w:r>
    </w:p>
    <w:p>
      <w:pPr>
        <w:pStyle w:val="Heading1"/>
      </w:pPr>
      <w:r>
        <w:t>Government and institutional finance: verify before relying on it</w:t>
      </w:r>
    </w:p>
    <w:p>
      <w:r>
        <w:t>MSME and credit-guarantee programmes may be relevant to eligible borrowers, but they are not automatic entitlements. Scheme limits, fees, eligible activities, lender participation and security conditions change over time. For example, CGTMSE provides a guarantee to eligible member lending institutions; it does not itself sanction the borrower’s loan. Eligibility and coverage should be checked against current official documents at the time of application.</w:t>
      </w:r>
    </w:p>
    <w:p>
      <w:r>
        <w:rPr>
          <w:b/>
        </w:rPr>
        <w:t xml:space="preserve">Official references: </w:t>
      </w:r>
      <w:hyperlink r:id="rId11">
        <w:r>
          <w:rPr>
            <w:color w:val="0C4F80"/>
            <w:u w:val="single"/>
          </w:rPr>
          <w:t>Reserve Bank of India — MSME information</w:t>
        </w:r>
      </w:hyperlink>
      <w:r>
        <w:t xml:space="preserve">  |  </w:t>
      </w:r>
      <w:hyperlink r:id="rId12">
        <w:r>
          <w:rPr>
            <w:color w:val="0C4F80"/>
            <w:u w:val="single"/>
          </w:rPr>
          <w:t>SIDBI finance products</w:t>
        </w:r>
      </w:hyperlink>
      <w:r>
        <w:t xml:space="preserve">  |  </w:t>
      </w:r>
      <w:hyperlink r:id="rId13">
        <w:r>
          <w:rPr>
            <w:color w:val="0C4F80"/>
            <w:u w:val="single"/>
          </w:rPr>
          <w:t>CGTMSE</w:t>
        </w:r>
      </w:hyperlink>
      <w:r>
        <w:t xml:space="preserve">  |  </w:t>
      </w:r>
      <w:hyperlink r:id="rId14">
        <w:r>
          <w:rPr>
            <w:color w:val="0C4F80"/>
            <w:u w:val="single"/>
          </w:rPr>
          <w:t>Ministry of MSME</w:t>
        </w:r>
      </w:hyperlink>
    </w:p>
    <w:p>
      <w:pPr>
        <w:pStyle w:val="Heading1"/>
      </w:pPr>
      <w:r>
        <w:t>How Laxmi En-Fab can support the technical foundation</w:t>
      </w:r>
    </w:p>
    <w:p>
      <w:r>
        <w:t>Laxmi En-Fab’s role should begin with the engineering inputs that influence project cost and operating performance: suitable capacity, process configuration, machinery scope, utilities, layout, implementation planning and expansion provision. These inputs can support the promoter and appointed financial professionals in preparing a coherent project report and responding to technical appraisal questions.</w:t>
      </w:r>
    </w:p>
    <w:p>
      <w:r>
        <w:t>Financial projections, tax treatment, legal compliance, scheme eligibility and loan documentation should be prepared or reviewed by appropriately qualified professionals. The final credit decision remains with the bank or financial institution.</w:t>
      </w:r>
    </w:p>
    <w:p>
      <w:pPr>
        <w:pStyle w:val="Heading1"/>
      </w:pPr>
      <w:r>
        <w:t>Frequently asked questions</w:t>
      </w:r>
    </w:p>
    <w:p>
      <w:pPr>
        <w:pStyle w:val="Heading2"/>
      </w:pPr>
      <w:r>
        <w:t>Can a new AAC plant obtain bank finance?</w:t>
      </w:r>
    </w:p>
    <w:p>
      <w:r>
        <w:t>Potentially, yes. Approval depends on project viability, promoter profile, contribution, security, approvals, credit history and lender policy. No machinery supplier or consultant can guarantee sanction.</w:t>
      </w:r>
    </w:p>
    <w:p>
      <w:pPr>
        <w:pStyle w:val="Heading2"/>
      </w:pPr>
      <w:r>
        <w:t>How much promoter contribution is required?</w:t>
      </w:r>
    </w:p>
    <w:p>
      <w:r>
        <w:t>There is no universal percentage for every AAC project. The lender determines the margin after assessing the project, borrower and proposed security.</w:t>
      </w:r>
    </w:p>
    <w:p>
      <w:pPr>
        <w:pStyle w:val="Heading2"/>
      </w:pPr>
      <w:r>
        <w:t>Is working capital included in the term loan?</w:t>
      </w:r>
    </w:p>
    <w:p>
      <w:r>
        <w:t>Usually it is assessed separately, even where facilities are processed together. The sanction structure and documentation depend on the lender.</w:t>
      </w:r>
    </w:p>
    <w:p>
      <w:pPr>
        <w:pStyle w:val="Heading2"/>
      </w:pPr>
      <w:r>
        <w:t>Can CGTMSE make the project collateral-free?</w:t>
      </w:r>
    </w:p>
    <w:p>
      <w:r>
        <w:t>CGTMSE may provide guarantee cover for eligible credit facilities through member lenders, subject to the current scheme. It is not an automatic approval or universal waiver of all security requirements.</w:t>
      </w:r>
    </w:p>
    <w:p>
      <w:pPr>
        <w:pStyle w:val="Heading2"/>
      </w:pPr>
      <w:r>
        <w:t>Does a DPR guarantee loan approval?</w:t>
      </w:r>
    </w:p>
    <w:p>
      <w:r>
        <w:t>No. A DPR helps the lender appraise the proposal, but sanction and disbursement remain subject to independent credit assessment and fulfilment of conditions.</w:t>
      </w:r>
    </w:p>
    <w:p>
      <w:pPr>
        <w:pStyle w:val="Heading2"/>
      </w:pPr>
      <w:r>
        <w:t>Should the plant be designed for future expansion?</w:t>
      </w:r>
    </w:p>
    <w:p>
      <w:r>
        <w:t>Where market demand and land permit, expansion-ready planning can reduce later disruption. The first phase should still be financially viable without relying on unconfirmed future growth.</w:t>
      </w:r>
    </w:p>
    <w:p>
      <w:pPr>
        <w:pStyle w:val="Heading1"/>
      </w:pPr>
      <w:r>
        <w:t>Prepare the project before approaching the bank</w:t>
      </w:r>
    </w:p>
    <w:p>
      <w:r>
        <w:t>Begin with an evidence-based capacity and project assumption sheet. A clear technical scope, realistic ramp-up plan and complete working-capital estimate allow the lender—and the investor—to evaluate the project on the same basis.</w:t>
      </w:r>
    </w:p>
    <w:p>
      <w:pPr>
        <w:spacing w:before="160" w:after="40"/>
      </w:pPr>
      <w:r>
        <w:rPr>
          <w:b/>
          <w:color w:val="0C4F80"/>
          <w:sz w:val="24"/>
        </w:rPr>
        <w:t>PRIMARY CTA  —  Request an AAC Project Finance-Readiness Discussion</w:t>
      </w:r>
    </w:p>
    <w:p>
      <w:r>
        <w:t>Share your proposed location, project stage, land status, raw-material basis and intended capacity. The first discussion should identify the technical inputs required before DPR preparation or lender submission.</w:t>
      </w:r>
    </w:p>
    <w:p>
      <w:r>
        <w:rPr>
          <w:b/>
          <w:color w:val="0B1727"/>
        </w:rPr>
        <w:t>SECONDARY CTA  —  Download the AAC Plant DPR Checklist</w:t>
      </w:r>
    </w:p>
    <w:p>
      <w:pPr>
        <w:pStyle w:val="Heading1"/>
      </w:pPr>
      <w:r>
        <w:t>Publication notes for the website team</w:t>
      </w:r>
    </w:p>
    <w:p>
      <w:r>
        <w:t>Recommended author line: Written by [Name, designation] and technically reviewed by [Name, designation]. Add a qualified financial reviewer only if that person has actually reviewed the content. Display publication and last-updated dates. Link every scheme statement to its current official source.</w:t>
      </w:r>
    </w:p>
    <w:p>
      <w:r>
        <w:t>Important disclaimer: This page provides general technical and commercial information. It is not financial, legal or tax advice and does not constitute an offer, commitment or guarantee of loan sanction, subsidy, credit-guarantee coverage or disbursement. Terms are determined by the relevant lender and authorities.</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66675"/>
        <w:sz w:val="16"/>
      </w:rPr>
      <w:t>Engineering-led guidance for informed AAC plant investment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66675"/>
        <w:sz w:val="16"/>
      </w:rPr>
      <w:t>LAXMI EN-FAB PVT. LTD.  |  AAC INVESTOR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B1727"/>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C4F8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C4F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B17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283" w:lineRule="auto"/>
    </w:pPr>
    <w:rPr>
      <w:rFonts w:ascii="Arial" w:hAnsi="Arial"/>
      <w:color w:val="0B1727"/>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bi.org.in/commonman/english/scripts/FAQs.aspx?Id=966" TargetMode="External"/><Relationship Id="rId12" Type="http://schemas.openxmlformats.org/officeDocument/2006/relationships/hyperlink" Target="https://www.sidbi.in/home-product" TargetMode="External"/><Relationship Id="rId13" Type="http://schemas.openxmlformats.org/officeDocument/2006/relationships/hyperlink" Target="https://www.cgtmse.in/" TargetMode="External"/><Relationship Id="rId14" Type="http://schemas.openxmlformats.org/officeDocument/2006/relationships/hyperlink" Target="https://ms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Plant Project Finance and Bank Loan Guide for India</dc:title>
  <dc:subject>Publication-ready webpage content for Laxmi En-Fab Pvt. Ltd.</dc:subject>
  <dc:creator>Laxmi En-Fab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