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widowControl/>
      </w:pPr>
      <w:r>
        <w:t>SEO PACKAGE</w:t>
      </w:r>
    </w:p>
    <w:tbl>
      <w:tblPr>
        <w:tblW w:type="dxa" w:w="9792"/>
        <w:jc w:val="center"/>
        <w:tblLayout w:type="fixed"/>
        <w:tblLook w:firstColumn="1" w:firstRow="1" w:lastColumn="0" w:lastRow="0" w:noHBand="0" w:noVBand="1" w:val="04A0"/>
        <w:tblBorders>
          <w:top w:val="single" w:sz="5" w:color="D8E0E6"/>
          <w:left w:val="single" w:sz="5" w:color="D8E0E6"/>
          <w:bottom w:val="single" w:sz="5" w:color="D8E0E6"/>
          <w:right w:val="single" w:sz="5" w:color="D8E0E6"/>
          <w:insideH w:val="single" w:sz="5" w:color="D8E0E6"/>
          <w:insideV w:val="single" w:sz="5" w:color="D8E0E6"/>
        </w:tblBorders>
      </w:tblPr>
      <w:tblGrid>
        <w:gridCol w:w="2200"/>
        <w:gridCol w:w="7592"/>
      </w:tblGrid>
      <w:tr>
        <w:tc>
          <w:tcPr>
            <w:tcW w:type="dxa" w:w="2200"/>
            <w:shd w:fill="EEF2F5"/>
            <w:tcMar>
              <w:top w:w="90" w:type="dxa"/>
              <w:start w:w="120" w:type="dxa"/>
              <w:bottom w:w="90" w:type="dxa"/>
              <w:end w:w="120" w:type="dxa"/>
            </w:tcMar>
            <w:vAlign w:val="center"/>
          </w:tcPr>
          <w:p>
            <w:r>
              <w:rPr>
                <w:b/>
              </w:rPr>
              <w:t>SEO title</w:t>
            </w:r>
          </w:p>
        </w:tc>
        <w:tc>
          <w:tcPr>
            <w:tcW w:type="dxa" w:w="7592"/>
            <w:tcMar>
              <w:top w:w="90" w:type="dxa"/>
              <w:start w:w="120" w:type="dxa"/>
              <w:bottom w:w="90" w:type="dxa"/>
              <w:end w:w="120" w:type="dxa"/>
            </w:tcMar>
            <w:vAlign w:val="center"/>
          </w:tcPr>
          <w:p>
            <w:r>
              <w:t>Reduce Steam Cost in AAC Plants: Practical Guide</w:t>
            </w:r>
          </w:p>
        </w:tc>
      </w:tr>
      <w:tr>
        <w:tc>
          <w:tcPr>
            <w:tcW w:type="dxa" w:w="2200"/>
            <w:shd w:fill="EEF2F5"/>
            <w:tcMar>
              <w:top w:w="90" w:type="dxa"/>
              <w:start w:w="120" w:type="dxa"/>
              <w:bottom w:w="90" w:type="dxa"/>
              <w:end w:w="120" w:type="dxa"/>
            </w:tcMar>
            <w:vAlign w:val="center"/>
          </w:tcPr>
          <w:p>
            <w:r>
              <w:rPr>
                <w:b/>
              </w:rPr>
              <w:t>Meta description</w:t>
            </w:r>
          </w:p>
        </w:tc>
        <w:tc>
          <w:tcPr>
            <w:tcW w:type="dxa" w:w="7592"/>
            <w:tcMar>
              <w:top w:w="90" w:type="dxa"/>
              <w:start w:w="120" w:type="dxa"/>
              <w:bottom w:w="90" w:type="dxa"/>
              <w:end w:w="120" w:type="dxa"/>
            </w:tcMar>
            <w:vAlign w:val="center"/>
          </w:tcPr>
          <w:p>
            <w:r>
              <w:t>Learn how to measure and reduce AAC plant steam cost through boiler efficiency, autoclave loading, cycle control, heat recovery and loss audits.</w:t>
            </w:r>
          </w:p>
        </w:tc>
      </w:tr>
      <w:tr>
        <w:tc>
          <w:tcPr>
            <w:tcW w:type="dxa" w:w="2200"/>
            <w:shd w:fill="EEF2F5"/>
            <w:tcMar>
              <w:top w:w="90" w:type="dxa"/>
              <w:start w:w="120" w:type="dxa"/>
              <w:bottom w:w="90" w:type="dxa"/>
              <w:end w:w="120" w:type="dxa"/>
            </w:tcMar>
            <w:vAlign w:val="center"/>
          </w:tcPr>
          <w:p>
            <w:r>
              <w:rPr>
                <w:b/>
              </w:rPr>
              <w:t>Suggested URL</w:t>
            </w:r>
          </w:p>
        </w:tc>
        <w:tc>
          <w:tcPr>
            <w:tcW w:type="dxa" w:w="7592"/>
            <w:tcMar>
              <w:top w:w="90" w:type="dxa"/>
              <w:start w:w="120" w:type="dxa"/>
              <w:bottom w:w="90" w:type="dxa"/>
              <w:end w:w="120" w:type="dxa"/>
            </w:tcMar>
            <w:vAlign w:val="center"/>
          </w:tcPr>
          <w:p>
            <w:r>
              <w:t>/reduce-steam-cost-aac-plant/</w:t>
            </w:r>
          </w:p>
        </w:tc>
      </w:tr>
      <w:tr>
        <w:tc>
          <w:tcPr>
            <w:tcW w:type="dxa" w:w="2200"/>
            <w:shd w:fill="EEF2F5"/>
            <w:tcMar>
              <w:top w:w="90" w:type="dxa"/>
              <w:start w:w="120" w:type="dxa"/>
              <w:bottom w:w="90" w:type="dxa"/>
              <w:end w:w="120" w:type="dxa"/>
            </w:tcMar>
            <w:vAlign w:val="center"/>
          </w:tcPr>
          <w:p>
            <w:r>
              <w:rPr>
                <w:b/>
              </w:rPr>
              <w:t>Primary CTA</w:t>
            </w:r>
          </w:p>
        </w:tc>
        <w:tc>
          <w:tcPr>
            <w:tcW w:type="dxa" w:w="7592"/>
            <w:tcMar>
              <w:top w:w="90" w:type="dxa"/>
              <w:start w:w="120" w:type="dxa"/>
              <w:bottom w:w="90" w:type="dxa"/>
              <w:end w:w="120" w:type="dxa"/>
            </w:tcMar>
            <w:vAlign w:val="center"/>
          </w:tcPr>
          <w:p>
            <w:r>
              <w:t>Request an AAC Steam-Cost Assessment</w:t>
            </w:r>
          </w:p>
        </w:tc>
      </w:tr>
    </w:tbl>
    <w:p>
      <w:pPr>
        <w:widowControl/>
      </w:pPr>
    </w:p>
    <w:p>
      <w:pPr>
        <w:pStyle w:val="Kicker"/>
        <w:widowControl/>
      </w:pPr>
      <w:r>
        <w:t>TECHNICAL GUIDE FOR EXISTING AAC PLANTS</w:t>
      </w:r>
    </w:p>
    <w:p>
      <w:pPr>
        <w:widowControl/>
        <w:spacing w:after="120"/>
      </w:pPr>
      <w:r>
        <w:rPr>
          <w:rFonts w:ascii="Arial" w:hAnsi="Arial"/>
          <w:b/>
          <w:color w:val="0B1727"/>
          <w:sz w:val="54"/>
        </w:rPr>
        <w:t>How to Reduce Steam Cost in an AAC Plant</w:t>
      </w:r>
    </w:p>
    <w:p>
      <w:pPr>
        <w:widowControl/>
        <w:spacing w:after="200"/>
      </w:pPr>
      <w:r>
        <w:rPr>
          <w:color w:val="104F7D"/>
          <w:sz w:val="26"/>
        </w:rPr>
        <w:t>Improve steam generation and steam utilisation—not one in isolation.</w:t>
      </w:r>
    </w:p>
    <w:p>
      <w:pPr>
        <w:widowControl/>
      </w:pPr>
      <w:r>
        <w:rPr>
          <w:b w:val="0"/>
          <w:color w:val="0B1727"/>
          <w:sz w:val="22"/>
        </w:rPr>
        <w:t>Reducing steam cost in an AAC plant requires two separate improvements: lowering the cost of generating each kilogram of steam and lowering the kilograms of steam used per cubic metre of saleable AAC. Measuring both figures independently helps determine whether the priority lies in the boiler, steam distribution, autoclave operation, production scheduling or process control.</w:t>
      </w:r>
    </w:p>
    <w:tbl>
      <w:tblPr>
        <w:tblW w:type="dxa" w:w="9792"/>
        <w:jc w:val="center"/>
        <w:tblLayout w:type="fixed"/>
        <w:tblLook w:firstColumn="1" w:firstRow="1" w:lastColumn="0" w:lastRow="0" w:noHBand="0" w:noVBand="1" w:val="04A0"/>
        <w:tblBorders>
          <w:top w:val="single" w:sz="5" w:color="D8E0E6"/>
          <w:left w:val="single" w:sz="5" w:color="D8E0E6"/>
          <w:bottom w:val="single" w:sz="5" w:color="D8E0E6"/>
          <w:right w:val="single" w:sz="5" w:color="D8E0E6"/>
          <w:insideH w:val="single" w:sz="5" w:color="D8E0E6"/>
          <w:insideV w:val="single" w:sz="5" w:color="D8E0E6"/>
        </w:tblBorders>
      </w:tblPr>
      <w:tblGrid>
        <w:gridCol w:w="9792"/>
      </w:tblGrid>
      <w:tr>
        <w:tc>
          <w:tcPr>
            <w:tcW w:type="dxa" w:w="9792"/>
            <w:tcMar>
              <w:top w:w="90" w:type="dxa"/>
              <w:start w:w="120" w:type="dxa"/>
              <w:bottom w:w="90" w:type="dxa"/>
              <w:end w:w="120" w:type="dxa"/>
            </w:tcMar>
            <w:vAlign w:val="center"/>
            <w:shd w:fill="EEF2F5"/>
          </w:tcPr>
          <w:p>
            <w:pPr>
              <w:spacing w:after="0"/>
            </w:pPr>
            <w:r>
              <w:rPr>
                <w:b/>
                <w:color w:val="0C4F80"/>
              </w:rPr>
              <w:t xml:space="preserve">DIRECT ANSWER  </w:t>
            </w:r>
            <w:r>
              <w:t>An efficient boiler alone cannot guarantee a low steam cost per m³. The complete system—from fuel and feedwater to autoclave loading, cycle control, exhaust-steam management and saleable output—must be assessed as one operating chain.</w:t>
            </w:r>
          </w:p>
        </w:tc>
      </w:tr>
    </w:tbl>
    <w:p>
      <w:pPr>
        <w:pStyle w:val="Heading1"/>
        <w:widowControl/>
      </w:pPr>
      <w:r>
        <w:t>The Two Numbers That Determine Steam Cost</w:t>
      </w:r>
    </w:p>
    <w:p>
      <w:pPr>
        <w:widowControl/>
        <w:spacing w:after="160"/>
        <w:jc w:val="center"/>
      </w:pPr>
      <w:r>
        <w:rPr>
          <w:b/>
          <w:color w:val="0C4F80"/>
          <w:sz w:val="24"/>
        </w:rPr>
        <w:t>Steam cost per m³ of saleable AAC = steam-generation cost (₹/kg) × specific steam consumption (kg/m³)</w:t>
      </w:r>
    </w:p>
    <w:tbl>
      <w:tblPr>
        <w:tblW w:type="dxa" w:w="9792"/>
        <w:jc w:val="center"/>
        <w:tblLayout w:type="fixed"/>
        <w:tblLook w:firstColumn="1" w:firstRow="1" w:lastColumn="0" w:lastRow="0" w:noHBand="0" w:noVBand="1" w:val="04A0"/>
        <w:tblBorders>
          <w:top w:val="single" w:sz="5" w:color="D8E0E6"/>
          <w:left w:val="single" w:sz="5" w:color="D8E0E6"/>
          <w:bottom w:val="single" w:sz="5" w:color="D8E0E6"/>
          <w:right w:val="single" w:sz="5" w:color="D8E0E6"/>
          <w:insideH w:val="single" w:sz="5" w:color="D8E0E6"/>
          <w:insideV w:val="single" w:sz="5" w:color="D8E0E6"/>
        </w:tblBorders>
      </w:tblPr>
      <w:tblGrid>
        <w:gridCol w:w="2300"/>
        <w:gridCol w:w="3492"/>
        <w:gridCol w:w="4000"/>
      </w:tblGrid>
      <w:tr>
        <w:trPr>
          <w:tblHeader w:val="true"/>
        </w:trPr>
        <w:tc>
          <w:tcPr>
            <w:tcW w:type="dxa" w:w="2300"/>
            <w:shd w:fill="0B1727"/>
            <w:tcMar>
              <w:top w:w="90" w:type="dxa"/>
              <w:start w:w="120" w:type="dxa"/>
              <w:bottom w:w="90" w:type="dxa"/>
              <w:end w:w="120" w:type="dxa"/>
            </w:tcMar>
            <w:vAlign w:val="center"/>
          </w:tcPr>
          <w:p>
            <w:r>
              <w:rPr>
                <w:b/>
                <w:color w:val="FFFFFF"/>
              </w:rPr>
              <w:t>Measure</w:t>
            </w:r>
          </w:p>
        </w:tc>
        <w:tc>
          <w:tcPr>
            <w:tcW w:type="dxa" w:w="3492"/>
            <w:shd w:fill="0B1727"/>
            <w:tcMar>
              <w:top w:w="90" w:type="dxa"/>
              <w:start w:w="120" w:type="dxa"/>
              <w:bottom w:w="90" w:type="dxa"/>
              <w:end w:w="120" w:type="dxa"/>
            </w:tcMar>
            <w:vAlign w:val="center"/>
          </w:tcPr>
          <w:p>
            <w:r>
              <w:rPr>
                <w:b/>
                <w:color w:val="FFFFFF"/>
              </w:rPr>
              <w:t>What it reveals</w:t>
            </w:r>
          </w:p>
        </w:tc>
        <w:tc>
          <w:tcPr>
            <w:tcW w:type="dxa" w:w="4000"/>
            <w:shd w:fill="0B1727"/>
            <w:tcMar>
              <w:top w:w="90" w:type="dxa"/>
              <w:start w:w="120" w:type="dxa"/>
              <w:bottom w:w="90" w:type="dxa"/>
              <w:end w:w="120" w:type="dxa"/>
            </w:tcMar>
            <w:vAlign w:val="center"/>
          </w:tcPr>
          <w:p>
            <w:r>
              <w:rPr>
                <w:b/>
                <w:color w:val="FFFFFF"/>
              </w:rPr>
              <w:t>Typical evidence required</w:t>
            </w:r>
          </w:p>
        </w:tc>
      </w:tr>
      <w:tr>
        <w:tc>
          <w:tcPr>
            <w:tcW w:type="dxa" w:w="2300"/>
            <w:tcMar>
              <w:top w:w="90" w:type="dxa"/>
              <w:start w:w="120" w:type="dxa"/>
              <w:bottom w:w="90" w:type="dxa"/>
              <w:end w:w="120" w:type="dxa"/>
            </w:tcMar>
            <w:vAlign w:val="center"/>
          </w:tcPr>
          <w:p>
            <w:r>
              <w:t>Steam-generation cost</w:t>
            </w:r>
          </w:p>
        </w:tc>
        <w:tc>
          <w:tcPr>
            <w:tcW w:type="dxa" w:w="3492"/>
            <w:tcMar>
              <w:top w:w="90" w:type="dxa"/>
              <w:start w:w="120" w:type="dxa"/>
              <w:bottom w:w="90" w:type="dxa"/>
              <w:end w:w="120" w:type="dxa"/>
            </w:tcMar>
            <w:vAlign w:val="center"/>
          </w:tcPr>
          <w:p>
            <w:r>
              <w:t>How economically the boiler converts fuel and feedwater into usable steam</w:t>
            </w:r>
          </w:p>
        </w:tc>
        <w:tc>
          <w:tcPr>
            <w:tcW w:type="dxa" w:w="4000"/>
            <w:tcMar>
              <w:top w:w="90" w:type="dxa"/>
              <w:start w:w="120" w:type="dxa"/>
              <w:bottom w:w="90" w:type="dxa"/>
              <w:end w:w="120" w:type="dxa"/>
            </w:tcMar>
            <w:vAlign w:val="center"/>
          </w:tcPr>
          <w:p>
            <w:r>
              <w:t>Fuel quantity and cost, fuel quality, feedwater, steam output and boiler test data</w:t>
            </w:r>
          </w:p>
        </w:tc>
      </w:tr>
      <w:tr>
        <w:tc>
          <w:tcPr>
            <w:tcW w:type="dxa" w:w="2300"/>
            <w:tcMar>
              <w:top w:w="90" w:type="dxa"/>
              <w:start w:w="120" w:type="dxa"/>
              <w:bottom w:w="90" w:type="dxa"/>
              <w:end w:w="120" w:type="dxa"/>
            </w:tcMar>
            <w:vAlign w:val="center"/>
          </w:tcPr>
          <w:p>
            <w:r>
              <w:t>Specific steam consumption</w:t>
            </w:r>
          </w:p>
        </w:tc>
        <w:tc>
          <w:tcPr>
            <w:tcW w:type="dxa" w:w="3492"/>
            <w:tcMar>
              <w:top w:w="90" w:type="dxa"/>
              <w:start w:w="120" w:type="dxa"/>
              <w:bottom w:w="90" w:type="dxa"/>
              <w:end w:w="120" w:type="dxa"/>
            </w:tcMar>
            <w:vAlign w:val="center"/>
          </w:tcPr>
          <w:p>
            <w:r>
              <w:t>How much steam the plant uses for each m³ of saleable AAC</w:t>
            </w:r>
          </w:p>
        </w:tc>
        <w:tc>
          <w:tcPr>
            <w:tcW w:type="dxa" w:w="4000"/>
            <w:tcMar>
              <w:top w:w="90" w:type="dxa"/>
              <w:start w:w="120" w:type="dxa"/>
              <w:bottom w:w="90" w:type="dxa"/>
              <w:end w:w="120" w:type="dxa"/>
            </w:tcMar>
            <w:vAlign w:val="center"/>
          </w:tcPr>
          <w:p>
            <w:r>
              <w:t>Steam flow, autoclave cycle trends, loading records and accepted production</w:t>
            </w:r>
          </w:p>
        </w:tc>
      </w:tr>
      <w:tr>
        <w:tc>
          <w:tcPr>
            <w:tcW w:type="dxa" w:w="2300"/>
            <w:tcMar>
              <w:top w:w="90" w:type="dxa"/>
              <w:start w:w="120" w:type="dxa"/>
              <w:bottom w:w="90" w:type="dxa"/>
              <w:end w:w="120" w:type="dxa"/>
            </w:tcMar>
            <w:vAlign w:val="center"/>
          </w:tcPr>
          <w:p>
            <w:r>
              <w:t>Total steam cost</w:t>
            </w:r>
          </w:p>
        </w:tc>
        <w:tc>
          <w:tcPr>
            <w:tcW w:type="dxa" w:w="3492"/>
            <w:tcMar>
              <w:top w:w="90" w:type="dxa"/>
              <w:start w:w="120" w:type="dxa"/>
              <w:bottom w:w="90" w:type="dxa"/>
              <w:end w:w="120" w:type="dxa"/>
            </w:tcMar>
            <w:vAlign w:val="center"/>
          </w:tcPr>
          <w:p>
            <w:r>
              <w:t>The financial impact of both efficiencies together</w:t>
            </w:r>
          </w:p>
        </w:tc>
        <w:tc>
          <w:tcPr>
            <w:tcW w:type="dxa" w:w="4000"/>
            <w:tcMar>
              <w:top w:w="90" w:type="dxa"/>
              <w:start w:w="120" w:type="dxa"/>
              <w:bottom w:w="90" w:type="dxa"/>
              <w:end w:w="120" w:type="dxa"/>
            </w:tcMar>
            <w:vAlign w:val="center"/>
          </w:tcPr>
          <w:p>
            <w:r>
              <w:t>A consistent measurement period and clearly defined accounting boundary</w:t>
            </w:r>
          </w:p>
        </w:tc>
      </w:tr>
    </w:tbl>
    <w:p>
      <w:pPr>
        <w:widowControl/>
        <w:spacing w:before="100"/>
      </w:pPr>
      <w:r>
        <w:rPr>
          <w:b/>
        </w:rPr>
        <w:t xml:space="preserve">Measurement note: </w:t>
      </w:r>
      <w:r>
        <w:t>Use one consistent production basis. Saleable output is usually more commercially meaningful than cast volume because rejected or downgraded production still consumes steam. The final calculation boundary should be approved by the plant’s technical and finance teams.</w:t>
      </w:r>
    </w:p>
    <w:p>
      <w:pPr>
        <w:pStyle w:val="Heading1"/>
        <w:widowControl/>
      </w:pPr>
      <w:r>
        <w:t>Where Steam Cost Is Commonly Lost</w:t>
      </w:r>
    </w:p>
    <w:p>
      <w:pPr>
        <w:pStyle w:val="Heading2"/>
        <w:widowControl/>
      </w:pPr>
      <w:r>
        <w:t>1. Steam generation</w:t>
      </w:r>
    </w:p>
    <w:p>
      <w:pPr>
        <w:widowControl/>
      </w:pPr>
      <w:r>
        <w:rPr>
          <w:b w:val="0"/>
          <w:color w:val="0B1727"/>
        </w:rPr>
        <w:t>Boiler-side cost is influenced by actual load, fuel quality and moisture, combustion control, heat-transfer condition, feedwater temperature and quality, blowdown, flue-gas heat recovery and maintenance. A boiler should be evaluated against the plant’s real demand pattern—not selected only from a fixed tonnes-per-hour assumption.</w:t>
      </w:r>
    </w:p>
    <w:p>
      <w:pPr>
        <w:pStyle w:val="Heading2"/>
        <w:widowControl/>
      </w:pPr>
      <w:r>
        <w:t>2. Steam distribution</w:t>
      </w:r>
    </w:p>
    <w:p>
      <w:pPr>
        <w:widowControl/>
      </w:pPr>
      <w:r>
        <w:rPr>
          <w:b w:val="0"/>
          <w:color w:val="0B1727"/>
        </w:rPr>
        <w:t>Leaks at valves, flanges and fittings; failed steam traps; unsuitable pressure drops; damaged insulation; and poor condensate handling can consume fuel without contributing to AAC curing. The survey should cover the complete route from the boiler header to every autoclave connection and return line.</w:t>
      </w:r>
    </w:p>
    <w:p>
      <w:pPr>
        <w:pStyle w:val="Heading2"/>
        <w:widowControl/>
      </w:pPr>
      <w:r>
        <w:t>3. Autoclave loading and scheduling</w:t>
      </w:r>
    </w:p>
    <w:p>
      <w:pPr>
        <w:widowControl/>
      </w:pPr>
      <w:r>
        <w:rPr>
          <w:b w:val="0"/>
          <w:color w:val="0B1727"/>
        </w:rPr>
        <w:t>Partial loading can increase steam consumption per m³ because every cycle also heats the autoclave shell, cars and connected system. The actual effect must be established through metered cycle data. Better mould, cutting and autoclave scheduling may improve the loading factor without changing the curing recipe.</w:t>
      </w:r>
    </w:p>
    <w:p>
      <w:pPr>
        <w:pStyle w:val="Heading2"/>
        <w:widowControl/>
      </w:pPr>
      <w:r>
        <w:t>4. Curing-cycle control</w:t>
      </w:r>
    </w:p>
    <w:p>
      <w:pPr>
        <w:widowControl/>
      </w:pPr>
      <w:r>
        <w:rPr>
          <w:b w:val="0"/>
          <w:color w:val="0B1727"/>
        </w:rPr>
        <w:t>Pressure rising, holding and depressurisation should follow a validated pressure–time profile. Unnecessary holding, unstable valve sequencing, manual variation and poor removal of condensate or non-condensable gases may affect repeatability and energy use. Cycle changes must never be made only to shorten time; product quality and pressure-vessel safety remain the controlling requirements.</w:t>
      </w:r>
    </w:p>
    <w:p>
      <w:pPr>
        <w:pStyle w:val="Heading2"/>
        <w:widowControl/>
      </w:pPr>
      <w:r>
        <w:t>5. Exhaust steam, condensate and heat recovery</w:t>
      </w:r>
    </w:p>
    <w:p>
      <w:pPr>
        <w:widowControl/>
      </w:pPr>
      <w:r>
        <w:rPr>
          <w:b w:val="0"/>
          <w:color w:val="0B1727"/>
        </w:rPr>
        <w:t>Where plant configuration and production timing permit, energy may be recovered through steam transfer between autoclaves, hot-condensate return or use of exhaust-steam heat to preheat suitable water streams. The feasible arrangement depends on pressure gradients, receiving demand, condensate quality, contamination risk, control logic and the need to protect the validated curing curve.</w:t>
      </w:r>
    </w:p>
    <w:p>
      <w:pPr>
        <w:pStyle w:val="Heading2"/>
        <w:widowControl/>
      </w:pPr>
      <w:r>
        <w:t>6. Process consistency</w:t>
      </w:r>
    </w:p>
    <w:p>
      <w:pPr>
        <w:widowControl/>
      </w:pPr>
      <w:r>
        <w:rPr>
          <w:b w:val="0"/>
          <w:color w:val="0B1727"/>
        </w:rPr>
        <w:t>Slurry properties, raw-material variation, cake consistency and moisture load can influence curing behaviour. Slurry density is important, but it should not be treated as an independent steam-saving control. Any relationship between a process change, steam consumption and final block quality must be verified through controlled plant trials and laboratory results.</w:t>
      </w:r>
    </w:p>
    <w:p>
      <w:pPr>
        <w:pStyle w:val="Heading1"/>
        <w:widowControl/>
      </w:pPr>
      <w:r>
        <w:t>A Practical Steam-Cost Audit Sequence</w:t>
      </w:r>
    </w:p>
    <w:p>
      <w:pPr>
        <w:widowControl/>
        <w:spacing w:after="80"/>
        <w:ind w:left="259" w:hanging="259"/>
      </w:pPr>
      <w:r>
        <w:rPr>
          <w:b/>
          <w:color w:val="0C4F80"/>
        </w:rPr>
        <w:t xml:space="preserve">1. Define the boundary: </w:t>
      </w:r>
      <w:r>
        <w:t>Decide which boiler, headers, autoclaves, start-up losses and production categories are included.</w:t>
      </w:r>
    </w:p>
    <w:p>
      <w:pPr>
        <w:widowControl/>
        <w:spacing w:after="80"/>
        <w:ind w:left="259" w:hanging="259"/>
      </w:pPr>
      <w:r>
        <w:rPr>
          <w:b/>
          <w:color w:val="0C4F80"/>
        </w:rPr>
        <w:t xml:space="preserve">2. Build a baseline: </w:t>
      </w:r>
      <w:r>
        <w:t>Collect fuel, feedwater or steam, cycle, loading, downtime and saleable-production data over a representative operating period.</w:t>
      </w:r>
    </w:p>
    <w:p>
      <w:pPr>
        <w:widowControl/>
        <w:spacing w:after="80"/>
        <w:ind w:left="259" w:hanging="259"/>
      </w:pPr>
      <w:r>
        <w:rPr>
          <w:b/>
          <w:color w:val="0C4F80"/>
        </w:rPr>
        <w:t xml:space="preserve">3. Test generation: </w:t>
      </w:r>
      <w:r>
        <w:t>Review boiler loading, combustion, fuel consistency, feedwater, blowdown, flue-gas condition and maintenance history.</w:t>
      </w:r>
    </w:p>
    <w:p>
      <w:pPr>
        <w:widowControl/>
        <w:spacing w:after="80"/>
        <w:ind w:left="259" w:hanging="259"/>
      </w:pPr>
      <w:r>
        <w:rPr>
          <w:b/>
          <w:color w:val="0C4F80"/>
        </w:rPr>
        <w:t xml:space="preserve">4. Survey distribution: </w:t>
      </w:r>
      <w:r>
        <w:t>Inspect leakage, traps, valves, pressure drops, condensate paths and insulation condition.</w:t>
      </w:r>
    </w:p>
    <w:p>
      <w:pPr>
        <w:widowControl/>
        <w:spacing w:after="80"/>
        <w:ind w:left="259" w:hanging="259"/>
      </w:pPr>
      <w:r>
        <w:rPr>
          <w:b/>
          <w:color w:val="0C4F80"/>
        </w:rPr>
        <w:t xml:space="preserve">5. Compare autoclaves: </w:t>
      </w:r>
      <w:r>
        <w:t>Review loading factor, pressure–time trends, valve sequencing, condensate removal, transfer and venting cycle by cycle.</w:t>
      </w:r>
    </w:p>
    <w:p>
      <w:pPr>
        <w:widowControl/>
        <w:spacing w:after="80"/>
        <w:ind w:left="259" w:hanging="259"/>
      </w:pPr>
      <w:r>
        <w:rPr>
          <w:b/>
          <w:color w:val="0C4F80"/>
        </w:rPr>
        <w:t xml:space="preserve">6. Prioritise actions: </w:t>
      </w:r>
      <w:r>
        <w:t>Separate operating corrections, maintenance actions, instrumentation needs and capital modifications.</w:t>
      </w:r>
    </w:p>
    <w:p>
      <w:pPr>
        <w:widowControl/>
        <w:spacing w:after="80"/>
        <w:ind w:left="259" w:hanging="259"/>
      </w:pPr>
      <w:r>
        <w:rPr>
          <w:b/>
          <w:color w:val="0C4F80"/>
        </w:rPr>
        <w:t xml:space="preserve">7. Trial safely: </w:t>
      </w:r>
      <w:r>
        <w:t>Approve changes through authorised engineering, production, quality and safety procedures.</w:t>
      </w:r>
    </w:p>
    <w:p>
      <w:pPr>
        <w:widowControl/>
        <w:spacing w:after="80"/>
        <w:ind w:left="259" w:hanging="259"/>
      </w:pPr>
      <w:r>
        <w:rPr>
          <w:b/>
          <w:color w:val="0C4F80"/>
        </w:rPr>
        <w:t xml:space="preserve">8. Verify the result: </w:t>
      </w:r>
      <w:r>
        <w:t>Compare normalised ₹/m³ and kg steam/m³ against the baseline while confirming required product quality.</w:t>
      </w:r>
    </w:p>
    <w:p>
      <w:pPr>
        <w:pStyle w:val="Heading1"/>
        <w:widowControl/>
      </w:pPr>
      <w:r>
        <w:t>Measurements to Collect Before Recommending a Solution</w:t>
      </w:r>
    </w:p>
    <w:tbl>
      <w:tblPr>
        <w:tblW w:type="dxa" w:w="9792"/>
        <w:jc w:val="center"/>
        <w:tblLayout w:type="fixed"/>
        <w:tblLook w:firstColumn="1" w:firstRow="1" w:lastColumn="0" w:lastRow="0" w:noHBand="0" w:noVBand="1" w:val="04A0"/>
        <w:tblBorders>
          <w:top w:val="single" w:sz="5" w:color="D8E0E6"/>
          <w:left w:val="single" w:sz="5" w:color="D8E0E6"/>
          <w:bottom w:val="single" w:sz="5" w:color="D8E0E6"/>
          <w:right w:val="single" w:sz="5" w:color="D8E0E6"/>
          <w:insideH w:val="single" w:sz="5" w:color="D8E0E6"/>
          <w:insideV w:val="single" w:sz="5" w:color="D8E0E6"/>
        </w:tblBorders>
      </w:tblPr>
      <w:tblGrid>
        <w:gridCol w:w="1750"/>
        <w:gridCol w:w="4300"/>
        <w:gridCol w:w="3742"/>
      </w:tblGrid>
      <w:tr>
        <w:trPr>
          <w:tblHeader w:val="true"/>
        </w:trPr>
        <w:tc>
          <w:tcPr>
            <w:tcW w:type="dxa" w:w="1750"/>
            <w:shd w:fill="0B1727"/>
            <w:tcMar>
              <w:top w:w="90" w:type="dxa"/>
              <w:start w:w="120" w:type="dxa"/>
              <w:bottom w:w="90" w:type="dxa"/>
              <w:end w:w="120" w:type="dxa"/>
            </w:tcMar>
            <w:vAlign w:val="center"/>
          </w:tcPr>
          <w:p>
            <w:r>
              <w:rPr>
                <w:b/>
                <w:color w:val="FFFFFF"/>
              </w:rPr>
              <w:t>Area</w:t>
            </w:r>
          </w:p>
        </w:tc>
        <w:tc>
          <w:tcPr>
            <w:tcW w:type="dxa" w:w="4300"/>
            <w:shd w:fill="0B1727"/>
            <w:tcMar>
              <w:top w:w="90" w:type="dxa"/>
              <w:start w:w="120" w:type="dxa"/>
              <w:bottom w:w="90" w:type="dxa"/>
              <w:end w:w="120" w:type="dxa"/>
            </w:tcMar>
            <w:vAlign w:val="center"/>
          </w:tcPr>
          <w:p>
            <w:r>
              <w:rPr>
                <w:b/>
                <w:color w:val="FFFFFF"/>
              </w:rPr>
              <w:t>Minimum information</w:t>
            </w:r>
          </w:p>
        </w:tc>
        <w:tc>
          <w:tcPr>
            <w:tcW w:type="dxa" w:w="3742"/>
            <w:shd w:fill="0B1727"/>
            <w:tcMar>
              <w:top w:w="90" w:type="dxa"/>
              <w:start w:w="120" w:type="dxa"/>
              <w:bottom w:w="90" w:type="dxa"/>
              <w:end w:w="120" w:type="dxa"/>
            </w:tcMar>
            <w:vAlign w:val="center"/>
          </w:tcPr>
          <w:p>
            <w:r>
              <w:rPr>
                <w:b/>
                <w:color w:val="FFFFFF"/>
              </w:rPr>
              <w:t>What it helps diagnose</w:t>
            </w:r>
          </w:p>
        </w:tc>
      </w:tr>
      <w:tr>
        <w:tc>
          <w:tcPr>
            <w:tcW w:type="dxa" w:w="1750"/>
            <w:tcMar>
              <w:top w:w="90" w:type="dxa"/>
              <w:start w:w="120" w:type="dxa"/>
              <w:bottom w:w="90" w:type="dxa"/>
              <w:end w:w="120" w:type="dxa"/>
            </w:tcMar>
            <w:vAlign w:val="center"/>
          </w:tcPr>
          <w:p>
            <w:r>
              <w:t>Production</w:t>
            </w:r>
          </w:p>
        </w:tc>
        <w:tc>
          <w:tcPr>
            <w:tcW w:type="dxa" w:w="4300"/>
            <w:tcMar>
              <w:top w:w="90" w:type="dxa"/>
              <w:start w:w="120" w:type="dxa"/>
              <w:bottom w:w="90" w:type="dxa"/>
              <w:end w:w="120" w:type="dxa"/>
            </w:tcMar>
            <w:vAlign w:val="center"/>
          </w:tcPr>
          <w:p>
            <w:r>
              <w:t>Cast and saleable m³, rejects, product density and production hours</w:t>
            </w:r>
          </w:p>
        </w:tc>
        <w:tc>
          <w:tcPr>
            <w:tcW w:type="dxa" w:w="3742"/>
            <w:tcMar>
              <w:top w:w="90" w:type="dxa"/>
              <w:start w:w="120" w:type="dxa"/>
              <w:bottom w:w="90" w:type="dxa"/>
              <w:end w:w="120" w:type="dxa"/>
            </w:tcMar>
            <w:vAlign w:val="center"/>
          </w:tcPr>
          <w:p>
            <w:r>
              <w:t>True cost denominator and process variation</w:t>
            </w:r>
          </w:p>
        </w:tc>
      </w:tr>
      <w:tr>
        <w:tc>
          <w:tcPr>
            <w:tcW w:type="dxa" w:w="1750"/>
            <w:tcMar>
              <w:top w:w="90" w:type="dxa"/>
              <w:start w:w="120" w:type="dxa"/>
              <w:bottom w:w="90" w:type="dxa"/>
              <w:end w:w="120" w:type="dxa"/>
            </w:tcMar>
            <w:vAlign w:val="center"/>
          </w:tcPr>
          <w:p>
            <w:r>
              <w:t>Fuel and boiler</w:t>
            </w:r>
          </w:p>
        </w:tc>
        <w:tc>
          <w:tcPr>
            <w:tcW w:type="dxa" w:w="4300"/>
            <w:tcMar>
              <w:top w:w="90" w:type="dxa"/>
              <w:start w:w="120" w:type="dxa"/>
              <w:bottom w:w="90" w:type="dxa"/>
              <w:end w:w="120" w:type="dxa"/>
            </w:tcMar>
            <w:vAlign w:val="center"/>
          </w:tcPr>
          <w:p>
            <w:r>
              <w:t>Fuel type, quantity, price, quality data, feedwater and steam output</w:t>
            </w:r>
          </w:p>
        </w:tc>
        <w:tc>
          <w:tcPr>
            <w:tcW w:type="dxa" w:w="3742"/>
            <w:tcMar>
              <w:top w:w="90" w:type="dxa"/>
              <w:start w:w="120" w:type="dxa"/>
              <w:bottom w:w="90" w:type="dxa"/>
              <w:end w:w="120" w:type="dxa"/>
            </w:tcMar>
            <w:vAlign w:val="center"/>
          </w:tcPr>
          <w:p>
            <w:r>
              <w:t>₹/kg steam and generation losses</w:t>
            </w:r>
          </w:p>
        </w:tc>
      </w:tr>
      <w:tr>
        <w:tc>
          <w:tcPr>
            <w:tcW w:type="dxa" w:w="1750"/>
            <w:tcMar>
              <w:top w:w="90" w:type="dxa"/>
              <w:start w:w="120" w:type="dxa"/>
              <w:bottom w:w="90" w:type="dxa"/>
              <w:end w:w="120" w:type="dxa"/>
            </w:tcMar>
            <w:vAlign w:val="center"/>
          </w:tcPr>
          <w:p>
            <w:r>
              <w:t>Autoclaves</w:t>
            </w:r>
          </w:p>
        </w:tc>
        <w:tc>
          <w:tcPr>
            <w:tcW w:type="dxa" w:w="4300"/>
            <w:tcMar>
              <w:top w:w="90" w:type="dxa"/>
              <w:start w:w="120" w:type="dxa"/>
              <w:bottom w:w="90" w:type="dxa"/>
              <w:end w:w="120" w:type="dxa"/>
            </w:tcMar>
            <w:vAlign w:val="center"/>
          </w:tcPr>
          <w:p>
            <w:r>
              <w:t>Size, loading per cycle, cycle count and pressure–time trends</w:t>
            </w:r>
          </w:p>
        </w:tc>
        <w:tc>
          <w:tcPr>
            <w:tcW w:type="dxa" w:w="3742"/>
            <w:tcMar>
              <w:top w:w="90" w:type="dxa"/>
              <w:start w:w="120" w:type="dxa"/>
              <w:bottom w:w="90" w:type="dxa"/>
              <w:end w:w="120" w:type="dxa"/>
            </w:tcMar>
            <w:vAlign w:val="center"/>
          </w:tcPr>
          <w:p>
            <w:r>
              <w:t>Loading and cycle-to-cycle differences</w:t>
            </w:r>
          </w:p>
        </w:tc>
      </w:tr>
      <w:tr>
        <w:tc>
          <w:tcPr>
            <w:tcW w:type="dxa" w:w="1750"/>
            <w:tcMar>
              <w:top w:w="90" w:type="dxa"/>
              <w:start w:w="120" w:type="dxa"/>
              <w:bottom w:w="90" w:type="dxa"/>
              <w:end w:w="120" w:type="dxa"/>
            </w:tcMar>
            <w:vAlign w:val="center"/>
          </w:tcPr>
          <w:p>
            <w:r>
              <w:t>Steam system</w:t>
            </w:r>
          </w:p>
        </w:tc>
        <w:tc>
          <w:tcPr>
            <w:tcW w:type="dxa" w:w="4300"/>
            <w:tcMar>
              <w:top w:w="90" w:type="dxa"/>
              <w:start w:w="120" w:type="dxa"/>
              <w:bottom w:w="90" w:type="dxa"/>
              <w:end w:w="120" w:type="dxa"/>
            </w:tcMar>
            <w:vAlign w:val="center"/>
          </w:tcPr>
          <w:p>
            <w:r>
              <w:t>Flow, pressure, valve sequence, leakage, traps, insulation and venting</w:t>
            </w:r>
          </w:p>
        </w:tc>
        <w:tc>
          <w:tcPr>
            <w:tcW w:type="dxa" w:w="3742"/>
            <w:tcMar>
              <w:top w:w="90" w:type="dxa"/>
              <w:start w:w="120" w:type="dxa"/>
              <w:bottom w:w="90" w:type="dxa"/>
              <w:end w:w="120" w:type="dxa"/>
            </w:tcMar>
            <w:vAlign w:val="center"/>
          </w:tcPr>
          <w:p>
            <w:r>
              <w:t>Distribution and utilisation losses</w:t>
            </w:r>
          </w:p>
        </w:tc>
      </w:tr>
      <w:tr>
        <w:tc>
          <w:tcPr>
            <w:tcW w:type="dxa" w:w="1750"/>
            <w:tcMar>
              <w:top w:w="90" w:type="dxa"/>
              <w:start w:w="120" w:type="dxa"/>
              <w:bottom w:w="90" w:type="dxa"/>
              <w:end w:w="120" w:type="dxa"/>
            </w:tcMar>
            <w:vAlign w:val="center"/>
          </w:tcPr>
          <w:p>
            <w:r>
              <w:t>Recovery</w:t>
            </w:r>
          </w:p>
        </w:tc>
        <w:tc>
          <w:tcPr>
            <w:tcW w:type="dxa" w:w="4300"/>
            <w:tcMar>
              <w:top w:w="90" w:type="dxa"/>
              <w:start w:w="120" w:type="dxa"/>
              <w:bottom w:w="90" w:type="dxa"/>
              <w:end w:w="120" w:type="dxa"/>
            </w:tcMar>
            <w:vAlign w:val="center"/>
          </w:tcPr>
          <w:p>
            <w:r>
              <w:t>Steam transfer, condensate temperature/quality and recovery destination</w:t>
            </w:r>
          </w:p>
        </w:tc>
        <w:tc>
          <w:tcPr>
            <w:tcW w:type="dxa" w:w="3742"/>
            <w:tcMar>
              <w:top w:w="90" w:type="dxa"/>
              <w:start w:w="120" w:type="dxa"/>
              <w:bottom w:w="90" w:type="dxa"/>
              <w:end w:w="120" w:type="dxa"/>
            </w:tcMar>
            <w:vAlign w:val="center"/>
          </w:tcPr>
          <w:p>
            <w:r>
              <w:t>Recoverable heat and operating constraints</w:t>
            </w:r>
          </w:p>
        </w:tc>
      </w:tr>
      <w:tr>
        <w:tc>
          <w:tcPr>
            <w:tcW w:type="dxa" w:w="1750"/>
            <w:tcMar>
              <w:top w:w="90" w:type="dxa"/>
              <w:start w:w="120" w:type="dxa"/>
              <w:bottom w:w="90" w:type="dxa"/>
              <w:end w:w="120" w:type="dxa"/>
            </w:tcMar>
            <w:vAlign w:val="center"/>
          </w:tcPr>
          <w:p>
            <w:r>
              <w:t>Quality</w:t>
            </w:r>
          </w:p>
        </w:tc>
        <w:tc>
          <w:tcPr>
            <w:tcW w:type="dxa" w:w="4300"/>
            <w:tcMar>
              <w:top w:w="90" w:type="dxa"/>
              <w:start w:w="120" w:type="dxa"/>
              <w:bottom w:w="90" w:type="dxa"/>
              <w:end w:w="120" w:type="dxa"/>
            </w:tcMar>
            <w:vAlign w:val="center"/>
          </w:tcPr>
          <w:p>
            <w:r>
              <w:t>Density, strength, dimensions and other approved product checks</w:t>
            </w:r>
          </w:p>
        </w:tc>
        <w:tc>
          <w:tcPr>
            <w:tcW w:type="dxa" w:w="3742"/>
            <w:tcMar>
              <w:top w:w="90" w:type="dxa"/>
              <w:start w:w="120" w:type="dxa"/>
              <w:bottom w:w="90" w:type="dxa"/>
              <w:end w:w="120" w:type="dxa"/>
            </w:tcMar>
            <w:vAlign w:val="center"/>
          </w:tcPr>
          <w:p>
            <w:r>
              <w:t>Whether an intervention preserves product requirements</w:t>
            </w:r>
          </w:p>
        </w:tc>
      </w:tr>
    </w:tbl>
    <w:p>
      <w:pPr>
        <w:pStyle w:val="Heading1"/>
        <w:widowControl/>
      </w:pPr>
      <w:r>
        <w:t>What Should Not Be Changed Without Verification</w:t>
      </w:r>
    </w:p>
    <w:p>
      <w:pPr>
        <w:pStyle w:val="ListBullet"/>
        <w:widowControl/>
        <w:spacing w:after="60"/>
        <w:ind w:left="403" w:hanging="202"/>
      </w:pPr>
      <w:r>
        <w:t>Autoclave pressure, temperature, holding time or depressurisation profile.</w:t>
      </w:r>
    </w:p>
    <w:p>
      <w:pPr>
        <w:pStyle w:val="ListBullet"/>
        <w:widowControl/>
        <w:spacing w:after="60"/>
        <w:ind w:left="403" w:hanging="202"/>
      </w:pPr>
      <w:r>
        <w:t>Pressure-vessel valves, interlocks, door safety systems or operating procedures.</w:t>
      </w:r>
    </w:p>
    <w:p>
      <w:pPr>
        <w:pStyle w:val="ListBullet"/>
        <w:widowControl/>
        <w:spacing w:after="60"/>
        <w:ind w:left="403" w:hanging="202"/>
      </w:pPr>
      <w:r>
        <w:t>Condensate return where contamination or water-treatment compatibility is uncertain.</w:t>
      </w:r>
    </w:p>
    <w:p>
      <w:pPr>
        <w:pStyle w:val="ListBullet"/>
        <w:widowControl/>
        <w:spacing w:after="60"/>
        <w:ind w:left="403" w:hanging="202"/>
      </w:pPr>
      <w:r>
        <w:t>Raw-material proportions or slurry controls solely to pursue energy savings.</w:t>
      </w:r>
    </w:p>
    <w:p>
      <w:pPr>
        <w:pStyle w:val="ListBullet"/>
        <w:widowControl/>
        <w:spacing w:after="60"/>
        <w:ind w:left="403" w:hanging="202"/>
      </w:pPr>
      <w:r>
        <w:t>Boiler or piping capacity based only on a generic tonnes-per-hour rule.</w:t>
      </w:r>
    </w:p>
    <w:tbl>
      <w:tblPr>
        <w:tblW w:type="dxa" w:w="9792"/>
        <w:jc w:val="center"/>
        <w:tblLayout w:type="fixed"/>
        <w:tblLook w:firstColumn="1" w:firstRow="1" w:lastColumn="0" w:lastRow="0" w:noHBand="0" w:noVBand="1" w:val="04A0"/>
        <w:tblBorders>
          <w:top w:val="single" w:sz="5" w:color="D8E0E6"/>
          <w:left w:val="single" w:sz="5" w:color="D8E0E6"/>
          <w:bottom w:val="single" w:sz="5" w:color="D8E0E6"/>
          <w:right w:val="single" w:sz="5" w:color="D8E0E6"/>
          <w:insideH w:val="single" w:sz="5" w:color="D8E0E6"/>
          <w:insideV w:val="single" w:sz="5" w:color="D8E0E6"/>
        </w:tblBorders>
      </w:tblPr>
      <w:tblGrid>
        <w:gridCol w:w="9792"/>
      </w:tblGrid>
      <w:tr>
        <w:tc>
          <w:tcPr>
            <w:tcW w:type="dxa" w:w="9792"/>
            <w:tcMar>
              <w:top w:w="90" w:type="dxa"/>
              <w:start w:w="120" w:type="dxa"/>
              <w:bottom w:w="90" w:type="dxa"/>
              <w:end w:w="120" w:type="dxa"/>
            </w:tcMar>
            <w:vAlign w:val="center"/>
            <w:shd w:fill="F5F7F8"/>
          </w:tcPr>
          <w:p>
            <w:pPr>
              <w:spacing w:after="0"/>
            </w:pPr>
            <w:r>
              <w:rPr>
                <w:b/>
                <w:color w:val="0C4F80"/>
              </w:rPr>
              <w:t xml:space="preserve">SAFETY AND QUALITY  </w:t>
            </w:r>
            <w:r>
              <w:t>Boilers, autoclaves and associated steam systems involve pressurised equipment. Assessment, modification and commissioning must be performed by competent personnel in accordance with applicable approvals, manufacturer requirements and site safety procedures. Energy savings must be accepted only after required AAC quality is confirmed.</w:t>
            </w:r>
          </w:p>
        </w:tc>
      </w:tr>
    </w:tbl>
    <w:p>
      <w:pPr>
        <w:pStyle w:val="Heading1"/>
        <w:widowControl/>
      </w:pPr>
      <w:r>
        <w:t>How Laxmi En-Fab Can Support an Existing AAC Plant</w:t>
      </w:r>
    </w:p>
    <w:p>
      <w:pPr>
        <w:widowControl/>
      </w:pPr>
      <w:r>
        <w:rPr>
          <w:b w:val="0"/>
          <w:color w:val="0B1727"/>
        </w:rPr>
        <w:t>Laxmi En-Fab Pvt. Ltd. can begin with a structured review of the plant’s steam generation, distribution and utilisation data. Depending on the findings and agreed scope, the next stage may include site measurements, autoclave-cycle analysis, steam-transfer or heat-recovery feasibility, instrumentation review, automation improvements, or integration planning.</w:t>
      </w:r>
    </w:p>
    <w:p>
      <w:pPr>
        <w:widowControl/>
      </w:pPr>
      <w:r>
        <w:rPr>
          <w:b/>
          <w:color w:val="0C4F80"/>
        </w:rPr>
        <w:t>The objective is not to promise a universal saving percentage. It is to identify measurable losses, prioritise practical actions and establish a plant-specific basis for performance verification.</w:t>
      </w:r>
    </w:p>
    <w:p>
      <w:pPr>
        <w:pStyle w:val="Heading1"/>
        <w:widowControl/>
      </w:pPr>
      <w:r>
        <w:t>Frequently Asked Questions</w:t>
      </w:r>
    </w:p>
    <w:p>
      <w:pPr>
        <w:widowControl/>
        <w:spacing w:before="80" w:after="40"/>
      </w:pPr>
      <w:r>
        <w:rPr>
          <w:b/>
          <w:color w:val="0C4F80"/>
        </w:rPr>
        <w:t>Can an efficient boiler still have a high steam cost per m³?</w:t>
      </w:r>
    </w:p>
    <w:p>
      <w:pPr>
        <w:widowControl/>
        <w:spacing w:after="100"/>
      </w:pPr>
      <w:r>
        <w:t>Yes. Boiler efficiency governs the cost of generating steam, while leakage, partial loading, cycle variation, venting and process inconsistency govern how much steam is used per m³. Both must be measured.</w:t>
      </w:r>
    </w:p>
    <w:p>
      <w:pPr>
        <w:widowControl/>
        <w:spacing w:before="80" w:after="40"/>
      </w:pPr>
      <w:r>
        <w:rPr>
          <w:b/>
          <w:color w:val="0C4F80"/>
        </w:rPr>
        <w:t>Should an existing plant replace the boiler first?</w:t>
      </w:r>
    </w:p>
    <w:p>
      <w:pPr>
        <w:widowControl/>
        <w:spacing w:after="100"/>
      </w:pPr>
      <w:r>
        <w:t>Not without diagnosis. The priority may be combustion, maintenance, steam distribution, autoclave scheduling, controls or heat recovery. A baseline prevents capital being directed at the wrong loss.</w:t>
      </w:r>
    </w:p>
    <w:p>
      <w:pPr>
        <w:widowControl/>
        <w:spacing w:before="80" w:after="40"/>
      </w:pPr>
      <w:r>
        <w:rPr>
          <w:b/>
          <w:color w:val="0C4F80"/>
        </w:rPr>
        <w:t>Does automation automatically reduce steam consumption?</w:t>
      </w:r>
    </w:p>
    <w:p>
      <w:pPr>
        <w:widowControl/>
        <w:spacing w:after="100"/>
      </w:pPr>
      <w:r>
        <w:t>No. Properly selected instruments and control logic can improve repeatability, but savings depend on the existing losses, the control strategy, commissioning and operator discipline.</w:t>
      </w:r>
    </w:p>
    <w:p>
      <w:pPr>
        <w:widowControl/>
        <w:spacing w:before="80" w:after="40"/>
      </w:pPr>
      <w:r>
        <w:rPr>
          <w:b/>
          <w:color w:val="0C4F80"/>
        </w:rPr>
        <w:t>Can exhaust steam always be transferred to another autoclave?</w:t>
      </w:r>
    </w:p>
    <w:p>
      <w:pPr>
        <w:widowControl/>
        <w:spacing w:after="100"/>
      </w:pPr>
      <w:r>
        <w:t>No. Transfer depends on pressure difference, cycle timing, available receiving demand, piping and valve design, condensate handling and the validated curing profile.</w:t>
      </w:r>
    </w:p>
    <w:p>
      <w:pPr>
        <w:widowControl/>
        <w:spacing w:before="80" w:after="40"/>
      </w:pPr>
      <w:r>
        <w:rPr>
          <w:b/>
          <w:color w:val="0C4F80"/>
        </w:rPr>
        <w:t>What is the first data Laxmi En-Fab should receive?</w:t>
      </w:r>
    </w:p>
    <w:p>
      <w:pPr>
        <w:widowControl/>
        <w:spacing w:after="100"/>
      </w:pPr>
      <w:r>
        <w:t>Plant capacity, recent saleable production, fuel type and consumption, boiler details, number and size of autoclaves, cycle/loading records and a description of the current steam-cost problem.</w:t>
      </w:r>
    </w:p>
    <w:p>
      <w:pPr>
        <w:pStyle w:val="Heading1"/>
        <w:widowControl/>
      </w:pPr>
      <w:r>
        <w:t>Request an AAC Steam-Cost Assessment</w:t>
      </w:r>
    </w:p>
    <w:p>
      <w:pPr>
        <w:widowControl/>
      </w:pPr>
      <w:r>
        <w:rPr>
          <w:b w:val="0"/>
          <w:color w:val="0B1727"/>
          <w:sz w:val="22"/>
        </w:rPr>
        <w:t>Share your recent production, fuel, boiler and autoclave-cycle information. Laxmi En-Fab can help identify where measurement or engineering investigation should begin and define the appropriate next step for your plant.</w:t>
      </w:r>
    </w:p>
    <w:tbl>
      <w:tblPr>
        <w:tblW w:type="dxa" w:w="9792"/>
        <w:jc w:val="center"/>
        <w:tblLayout w:type="fixed"/>
        <w:tblLook w:firstColumn="1" w:firstRow="1" w:lastColumn="0" w:lastRow="0" w:noHBand="0" w:noVBand="1" w:val="04A0"/>
        <w:tblBorders>
          <w:top w:val="single" w:sz="5" w:color="D8E0E6"/>
          <w:left w:val="single" w:sz="5" w:color="D8E0E6"/>
          <w:bottom w:val="single" w:sz="5" w:color="D8E0E6"/>
          <w:right w:val="single" w:sz="5" w:color="D8E0E6"/>
          <w:insideH w:val="single" w:sz="5" w:color="D8E0E6"/>
          <w:insideV w:val="single" w:sz="5" w:color="D8E0E6"/>
        </w:tblBorders>
      </w:tblPr>
      <w:tblGrid>
        <w:gridCol w:w="4896"/>
        <w:gridCol w:w="4896"/>
      </w:tblGrid>
      <w:tr>
        <w:tc>
          <w:tcPr>
            <w:tcW w:type="dxa" w:w="4896"/>
            <w:shd w:fill="0C4F80"/>
            <w:tcMar>
              <w:top w:w="90" w:type="dxa"/>
              <w:start w:w="120" w:type="dxa"/>
              <w:bottom w:w="90" w:type="dxa"/>
              <w:end w:w="120" w:type="dxa"/>
            </w:tcMar>
            <w:vAlign w:val="center"/>
          </w:tcPr>
          <w:p>
            <w:r>
              <w:rPr>
                <w:b/>
                <w:color w:val="FFFFFF"/>
              </w:rPr>
              <w:t>PRIMARY ACTION</w:t>
              <w:br/>
              <w:t>Request an AAC Steam-Cost Assessment</w:t>
            </w:r>
          </w:p>
        </w:tc>
        <w:tc>
          <w:tcPr>
            <w:tcW w:type="dxa" w:w="4896"/>
            <w:shd w:fill="EEF2F5"/>
            <w:tcMar>
              <w:top w:w="90" w:type="dxa"/>
              <w:start w:w="120" w:type="dxa"/>
              <w:bottom w:w="90" w:type="dxa"/>
              <w:end w:w="120" w:type="dxa"/>
            </w:tcMar>
            <w:vAlign w:val="center"/>
          </w:tcPr>
          <w:p>
            <w:r>
              <w:rPr>
                <w:b/>
                <w:color w:val="0B1727"/>
              </w:rPr>
              <w:t>LOWER-COMMITMENT ACTION</w:t>
              <w:br/>
              <w:t>Download the Steam-Cost Data Checklist</w:t>
            </w:r>
          </w:p>
        </w:tc>
      </w:tr>
    </w:tbl>
    <w:p>
      <w:pPr>
        <w:pStyle w:val="Heading1"/>
        <w:widowControl/>
      </w:pPr>
      <w:r>
        <w:t>Editorial and Technical Notes</w:t>
      </w:r>
    </w:p>
    <w:p>
      <w:pPr>
        <w:pStyle w:val="ListBullet"/>
        <w:widowControl/>
        <w:spacing w:after="60"/>
        <w:ind w:left="403" w:hanging="202"/>
      </w:pPr>
      <w:r>
        <w:t>No universal steam-saving percentage is claimed on this page.</w:t>
      </w:r>
    </w:p>
    <w:p>
      <w:pPr>
        <w:pStyle w:val="ListBullet"/>
        <w:widowControl/>
        <w:spacing w:after="60"/>
        <w:ind w:left="403" w:hanging="202"/>
      </w:pPr>
      <w:r>
        <w:t>Plant-specific results require measured baseline and post-improvement data.</w:t>
      </w:r>
    </w:p>
    <w:p>
      <w:pPr>
        <w:pStyle w:val="ListBullet"/>
        <w:widowControl/>
        <w:spacing w:after="60"/>
        <w:ind w:left="403" w:hanging="202"/>
      </w:pPr>
      <w:r>
        <w:t>Add the named technical author/reviewer, publication date, last-reviewed date, address and verified contact details before publishing.</w:t>
      </w:r>
    </w:p>
    <w:p>
      <w:pPr>
        <w:pStyle w:val="ListBullet"/>
        <w:widowControl/>
        <w:spacing w:after="60"/>
        <w:ind w:left="403" w:hanging="202"/>
      </w:pPr>
      <w:r>
        <w:t>Add a project case study only after client permission and internal verification of all figures.</w:t>
      </w:r>
    </w:p>
    <w:p>
      <w:pPr>
        <w:pStyle w:val="Heading1"/>
        <w:widowControl/>
      </w:pPr>
      <w:r>
        <w:t>Suggested Supporting References</w:t>
      </w:r>
    </w:p>
    <w:p>
      <w:pPr>
        <w:pStyle w:val="ListBullet"/>
        <w:widowControl/>
        <w:spacing w:after="60"/>
        <w:ind w:left="403" w:hanging="202"/>
      </w:pPr>
      <w:r>
        <w:t>Bureau of Energy Efficiency, India — steam systems, leakage, trapping, condensate pumping, flash-steam recovery and performance assessment.</w:t>
      </w:r>
    </w:p>
    <w:p>
      <w:pPr>
        <w:pStyle w:val="ListBullet"/>
        <w:widowControl/>
        <w:spacing w:after="60"/>
        <w:ind w:left="403" w:hanging="202"/>
      </w:pPr>
      <w:r>
        <w:t>AAC Worldwide — specialist material on exhaust-steam utilisation and AAC production technology.</w:t>
      </w:r>
    </w:p>
    <w:p>
      <w:pPr>
        <w:pStyle w:val="ListBullet"/>
        <w:widowControl/>
        <w:spacing w:after="60"/>
        <w:ind w:left="403" w:hanging="202"/>
      </w:pPr>
      <w:r>
        <w:t>Spirax Sarco — condensate and flash-steam recovery principles.</w:t>
      </w:r>
    </w:p>
    <w:sectPr w:rsidR="00FC693F" w:rsidRPr="0006063C" w:rsidSect="00034616">
      <w:headerReference w:type="default" r:id="rId9"/>
      <w:footerReference w:type="default" r:id="rId10"/>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B76"/>
        <w:sz w:val="16"/>
      </w:rPr>
      <w:t>Publication-ready webpage copy  •  Technical claims remain subject to plant-specific assessment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left"/>
    </w:pPr>
    <w:r>
      <w:t>LAXMI EN-FAB PVT. LTD.  |  AAC PLANT PERFORMANCE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1" w:lineRule="auto"/>
    </w:pPr>
    <w:rPr>
      <w:rFonts w:ascii="Arial" w:hAnsi="Arial"/>
      <w:color w:val="0B17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B1727"/>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C4F8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B17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00"/>
    </w:pPr>
    <w:rPr>
      <w:rFonts w:ascii="Arial" w:hAnsi="Arial"/>
      <w:b/>
      <w:color w:val="0C4F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