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276B8E"/>
          <w:sz w:val="22"/>
        </w:rPr>
        <w:t>FINAL CONCISE WEBSITE CONTENT</w:t>
      </w:r>
    </w:p>
    <w:p>
      <w:pPr>
        <w:pStyle w:val="Title"/>
        <w:jc w:val="center"/>
      </w:pPr>
      <w:r>
        <w:t>Why AAC?</w:t>
      </w:r>
    </w:p>
    <w:p>
      <w:pPr>
        <w:pStyle w:val="Subtitle"/>
        <w:jc w:val="center"/>
      </w:pPr>
      <w:r>
        <w:t>Focused 2–3 scroll technical guide for a 50+ topic website architecture</w:t>
      </w:r>
    </w:p>
    <w:tbl>
      <w:tblPr>
        <w:tblStyle w:val="TableGrid"/>
        <w:tblW w:type="auto" w:w="0"/>
        <w:jc w:val="center"/>
        <w:tblLayout w:type="fixed"/>
        <w:tblLook w:firstColumn="1" w:firstRow="1" w:lastColumn="0" w:lastRow="0" w:noHBand="0" w:noVBand="1" w:val="04A0"/>
      </w:tblPr>
      <w:tblGrid>
        <w:gridCol w:w="4968"/>
        <w:gridCol w:w="4968"/>
      </w:tblGrid>
      <w:tr>
        <w:tc>
          <w:tcPr>
            <w:tcW w:type="dxa" w:w="2232"/>
            <w:shd w:fill="16324F"/>
            <w:tcMar>
              <w:top w:w="80" w:type="dxa"/>
              <w:start w:w="105" w:type="dxa"/>
              <w:bottom w:w="80" w:type="dxa"/>
              <w:end w:w="105" w:type="dxa"/>
            </w:tcMar>
            <w:vAlign w:val="center"/>
          </w:tcPr>
          <w:p>
            <w:r>
              <w:rPr>
                <w:b/>
                <w:color w:val="FFFFFF"/>
                <w:sz w:val="18"/>
              </w:rPr>
              <w:t>Publishing field</w:t>
            </w:r>
          </w:p>
        </w:tc>
        <w:tc>
          <w:tcPr>
            <w:tcW w:type="dxa" w:w="7128"/>
            <w:shd w:fill="16324F"/>
            <w:tcMar>
              <w:top w:w="80" w:type="dxa"/>
              <w:start w:w="105" w:type="dxa"/>
              <w:bottom w:w="80" w:type="dxa"/>
              <w:end w:w="105" w:type="dxa"/>
            </w:tcMar>
            <w:vAlign w:val="center"/>
          </w:tcPr>
          <w:p>
            <w:r>
              <w:rPr>
                <w:b/>
                <w:color w:val="FFFFFF"/>
                <w:sz w:val="18"/>
              </w:rPr>
              <w:t>Final recommendation</w:t>
            </w:r>
          </w:p>
        </w:tc>
      </w:tr>
      <w:tr>
        <w:tc>
          <w:tcPr>
            <w:tcW w:type="dxa" w:w="2232"/>
            <w:tcMar>
              <w:top w:w="80" w:type="dxa"/>
              <w:start w:w="105" w:type="dxa"/>
              <w:bottom w:w="80" w:type="dxa"/>
              <w:end w:w="105" w:type="dxa"/>
            </w:tcMar>
            <w:vAlign w:val="center"/>
          </w:tcPr>
          <w:p>
            <w:pPr>
              <w:spacing w:after="40" w:line="247" w:lineRule="auto"/>
            </w:pPr>
            <w:r>
              <w:rPr>
                <w:sz w:val="18"/>
              </w:rPr>
              <w:t>Primary keyword</w:t>
            </w:r>
          </w:p>
        </w:tc>
        <w:tc>
          <w:tcPr>
            <w:tcW w:type="dxa" w:w="7128"/>
            <w:tcMar>
              <w:top w:w="80" w:type="dxa"/>
              <w:start w:w="105" w:type="dxa"/>
              <w:bottom w:w="80" w:type="dxa"/>
              <w:end w:w="105" w:type="dxa"/>
            </w:tcMar>
            <w:vAlign w:val="center"/>
          </w:tcPr>
          <w:p>
            <w:pPr>
              <w:spacing w:after="40" w:line="247" w:lineRule="auto"/>
            </w:pPr>
            <w:r>
              <w:rPr>
                <w:sz w:val="18"/>
              </w:rPr>
              <w:t>advantages of AAC blocks</w:t>
            </w:r>
          </w:p>
        </w:tc>
      </w:tr>
      <w:tr>
        <w:tc>
          <w:tcPr>
            <w:tcW w:type="dxa" w:w="2232"/>
            <w:tcMar>
              <w:top w:w="80" w:type="dxa"/>
              <w:start w:w="105" w:type="dxa"/>
              <w:bottom w:w="80" w:type="dxa"/>
              <w:end w:w="105" w:type="dxa"/>
            </w:tcMar>
            <w:vAlign w:val="center"/>
            <w:shd w:fill="F5F7F9"/>
          </w:tcPr>
          <w:p>
            <w:pPr>
              <w:spacing w:after="40" w:line="247" w:lineRule="auto"/>
            </w:pPr>
            <w:r>
              <w:rPr>
                <w:sz w:val="18"/>
              </w:rPr>
              <w:t>SEO title</w:t>
            </w:r>
          </w:p>
        </w:tc>
        <w:tc>
          <w:tcPr>
            <w:tcW w:type="dxa" w:w="7128"/>
            <w:tcMar>
              <w:top w:w="80" w:type="dxa"/>
              <w:start w:w="105" w:type="dxa"/>
              <w:bottom w:w="80" w:type="dxa"/>
              <w:end w:w="105" w:type="dxa"/>
            </w:tcMar>
            <w:vAlign w:val="center"/>
            <w:shd w:fill="F5F7F9"/>
          </w:tcPr>
          <w:p>
            <w:pPr>
              <w:spacing w:after="40" w:line="247" w:lineRule="auto"/>
            </w:pPr>
            <w:r>
              <w:rPr>
                <w:sz w:val="18"/>
              </w:rPr>
              <w:t>Advantages of AAC Blocks: Benefits, Limits &amp; Quality</w:t>
            </w:r>
          </w:p>
        </w:tc>
      </w:tr>
      <w:tr>
        <w:tc>
          <w:tcPr>
            <w:tcW w:type="dxa" w:w="2232"/>
            <w:tcMar>
              <w:top w:w="80" w:type="dxa"/>
              <w:start w:w="105" w:type="dxa"/>
              <w:bottom w:w="80" w:type="dxa"/>
              <w:end w:w="105" w:type="dxa"/>
            </w:tcMar>
            <w:vAlign w:val="center"/>
          </w:tcPr>
          <w:p>
            <w:pPr>
              <w:spacing w:after="40" w:line="247" w:lineRule="auto"/>
            </w:pPr>
            <w:r>
              <w:rPr>
                <w:sz w:val="18"/>
              </w:rPr>
              <w:t>Meta description</w:t>
            </w:r>
          </w:p>
        </w:tc>
        <w:tc>
          <w:tcPr>
            <w:tcW w:type="dxa" w:w="7128"/>
            <w:tcMar>
              <w:top w:w="80" w:type="dxa"/>
              <w:start w:w="105" w:type="dxa"/>
              <w:bottom w:w="80" w:type="dxa"/>
              <w:end w:w="105" w:type="dxa"/>
            </w:tcMar>
            <w:vAlign w:val="center"/>
          </w:tcPr>
          <w:p>
            <w:pPr>
              <w:spacing w:after="40" w:line="247" w:lineRule="auto"/>
            </w:pPr>
            <w:r>
              <w:rPr>
                <w:sz w:val="18"/>
              </w:rPr>
              <w:t>Understand the advantages and limitations of AAC blocks, how they compare with red bricks, and why manufacturing control determines consistent quality.</w:t>
            </w:r>
          </w:p>
        </w:tc>
      </w:tr>
      <w:tr>
        <w:tc>
          <w:tcPr>
            <w:tcW w:type="dxa" w:w="2232"/>
            <w:tcMar>
              <w:top w:w="80" w:type="dxa"/>
              <w:start w:w="105" w:type="dxa"/>
              <w:bottom w:w="80" w:type="dxa"/>
              <w:end w:w="105" w:type="dxa"/>
            </w:tcMar>
            <w:vAlign w:val="center"/>
            <w:shd w:fill="F5F7F9"/>
          </w:tcPr>
          <w:p>
            <w:pPr>
              <w:spacing w:after="40" w:line="247" w:lineRule="auto"/>
            </w:pPr>
            <w:r>
              <w:rPr>
                <w:sz w:val="18"/>
              </w:rPr>
              <w:t>URL</w:t>
            </w:r>
          </w:p>
        </w:tc>
        <w:tc>
          <w:tcPr>
            <w:tcW w:type="dxa" w:w="7128"/>
            <w:tcMar>
              <w:top w:w="80" w:type="dxa"/>
              <w:start w:w="105" w:type="dxa"/>
              <w:bottom w:w="80" w:type="dxa"/>
              <w:end w:w="105" w:type="dxa"/>
            </w:tcMar>
            <w:vAlign w:val="center"/>
            <w:shd w:fill="F5F7F9"/>
          </w:tcPr>
          <w:p>
            <w:pPr>
              <w:spacing w:after="40" w:line="247" w:lineRule="auto"/>
            </w:pPr>
            <w:r>
              <w:rPr>
                <w:sz w:val="18"/>
              </w:rPr>
              <w:t>/why-aac-blocks/</w:t>
            </w:r>
          </w:p>
        </w:tc>
      </w:tr>
      <w:tr>
        <w:tc>
          <w:tcPr>
            <w:tcW w:type="dxa" w:w="2232"/>
            <w:tcMar>
              <w:top w:w="80" w:type="dxa"/>
              <w:start w:w="105" w:type="dxa"/>
              <w:bottom w:w="80" w:type="dxa"/>
              <w:end w:w="105" w:type="dxa"/>
            </w:tcMar>
            <w:vAlign w:val="center"/>
          </w:tcPr>
          <w:p>
            <w:pPr>
              <w:spacing w:after="40" w:line="247" w:lineRule="auto"/>
            </w:pPr>
            <w:r>
              <w:rPr>
                <w:sz w:val="18"/>
              </w:rPr>
              <w:t>H1</w:t>
            </w:r>
          </w:p>
        </w:tc>
        <w:tc>
          <w:tcPr>
            <w:tcW w:type="dxa" w:w="7128"/>
            <w:tcMar>
              <w:top w:w="80" w:type="dxa"/>
              <w:start w:w="105" w:type="dxa"/>
              <w:bottom w:w="80" w:type="dxa"/>
              <w:end w:w="105" w:type="dxa"/>
            </w:tcMar>
            <w:vAlign w:val="center"/>
          </w:tcPr>
          <w:p>
            <w:pPr>
              <w:spacing w:after="40" w:line="247" w:lineRule="auto"/>
            </w:pPr>
            <w:r>
              <w:rPr>
                <w:sz w:val="18"/>
              </w:rPr>
              <w:t>Why AAC Blocks? Advantages, Limitations and Engineering</w:t>
            </w:r>
          </w:p>
        </w:tc>
      </w:tr>
      <w:tr>
        <w:tc>
          <w:tcPr>
            <w:tcW w:type="dxa" w:w="2232"/>
            <w:tcMar>
              <w:top w:w="80" w:type="dxa"/>
              <w:start w:w="105" w:type="dxa"/>
              <w:bottom w:w="80" w:type="dxa"/>
              <w:end w:w="105" w:type="dxa"/>
            </w:tcMar>
            <w:vAlign w:val="center"/>
            <w:shd w:fill="F5F7F9"/>
          </w:tcPr>
          <w:p>
            <w:pPr>
              <w:spacing w:after="40" w:line="247" w:lineRule="auto"/>
            </w:pPr>
            <w:r>
              <w:rPr>
                <w:sz w:val="18"/>
              </w:rPr>
              <w:t>Live-copy target</w:t>
            </w:r>
          </w:p>
        </w:tc>
        <w:tc>
          <w:tcPr>
            <w:tcW w:type="dxa" w:w="7128"/>
            <w:tcMar>
              <w:top w:w="80" w:type="dxa"/>
              <w:start w:w="105" w:type="dxa"/>
              <w:bottom w:w="80" w:type="dxa"/>
              <w:end w:w="105" w:type="dxa"/>
            </w:tcMar>
            <w:vAlign w:val="center"/>
            <w:shd w:fill="F5F7F9"/>
          </w:tcPr>
          <w:p>
            <w:pPr>
              <w:spacing w:after="40" w:line="247" w:lineRule="auto"/>
            </w:pPr>
            <w:r>
              <w:rPr>
                <w:sz w:val="18"/>
              </w:rPr>
              <w:t>Approximately 1,300 words; designed for 2–3 substantial website scrolls</w:t>
            </w:r>
          </w:p>
        </w:tc>
      </w:tr>
      <w:tr>
        <w:tc>
          <w:tcPr>
            <w:tcW w:type="dxa" w:w="2232"/>
            <w:tcMar>
              <w:top w:w="80" w:type="dxa"/>
              <w:start w:w="105" w:type="dxa"/>
              <w:bottom w:w="80" w:type="dxa"/>
              <w:end w:w="105" w:type="dxa"/>
            </w:tcMar>
            <w:vAlign w:val="center"/>
          </w:tcPr>
          <w:p>
            <w:pPr>
              <w:spacing w:after="40" w:line="247" w:lineRule="auto"/>
            </w:pPr>
            <w:r>
              <w:rPr>
                <w:sz w:val="18"/>
              </w:rPr>
              <w:t>Primary CTA</w:t>
            </w:r>
          </w:p>
        </w:tc>
        <w:tc>
          <w:tcPr>
            <w:tcW w:type="dxa" w:w="7128"/>
            <w:tcMar>
              <w:top w:w="80" w:type="dxa"/>
              <w:start w:w="105" w:type="dxa"/>
              <w:bottom w:w="80" w:type="dxa"/>
              <w:end w:w="105" w:type="dxa"/>
            </w:tcMar>
            <w:vAlign w:val="center"/>
          </w:tcPr>
          <w:p>
            <w:pPr>
              <w:spacing w:after="40" w:line="247" w:lineRule="auto"/>
            </w:pPr>
            <w:r>
              <w:rPr>
                <w:sz w:val="18"/>
              </w:rPr>
              <w:t>Discuss Your AAC Plant Requirement</w:t>
            </w:r>
          </w:p>
        </w:tc>
      </w:tr>
    </w:tbl>
    <w:p>
      <w:pPr>
        <w:spacing w:after="0"/>
      </w:pPr>
    </w:p>
    <w:p>
      <w:pPr>
        <w:pStyle w:val="EditorNote"/>
      </w:pPr>
      <w:r>
        <w:t>Scope rule: This page explains why AAC matters. Detailed manufacturing process, raw materials, plant capacity, automation, autoclaving, utilities, cost and expansion information should link to their own topic pages.</w:t>
      </w:r>
    </w:p>
    <w:p>
      <w:r>
        <w:br w:type="page"/>
      </w:r>
    </w:p>
    <w:p>
      <w:pPr>
        <w:pStyle w:val="Heading1"/>
      </w:pPr>
      <w:r>
        <w:t>Why AAC Blocks? Advantages, Limitations and Engineering</w:t>
      </w:r>
    </w:p>
    <w:p>
      <w:pPr>
        <w:pStyle w:val="AnswerBlock"/>
      </w:pPr>
      <w:r>
        <w:t>Autoclaved Aerated Concrete (AAC) blocks are lightweight, factory-produced masonry units valued for lower wall dead load, thermal performance, dimensional consistency and efficient installation. Their benefits come from a controlled cellular structure and autoclave curing. However, actual project results depend on block quality, wall design, workmanship and the consistency of the manufacturing process.</w:t>
      </w:r>
    </w:p>
    <w:p>
      <w:r>
        <w:t>For an AAC plant investor, this creates the real opportunity: the market needs blocks that deliver dependable performance—not merely a plant with a high installed capacity.</w:t>
      </w:r>
    </w:p>
    <w:p>
      <w:pPr>
        <w:pStyle w:val="Heading2"/>
      </w:pPr>
      <w:r>
        <w:t>What Is AAC?</w:t>
      </w:r>
    </w:p>
    <w:p>
      <w:r>
        <w:t>AAC is generally produced from a silica source such as sand or fly ash, together with cement, lime, gypsum, aluminium powder and water. Aluminium reacts in the alkaline mix and creates gas, expanding the material into a cellular “green cake.” After pre-curing, the cake is wire-cut to size and cured inside an autoclave using saturated steam.</w:t>
      </w:r>
    </w:p>
    <w:p>
      <w:r>
        <w:t>Hydrothermal curing develops hardened calcium-silicate-hydrate phases, including tobermorite, which contribute to AAC’s final strength and dimensional behaviour. This means AAC quality depends on the complete process—from raw-material preparation to autoclaving—not on any single machine.</w:t>
      </w:r>
    </w:p>
    <w:p>
      <w:pPr>
        <w:pStyle w:val="Heading2"/>
      </w:pPr>
      <w:r>
        <w:t>Main Advantages of AAC Blocks</w:t>
      </w:r>
    </w:p>
    <w:p>
      <w:pPr>
        <w:pStyle w:val="Heading3"/>
      </w:pPr>
      <w:r>
        <w:t>Lower Wall Dead Load</w:t>
      </w:r>
    </w:p>
    <w:p>
      <w:r>
        <w:t>AAC is lower in density than conventional clay masonry and dense concrete products. This reduces the load contributed by walls and can create an opportunity for structural optimisation when the building is redesigned accordingly. It should not be presented as a guaranteed steel or foundation saving.</w:t>
      </w:r>
    </w:p>
    <w:p>
      <w:pPr>
        <w:pStyle w:val="Heading3"/>
      </w:pPr>
      <w:r>
        <w:t>Thermal Performance</w:t>
      </w:r>
    </w:p>
    <w:p>
      <w:r>
        <w:t>AAC’s cellular structure reduces heat flow through the wall compared with denser masonry. This can support indoor comfort and lower heating or cooling demand, but the result depends on wall thickness, mortar, finishes, openings, climate and the complete building design.</w:t>
      </w:r>
    </w:p>
    <w:p>
      <w:pPr>
        <w:pStyle w:val="Heading3"/>
      </w:pPr>
      <w:r>
        <w:t>Dimensional Consistency</w:t>
      </w:r>
    </w:p>
    <w:p>
      <w:r>
        <w:t>Wire cutting can provide controlled block dimensions, supporting straighter walls and thinner, more consistent joints. The site benefit depends on blocks meeting specification and being installed with the correct mortar and workmanship.</w:t>
      </w:r>
    </w:p>
    <w:p>
      <w:pPr>
        <w:pStyle w:val="Heading3"/>
      </w:pPr>
      <w:r>
        <w:t>Faster, More Workable Masonry</w:t>
      </w:r>
    </w:p>
    <w:p>
      <w:r>
        <w:t>AAC blocks are comparatively large and light for the wall area they cover. They can be cut with suitable tools, helping crews form openings and service routes efficiently. Actual productivity depends on block size, wall complexity, handling, site logistics and worker training.</w:t>
      </w:r>
    </w:p>
    <w:p>
      <w:pPr>
        <w:pStyle w:val="Heading3"/>
      </w:pPr>
      <w:r>
        <w:t>Fire and Acoustic Potential</w:t>
      </w:r>
    </w:p>
    <w:p>
      <w:r>
        <w:t>AAC is a non-combustible mineral-based material. Fire resistance and acoustic performance must be evaluated for the complete wall assembly, including thickness, joints, finishes and penetrations. Claims should use test reports for the exact product and configuration.</w:t>
      </w:r>
    </w:p>
    <w:p>
      <w:pPr>
        <w:pStyle w:val="Heading2"/>
      </w:pPr>
      <w:r>
        <w:t>Important Limitations</w:t>
      </w:r>
    </w:p>
    <w:p>
      <w:pPr>
        <w:pStyle w:val="ListBullet"/>
        <w:spacing w:after="60"/>
      </w:pPr>
      <w:r>
        <w:t>Blocks can chip or break if transportation, stacking and unloading are poorly controlled.</w:t>
      </w:r>
    </w:p>
    <w:p>
      <w:pPr>
        <w:pStyle w:val="ListBullet"/>
        <w:spacing w:after="60"/>
      </w:pPr>
      <w:r>
        <w:t>Heavy fixtures require anchors selected and designed for AAC.</w:t>
      </w:r>
    </w:p>
    <w:p>
      <w:pPr>
        <w:pStyle w:val="ListBullet"/>
        <w:spacing w:after="60"/>
      </w:pPr>
      <w:r>
        <w:t>External walls need appropriate finishes, joints and moisture protection.</w:t>
      </w:r>
    </w:p>
    <w:p>
      <w:pPr>
        <w:pStyle w:val="ListBullet"/>
        <w:spacing w:after="60"/>
      </w:pPr>
      <w:r>
        <w:t>Incorrect mortar, excessive chasing or poor junction detailing can contribute to cracks and finishing problems.</w:t>
      </w:r>
    </w:p>
    <w:p>
      <w:pPr>
        <w:pStyle w:val="ListBullet"/>
        <w:spacing w:after="60"/>
      </w:pPr>
      <w:r>
        <w:t>Load-bearing suitability depends on the product grade, wall design and applicable requirements.</w:t>
      </w:r>
    </w:p>
    <w:p>
      <w:pPr>
        <w:pStyle w:val="ListBullet"/>
        <w:spacing w:after="60"/>
      </w:pPr>
      <w:r>
        <w:t>Blocks that look similar may perform differently if density, strength, dimensions or curing are inconsistent.</w:t>
      </w:r>
    </w:p>
    <w:p>
      <w:pPr>
        <w:pStyle w:val="Heading2"/>
      </w:pPr>
      <w:r>
        <w:t>AAC Blocks vs Red Bricks</w:t>
      </w:r>
    </w:p>
    <w:p>
      <w:r>
        <w:t>AAC and red clay bricks can both perform successfully. The right selection depends on the project rather than a universal winner. Compare the complete installed wall—not only the unit price.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944"/>
            <w:shd w:fill="16324F"/>
            <w:tcMar>
              <w:top w:w="80" w:type="dxa"/>
              <w:start w:w="105" w:type="dxa"/>
              <w:bottom w:w="80" w:type="dxa"/>
              <w:end w:w="105" w:type="dxa"/>
            </w:tcMar>
            <w:vAlign w:val="center"/>
          </w:tcPr>
          <w:p>
            <w:r>
              <w:rPr>
                <w:b/>
                <w:color w:val="FFFFFF"/>
                <w:sz w:val="16"/>
              </w:rPr>
              <w:t>Decision factor</w:t>
            </w:r>
          </w:p>
        </w:tc>
        <w:tc>
          <w:tcPr>
            <w:tcW w:type="dxa" w:w="3672"/>
            <w:shd w:fill="16324F"/>
            <w:tcMar>
              <w:top w:w="80" w:type="dxa"/>
              <w:start w:w="105" w:type="dxa"/>
              <w:bottom w:w="80" w:type="dxa"/>
              <w:end w:w="105" w:type="dxa"/>
            </w:tcMar>
            <w:vAlign w:val="center"/>
          </w:tcPr>
          <w:p>
            <w:r>
              <w:rPr>
                <w:b/>
                <w:color w:val="FFFFFF"/>
                <w:sz w:val="16"/>
              </w:rPr>
              <w:t>AAC blocks</w:t>
            </w:r>
          </w:p>
        </w:tc>
        <w:tc>
          <w:tcPr>
            <w:tcW w:type="dxa" w:w="3744"/>
            <w:shd w:fill="16324F"/>
            <w:tcMar>
              <w:top w:w="80" w:type="dxa"/>
              <w:start w:w="105" w:type="dxa"/>
              <w:bottom w:w="80" w:type="dxa"/>
              <w:end w:w="105" w:type="dxa"/>
            </w:tcMar>
            <w:vAlign w:val="center"/>
          </w:tcPr>
          <w:p>
            <w:r>
              <w:rPr>
                <w:b/>
                <w:color w:val="FFFFFF"/>
                <w:sz w:val="16"/>
              </w:rPr>
              <w:t>Red clay bricks</w:t>
            </w:r>
          </w:p>
        </w:tc>
      </w:tr>
      <w:tr>
        <w:tc>
          <w:tcPr>
            <w:tcW w:type="dxa" w:w="1944"/>
            <w:tcMar>
              <w:top w:w="80" w:type="dxa"/>
              <w:start w:w="105" w:type="dxa"/>
              <w:bottom w:w="80" w:type="dxa"/>
              <w:end w:w="105" w:type="dxa"/>
            </w:tcMar>
            <w:vAlign w:val="center"/>
          </w:tcPr>
          <w:p>
            <w:pPr>
              <w:spacing w:after="40" w:line="247" w:lineRule="auto"/>
            </w:pPr>
            <w:r>
              <w:rPr>
                <w:sz w:val="16"/>
              </w:rPr>
              <w:t>Wall load</w:t>
            </w:r>
          </w:p>
        </w:tc>
        <w:tc>
          <w:tcPr>
            <w:tcW w:type="dxa" w:w="3672"/>
            <w:tcMar>
              <w:top w:w="80" w:type="dxa"/>
              <w:start w:w="105" w:type="dxa"/>
              <w:bottom w:w="80" w:type="dxa"/>
              <w:end w:w="105" w:type="dxa"/>
            </w:tcMar>
            <w:vAlign w:val="center"/>
          </w:tcPr>
          <w:p>
            <w:pPr>
              <w:spacing w:after="40" w:line="247" w:lineRule="auto"/>
            </w:pPr>
            <w:r>
              <w:rPr>
                <w:sz w:val="16"/>
              </w:rPr>
              <w:t>Generally lower because of lower density</w:t>
            </w:r>
          </w:p>
        </w:tc>
        <w:tc>
          <w:tcPr>
            <w:tcW w:type="dxa" w:w="3744"/>
            <w:tcMar>
              <w:top w:w="80" w:type="dxa"/>
              <w:start w:w="105" w:type="dxa"/>
              <w:bottom w:w="80" w:type="dxa"/>
              <w:end w:w="105" w:type="dxa"/>
            </w:tcMar>
            <w:vAlign w:val="center"/>
          </w:tcPr>
          <w:p>
            <w:pPr>
              <w:spacing w:after="40" w:line="247" w:lineRule="auto"/>
            </w:pPr>
            <w:r>
              <w:rPr>
                <w:sz w:val="16"/>
              </w:rPr>
              <w:t>Generally higher for comparable wall volume</w:t>
            </w:r>
          </w:p>
        </w:tc>
      </w:tr>
      <w:tr>
        <w:tc>
          <w:tcPr>
            <w:tcW w:type="dxa" w:w="1944"/>
            <w:tcMar>
              <w:top w:w="80" w:type="dxa"/>
              <w:start w:w="105" w:type="dxa"/>
              <w:bottom w:w="80" w:type="dxa"/>
              <w:end w:w="105" w:type="dxa"/>
            </w:tcMar>
            <w:vAlign w:val="center"/>
            <w:shd w:fill="F5F7F9"/>
          </w:tcPr>
          <w:p>
            <w:pPr>
              <w:spacing w:after="40" w:line="247" w:lineRule="auto"/>
            </w:pPr>
            <w:r>
              <w:rPr>
                <w:sz w:val="16"/>
              </w:rPr>
              <w:t>Thermal behaviour</w:t>
            </w:r>
          </w:p>
        </w:tc>
        <w:tc>
          <w:tcPr>
            <w:tcW w:type="dxa" w:w="3672"/>
            <w:tcMar>
              <w:top w:w="80" w:type="dxa"/>
              <w:start w:w="105" w:type="dxa"/>
              <w:bottom w:w="80" w:type="dxa"/>
              <w:end w:w="105" w:type="dxa"/>
            </w:tcMar>
            <w:vAlign w:val="center"/>
            <w:shd w:fill="F5F7F9"/>
          </w:tcPr>
          <w:p>
            <w:pPr>
              <w:spacing w:after="40" w:line="247" w:lineRule="auto"/>
            </w:pPr>
            <w:r>
              <w:rPr>
                <w:sz w:val="16"/>
              </w:rPr>
              <w:t>Cellular structure generally reduces heat flow</w:t>
            </w:r>
          </w:p>
        </w:tc>
        <w:tc>
          <w:tcPr>
            <w:tcW w:type="dxa" w:w="3744"/>
            <w:tcMar>
              <w:top w:w="80" w:type="dxa"/>
              <w:start w:w="105" w:type="dxa"/>
              <w:bottom w:w="80" w:type="dxa"/>
              <w:end w:w="105" w:type="dxa"/>
            </w:tcMar>
            <w:vAlign w:val="center"/>
            <w:shd w:fill="F5F7F9"/>
          </w:tcPr>
          <w:p>
            <w:pPr>
              <w:spacing w:after="40" w:line="247" w:lineRule="auto"/>
            </w:pPr>
            <w:r>
              <w:rPr>
                <w:sz w:val="16"/>
              </w:rPr>
              <w:t>Depends on brick density, type and wall thickness</w:t>
            </w:r>
          </w:p>
        </w:tc>
      </w:tr>
      <w:tr>
        <w:tc>
          <w:tcPr>
            <w:tcW w:type="dxa" w:w="1944"/>
            <w:tcMar>
              <w:top w:w="80" w:type="dxa"/>
              <w:start w:w="105" w:type="dxa"/>
              <w:bottom w:w="80" w:type="dxa"/>
              <w:end w:w="105" w:type="dxa"/>
            </w:tcMar>
            <w:vAlign w:val="center"/>
          </w:tcPr>
          <w:p>
            <w:pPr>
              <w:spacing w:after="40" w:line="247" w:lineRule="auto"/>
            </w:pPr>
            <w:r>
              <w:rPr>
                <w:sz w:val="16"/>
              </w:rPr>
              <w:t>Dimensions</w:t>
            </w:r>
          </w:p>
        </w:tc>
        <w:tc>
          <w:tcPr>
            <w:tcW w:type="dxa" w:w="3672"/>
            <w:tcMar>
              <w:top w:w="80" w:type="dxa"/>
              <w:start w:w="105" w:type="dxa"/>
              <w:bottom w:w="80" w:type="dxa"/>
              <w:end w:w="105" w:type="dxa"/>
            </w:tcMar>
            <w:vAlign w:val="center"/>
          </w:tcPr>
          <w:p>
            <w:pPr>
              <w:spacing w:after="40" w:line="247" w:lineRule="auto"/>
            </w:pPr>
            <w:r>
              <w:rPr>
                <w:sz w:val="16"/>
              </w:rPr>
              <w:t>Factory wire-cutting can provide controlled sizes</w:t>
            </w:r>
          </w:p>
        </w:tc>
        <w:tc>
          <w:tcPr>
            <w:tcW w:type="dxa" w:w="3744"/>
            <w:tcMar>
              <w:top w:w="80" w:type="dxa"/>
              <w:start w:w="105" w:type="dxa"/>
              <w:bottom w:w="80" w:type="dxa"/>
              <w:end w:w="105" w:type="dxa"/>
            </w:tcMar>
            <w:vAlign w:val="center"/>
          </w:tcPr>
          <w:p>
            <w:pPr>
              <w:spacing w:after="40" w:line="247" w:lineRule="auto"/>
            </w:pPr>
            <w:r>
              <w:rPr>
                <w:sz w:val="16"/>
              </w:rPr>
              <w:t>Variation depends on production method and supplier</w:t>
            </w:r>
          </w:p>
        </w:tc>
      </w:tr>
      <w:tr>
        <w:tc>
          <w:tcPr>
            <w:tcW w:type="dxa" w:w="1944"/>
            <w:tcMar>
              <w:top w:w="80" w:type="dxa"/>
              <w:start w:w="105" w:type="dxa"/>
              <w:bottom w:w="80" w:type="dxa"/>
              <w:end w:w="105" w:type="dxa"/>
            </w:tcMar>
            <w:vAlign w:val="center"/>
            <w:shd w:fill="F5F7F9"/>
          </w:tcPr>
          <w:p>
            <w:pPr>
              <w:spacing w:after="40" w:line="247" w:lineRule="auto"/>
            </w:pPr>
            <w:r>
              <w:rPr>
                <w:sz w:val="16"/>
              </w:rPr>
              <w:t>Installation</w:t>
            </w:r>
          </w:p>
        </w:tc>
        <w:tc>
          <w:tcPr>
            <w:tcW w:type="dxa" w:w="3672"/>
            <w:tcMar>
              <w:top w:w="80" w:type="dxa"/>
              <w:start w:w="105" w:type="dxa"/>
              <w:bottom w:w="80" w:type="dxa"/>
              <w:end w:w="105" w:type="dxa"/>
            </w:tcMar>
            <w:vAlign w:val="center"/>
            <w:shd w:fill="F5F7F9"/>
          </w:tcPr>
          <w:p>
            <w:pPr>
              <w:spacing w:after="40" w:line="247" w:lineRule="auto"/>
            </w:pPr>
            <w:r>
              <w:rPr>
                <w:sz w:val="16"/>
              </w:rPr>
              <w:t>Larger, lighter units can reduce joints and handling</w:t>
            </w:r>
          </w:p>
        </w:tc>
        <w:tc>
          <w:tcPr>
            <w:tcW w:type="dxa" w:w="3744"/>
            <w:tcMar>
              <w:top w:w="80" w:type="dxa"/>
              <w:start w:w="105" w:type="dxa"/>
              <w:bottom w:w="80" w:type="dxa"/>
              <w:end w:w="105" w:type="dxa"/>
            </w:tcMar>
            <w:vAlign w:val="center"/>
            <w:shd w:fill="F5F7F9"/>
          </w:tcPr>
          <w:p>
            <w:pPr>
              <w:spacing w:after="40" w:line="247" w:lineRule="auto"/>
            </w:pPr>
            <w:r>
              <w:rPr>
                <w:sz w:val="16"/>
              </w:rPr>
              <w:t>Smaller units generally require more joints</w:t>
            </w:r>
          </w:p>
        </w:tc>
      </w:tr>
      <w:tr>
        <w:tc>
          <w:tcPr>
            <w:tcW w:type="dxa" w:w="1944"/>
            <w:tcMar>
              <w:top w:w="80" w:type="dxa"/>
              <w:start w:w="105" w:type="dxa"/>
              <w:bottom w:w="80" w:type="dxa"/>
              <w:end w:w="105" w:type="dxa"/>
            </w:tcMar>
            <w:vAlign w:val="center"/>
          </w:tcPr>
          <w:p>
            <w:pPr>
              <w:spacing w:after="40" w:line="247" w:lineRule="auto"/>
            </w:pPr>
            <w:r>
              <w:rPr>
                <w:sz w:val="16"/>
              </w:rPr>
              <w:t>Fixings</w:t>
            </w:r>
          </w:p>
        </w:tc>
        <w:tc>
          <w:tcPr>
            <w:tcW w:type="dxa" w:w="3672"/>
            <w:tcMar>
              <w:top w:w="80" w:type="dxa"/>
              <w:start w:w="105" w:type="dxa"/>
              <w:bottom w:w="80" w:type="dxa"/>
              <w:end w:w="105" w:type="dxa"/>
            </w:tcMar>
            <w:vAlign w:val="center"/>
          </w:tcPr>
          <w:p>
            <w:pPr>
              <w:spacing w:after="40" w:line="247" w:lineRule="auto"/>
            </w:pPr>
            <w:r>
              <w:rPr>
                <w:sz w:val="16"/>
              </w:rPr>
              <w:t>AAC-specific anchors may be required</w:t>
            </w:r>
          </w:p>
        </w:tc>
        <w:tc>
          <w:tcPr>
            <w:tcW w:type="dxa" w:w="3744"/>
            <w:tcMar>
              <w:top w:w="80" w:type="dxa"/>
              <w:start w:w="105" w:type="dxa"/>
              <w:bottom w:w="80" w:type="dxa"/>
              <w:end w:w="105" w:type="dxa"/>
            </w:tcMar>
            <w:vAlign w:val="center"/>
          </w:tcPr>
          <w:p>
            <w:pPr>
              <w:spacing w:after="40" w:line="247" w:lineRule="auto"/>
            </w:pPr>
            <w:r>
              <w:rPr>
                <w:sz w:val="16"/>
              </w:rPr>
              <w:t>Fastener choice still depends on brick quality and load</w:t>
            </w:r>
          </w:p>
        </w:tc>
      </w:tr>
      <w:tr>
        <w:tc>
          <w:tcPr>
            <w:tcW w:type="dxa" w:w="1944"/>
            <w:tcMar>
              <w:top w:w="80" w:type="dxa"/>
              <w:start w:w="105" w:type="dxa"/>
              <w:bottom w:w="80" w:type="dxa"/>
              <w:end w:w="105" w:type="dxa"/>
            </w:tcMar>
            <w:vAlign w:val="center"/>
            <w:shd w:fill="F5F7F9"/>
          </w:tcPr>
          <w:p>
            <w:pPr>
              <w:spacing w:after="40" w:line="247" w:lineRule="auto"/>
            </w:pPr>
            <w:r>
              <w:rPr>
                <w:sz w:val="16"/>
              </w:rPr>
              <w:t>Delivered economics</w:t>
            </w:r>
          </w:p>
        </w:tc>
        <w:tc>
          <w:tcPr>
            <w:tcW w:type="dxa" w:w="3672"/>
            <w:tcMar>
              <w:top w:w="80" w:type="dxa"/>
              <w:start w:w="105" w:type="dxa"/>
              <w:bottom w:w="80" w:type="dxa"/>
              <w:end w:w="105" w:type="dxa"/>
            </w:tcMar>
            <w:vAlign w:val="center"/>
            <w:shd w:fill="F5F7F9"/>
          </w:tcPr>
          <w:p>
            <w:pPr>
              <w:spacing w:after="40" w:line="247" w:lineRule="auto"/>
            </w:pPr>
            <w:r>
              <w:rPr>
                <w:sz w:val="16"/>
              </w:rPr>
              <w:t>Evaluate block, freight, breakage, mortar, plaster and speed</w:t>
            </w:r>
          </w:p>
        </w:tc>
        <w:tc>
          <w:tcPr>
            <w:tcW w:type="dxa" w:w="3744"/>
            <w:tcMar>
              <w:top w:w="80" w:type="dxa"/>
              <w:start w:w="105" w:type="dxa"/>
              <w:bottom w:w="80" w:type="dxa"/>
              <w:end w:w="105" w:type="dxa"/>
            </w:tcMar>
            <w:vAlign w:val="center"/>
            <w:shd w:fill="F5F7F9"/>
          </w:tcPr>
          <w:p>
            <w:pPr>
              <w:spacing w:after="40" w:line="247" w:lineRule="auto"/>
            </w:pPr>
            <w:r>
              <w:rPr>
                <w:sz w:val="16"/>
              </w:rPr>
              <w:t>Evaluate the same complete installed-cost factors</w:t>
            </w:r>
          </w:p>
        </w:tc>
      </w:tr>
    </w:tbl>
    <w:p>
      <w:pPr>
        <w:spacing w:after="0"/>
      </w:pPr>
    </w:p>
    <w:p>
      <w:pPr>
        <w:pStyle w:val="Heading2"/>
      </w:pPr>
      <w:r>
        <w:t>Why Manufacturing Quality Matters</w:t>
      </w:r>
    </w:p>
    <w:p>
      <w:r>
        <w:t>The benefits of AAC are created during production. Raw-material changes, inaccurate dosing, unstable reaction, poor green-cake handling, cutting errors or an inconsistent autoclave cycle can affect density, strength, dimensions and saleable yield.</w:t>
      </w:r>
    </w:p>
    <w:tbl>
      <w:tblPr>
        <w:tblStyle w:val="TableGrid"/>
        <w:tblW w:type="auto" w:w="0"/>
        <w:jc w:val="center"/>
        <w:tblLayout w:type="fixed"/>
        <w:tblLook w:firstColumn="1" w:firstRow="1" w:lastColumn="0" w:lastRow="0" w:noHBand="0" w:noVBand="1" w:val="04A0"/>
      </w:tblPr>
      <w:tblGrid>
        <w:gridCol w:w="4968"/>
        <w:gridCol w:w="4968"/>
      </w:tblGrid>
      <w:tr>
        <w:tc>
          <w:tcPr>
            <w:tcW w:type="dxa" w:w="2232"/>
            <w:shd w:fill="16324F"/>
            <w:tcMar>
              <w:top w:w="80" w:type="dxa"/>
              <w:start w:w="105" w:type="dxa"/>
              <w:bottom w:w="80" w:type="dxa"/>
              <w:end w:w="105" w:type="dxa"/>
            </w:tcMar>
            <w:vAlign w:val="center"/>
          </w:tcPr>
          <w:p>
            <w:r>
              <w:rPr>
                <w:b/>
                <w:color w:val="FFFFFF"/>
                <w:sz w:val="17"/>
              </w:rPr>
              <w:t>Stage</w:t>
            </w:r>
          </w:p>
        </w:tc>
        <w:tc>
          <w:tcPr>
            <w:tcW w:type="dxa" w:w="7128"/>
            <w:shd w:fill="16324F"/>
            <w:tcMar>
              <w:top w:w="80" w:type="dxa"/>
              <w:start w:w="105" w:type="dxa"/>
              <w:bottom w:w="80" w:type="dxa"/>
              <w:end w:w="105" w:type="dxa"/>
            </w:tcMar>
            <w:vAlign w:val="center"/>
          </w:tcPr>
          <w:p>
            <w:r>
              <w:rPr>
                <w:b/>
                <w:color w:val="FFFFFF"/>
                <w:sz w:val="17"/>
              </w:rPr>
              <w:t>What must remain controlled</w:t>
            </w:r>
          </w:p>
        </w:tc>
      </w:tr>
      <w:tr>
        <w:tc>
          <w:tcPr>
            <w:tcW w:type="dxa" w:w="2232"/>
            <w:tcMar>
              <w:top w:w="80" w:type="dxa"/>
              <w:start w:w="105" w:type="dxa"/>
              <w:bottom w:w="80" w:type="dxa"/>
              <w:end w:w="105" w:type="dxa"/>
            </w:tcMar>
            <w:vAlign w:val="center"/>
          </w:tcPr>
          <w:p>
            <w:pPr>
              <w:spacing w:after="40" w:line="247" w:lineRule="auto"/>
            </w:pPr>
            <w:r>
              <w:rPr>
                <w:sz w:val="17"/>
              </w:rPr>
              <w:t>Raw materials</w:t>
            </w:r>
          </w:p>
        </w:tc>
        <w:tc>
          <w:tcPr>
            <w:tcW w:type="dxa" w:w="7128"/>
            <w:tcMar>
              <w:top w:w="80" w:type="dxa"/>
              <w:start w:w="105" w:type="dxa"/>
              <w:bottom w:w="80" w:type="dxa"/>
              <w:end w:w="105" w:type="dxa"/>
            </w:tcMar>
            <w:vAlign w:val="center"/>
          </w:tcPr>
          <w:p>
            <w:pPr>
              <w:spacing w:after="40" w:line="247" w:lineRule="auto"/>
            </w:pPr>
            <w:r>
              <w:rPr>
                <w:sz w:val="17"/>
              </w:rPr>
              <w:t>Chemistry, fineness, moisture, temperature and reactivity</w:t>
            </w:r>
          </w:p>
        </w:tc>
      </w:tr>
      <w:tr>
        <w:tc>
          <w:tcPr>
            <w:tcW w:type="dxa" w:w="2232"/>
            <w:tcMar>
              <w:top w:w="80" w:type="dxa"/>
              <w:start w:w="105" w:type="dxa"/>
              <w:bottom w:w="80" w:type="dxa"/>
              <w:end w:w="105" w:type="dxa"/>
            </w:tcMar>
            <w:vAlign w:val="center"/>
            <w:shd w:fill="F5F7F9"/>
          </w:tcPr>
          <w:p>
            <w:pPr>
              <w:spacing w:after="40" w:line="247" w:lineRule="auto"/>
            </w:pPr>
            <w:r>
              <w:rPr>
                <w:sz w:val="17"/>
              </w:rPr>
              <w:t>Batching and mixing</w:t>
            </w:r>
          </w:p>
        </w:tc>
        <w:tc>
          <w:tcPr>
            <w:tcW w:type="dxa" w:w="7128"/>
            <w:tcMar>
              <w:top w:w="80" w:type="dxa"/>
              <w:start w:w="105" w:type="dxa"/>
              <w:bottom w:w="80" w:type="dxa"/>
              <w:end w:w="105" w:type="dxa"/>
            </w:tcMar>
            <w:vAlign w:val="center"/>
            <w:shd w:fill="F5F7F9"/>
          </w:tcPr>
          <w:p>
            <w:pPr>
              <w:spacing w:after="40" w:line="247" w:lineRule="auto"/>
            </w:pPr>
            <w:r>
              <w:rPr>
                <w:sz w:val="17"/>
              </w:rPr>
              <w:t>Dosing accuracy, slurry condition, mixing and temperature</w:t>
            </w:r>
          </w:p>
        </w:tc>
      </w:tr>
      <w:tr>
        <w:tc>
          <w:tcPr>
            <w:tcW w:type="dxa" w:w="2232"/>
            <w:tcMar>
              <w:top w:w="80" w:type="dxa"/>
              <w:start w:w="105" w:type="dxa"/>
              <w:bottom w:w="80" w:type="dxa"/>
              <w:end w:w="105" w:type="dxa"/>
            </w:tcMar>
            <w:vAlign w:val="center"/>
          </w:tcPr>
          <w:p>
            <w:pPr>
              <w:spacing w:after="40" w:line="247" w:lineRule="auto"/>
            </w:pPr>
            <w:r>
              <w:rPr>
                <w:sz w:val="17"/>
              </w:rPr>
              <w:t>Pore formation</w:t>
            </w:r>
          </w:p>
        </w:tc>
        <w:tc>
          <w:tcPr>
            <w:tcW w:type="dxa" w:w="7128"/>
            <w:tcMar>
              <w:top w:w="80" w:type="dxa"/>
              <w:start w:w="105" w:type="dxa"/>
              <w:bottom w:w="80" w:type="dxa"/>
              <w:end w:w="105" w:type="dxa"/>
            </w:tcMar>
            <w:vAlign w:val="center"/>
          </w:tcPr>
          <w:p>
            <w:pPr>
              <w:spacing w:after="40" w:line="247" w:lineRule="auto"/>
            </w:pPr>
            <w:r>
              <w:rPr>
                <w:sz w:val="17"/>
              </w:rPr>
              <w:t>Reaction timing, rise behaviour and pre-curing window</w:t>
            </w:r>
          </w:p>
        </w:tc>
      </w:tr>
      <w:tr>
        <w:tc>
          <w:tcPr>
            <w:tcW w:type="dxa" w:w="2232"/>
            <w:tcMar>
              <w:top w:w="80" w:type="dxa"/>
              <w:start w:w="105" w:type="dxa"/>
              <w:bottom w:w="80" w:type="dxa"/>
              <w:end w:w="105" w:type="dxa"/>
            </w:tcMar>
            <w:vAlign w:val="center"/>
            <w:shd w:fill="F5F7F9"/>
          </w:tcPr>
          <w:p>
            <w:pPr>
              <w:spacing w:after="40" w:line="247" w:lineRule="auto"/>
            </w:pPr>
            <w:r>
              <w:rPr>
                <w:sz w:val="17"/>
              </w:rPr>
              <w:t>Handling and cutting</w:t>
            </w:r>
          </w:p>
        </w:tc>
        <w:tc>
          <w:tcPr>
            <w:tcW w:type="dxa" w:w="7128"/>
            <w:tcMar>
              <w:top w:w="80" w:type="dxa"/>
              <w:start w:w="105" w:type="dxa"/>
              <w:bottom w:w="80" w:type="dxa"/>
              <w:end w:w="105" w:type="dxa"/>
            </w:tcMar>
            <w:vAlign w:val="center"/>
            <w:shd w:fill="F5F7F9"/>
          </w:tcPr>
          <w:p>
            <w:pPr>
              <w:spacing w:after="40" w:line="247" w:lineRule="auto"/>
            </w:pPr>
            <w:r>
              <w:rPr>
                <w:sz w:val="17"/>
              </w:rPr>
              <w:t>Green strength, gentle transfer, wire condition and alignment</w:t>
            </w:r>
          </w:p>
        </w:tc>
      </w:tr>
      <w:tr>
        <w:tc>
          <w:tcPr>
            <w:tcW w:type="dxa" w:w="2232"/>
            <w:tcMar>
              <w:top w:w="80" w:type="dxa"/>
              <w:start w:w="105" w:type="dxa"/>
              <w:bottom w:w="80" w:type="dxa"/>
              <w:end w:w="105" w:type="dxa"/>
            </w:tcMar>
            <w:vAlign w:val="center"/>
          </w:tcPr>
          <w:p>
            <w:pPr>
              <w:spacing w:after="40" w:line="247" w:lineRule="auto"/>
            </w:pPr>
            <w:r>
              <w:rPr>
                <w:sz w:val="17"/>
              </w:rPr>
              <w:t>Autoclaving</w:t>
            </w:r>
          </w:p>
        </w:tc>
        <w:tc>
          <w:tcPr>
            <w:tcW w:type="dxa" w:w="7128"/>
            <w:tcMar>
              <w:top w:w="80" w:type="dxa"/>
              <w:start w:w="105" w:type="dxa"/>
              <w:bottom w:w="80" w:type="dxa"/>
              <w:end w:w="105" w:type="dxa"/>
            </w:tcMar>
            <w:vAlign w:val="center"/>
          </w:tcPr>
          <w:p>
            <w:pPr>
              <w:spacing w:after="40" w:line="247" w:lineRule="auto"/>
            </w:pPr>
            <w:r>
              <w:rPr>
                <w:sz w:val="17"/>
              </w:rPr>
              <w:t>Loading, steam distribution, pressure-temperature cycle and controlled depressurisation</w:t>
            </w:r>
          </w:p>
        </w:tc>
      </w:tr>
      <w:tr>
        <w:tc>
          <w:tcPr>
            <w:tcW w:type="dxa" w:w="2232"/>
            <w:tcMar>
              <w:top w:w="80" w:type="dxa"/>
              <w:start w:w="105" w:type="dxa"/>
              <w:bottom w:w="80" w:type="dxa"/>
              <w:end w:w="105" w:type="dxa"/>
            </w:tcMar>
            <w:vAlign w:val="center"/>
            <w:shd w:fill="F5F7F9"/>
          </w:tcPr>
          <w:p>
            <w:pPr>
              <w:spacing w:after="40" w:line="247" w:lineRule="auto"/>
            </w:pPr>
            <w:r>
              <w:rPr>
                <w:sz w:val="17"/>
              </w:rPr>
              <w:t>Quality feedback</w:t>
            </w:r>
          </w:p>
        </w:tc>
        <w:tc>
          <w:tcPr>
            <w:tcW w:type="dxa" w:w="7128"/>
            <w:tcMar>
              <w:top w:w="80" w:type="dxa"/>
              <w:start w:w="105" w:type="dxa"/>
              <w:bottom w:w="80" w:type="dxa"/>
              <w:end w:w="105" w:type="dxa"/>
            </w:tcMar>
            <w:vAlign w:val="center"/>
            <w:shd w:fill="F5F7F9"/>
          </w:tcPr>
          <w:p>
            <w:pPr>
              <w:spacing w:after="40" w:line="247" w:lineRule="auto"/>
            </w:pPr>
            <w:r>
              <w:rPr>
                <w:sz w:val="17"/>
              </w:rPr>
              <w:t>Density, strength, dimensions, shrinkage and applicable test trends</w:t>
            </w:r>
          </w:p>
        </w:tc>
      </w:tr>
    </w:tbl>
    <w:p>
      <w:pPr>
        <w:spacing w:after="0"/>
      </w:pPr>
    </w:p>
    <w:p>
      <w:r>
        <w:t>This is also why automation should not be judged only by production speed. Automation creates value when it reduces variation, protects the product, improves traceability or makes material handling more dependable. The correct level depends on plant capacity, labour availability, technical support and maintenance capability.</w:t>
      </w:r>
    </w:p>
    <w:p>
      <w:pPr>
        <w:pStyle w:val="Heading2"/>
      </w:pPr>
      <w:r>
        <w:t>What an AAC Plant Investor Should Understand</w:t>
      </w:r>
    </w:p>
    <w:p>
      <w:r>
        <w:t>A market does not buy installed capacity; it buys blocks that meet required properties and perform reliably in construction. Before selecting machinery, an investor should define:</w:t>
      </w:r>
    </w:p>
    <w:p>
      <w:pPr>
        <w:pStyle w:val="ListBullet"/>
        <w:spacing w:after="60"/>
      </w:pPr>
      <w:r>
        <w:t>the target market, block grades and sizes;</w:t>
      </w:r>
    </w:p>
    <w:p>
      <w:pPr>
        <w:pStyle w:val="ListBullet"/>
        <w:spacing w:after="60"/>
      </w:pPr>
      <w:r>
        <w:t>the suitability and consistency of local raw materials;</w:t>
      </w:r>
    </w:p>
    <w:p>
      <w:pPr>
        <w:pStyle w:val="ListBullet"/>
        <w:spacing w:after="60"/>
      </w:pPr>
      <w:r>
        <w:t>the required quality tests and acceptance criteria;</w:t>
      </w:r>
    </w:p>
    <w:p>
      <w:pPr>
        <w:pStyle w:val="ListBullet"/>
        <w:spacing w:after="60"/>
      </w:pPr>
      <w:r>
        <w:t>realistic capacity, utilities, manpower and maintenance resources;</w:t>
      </w:r>
    </w:p>
    <w:p>
      <w:pPr>
        <w:pStyle w:val="ListBullet"/>
        <w:spacing w:after="60"/>
      </w:pPr>
      <w:r>
        <w:t>which operations genuinely benefit from automation; and</w:t>
      </w:r>
    </w:p>
    <w:p>
      <w:pPr>
        <w:pStyle w:val="ListBullet"/>
        <w:spacing w:after="60"/>
      </w:pPr>
      <w:r>
        <w:t>how the layout and utilities can support future expansion.</w:t>
      </w:r>
    </w:p>
    <w:p>
      <w:r>
        <w:t>These subjects should be developed through the website’s detailed pages on AAC raw materials, manufacturing process, plant capacity, automation, autoclaving, manpower, utilities and plant economics.</w:t>
      </w:r>
    </w:p>
    <w:p>
      <w:pPr>
        <w:pStyle w:val="Heading2"/>
      </w:pPr>
      <w:r>
        <w:t>Indian Standard for AAC Blocks</w:t>
      </w:r>
    </w:p>
    <w:p>
      <w:r>
        <w:t>In India, IS 2185 (Part 3):1984 covers autoclaved cellular aerated concrete blocks and includes requirements related to dimensions and physical properties. Manufacturers and buyers should use the current official BIS standard and applicable conformity requirements instead of relying on copied internet tables.</w:t>
      </w:r>
    </w:p>
    <w:p>
      <w:hyperlink r:id="rId11">
        <w:r>
          <w:rPr>
            <w:color w:val="276B8E"/>
            <w:u w:val="single"/>
          </w:rPr>
          <w:t>View the official BIS listing for IS 2185 (Part 3):1984</w:t>
        </w:r>
      </w:hyperlink>
    </w:p>
    <w:p>
      <w:pPr>
        <w:pStyle w:val="Heading2"/>
      </w:pPr>
      <w:r>
        <w:t>Laxmi En-Fab’s Engineering Approach</w:t>
      </w:r>
    </w:p>
    <w:p>
      <w:r>
        <w:t>Laxmi En-Fab evaluates an AAC plant as one connected production system. Raw-material preparation, batching, mould circulation, cake handling, cutting, autoclaving and finished-product logistics must work together around the required block quality and the operating reality of the project.</w:t>
      </w:r>
    </w:p>
    <w:p>
      <w:r>
        <w:t>Our focus is practical control: identify where variation enters the process, decide which variables must be measured, and use equipment or automation where it creates a clear improvement. The objective is not automation for its own sake; it is stable, maintainable and saleable production.</w:t>
      </w:r>
    </w:p>
    <w:p>
      <w:pPr>
        <w:pStyle w:val="Heading2"/>
      </w:pPr>
      <w:r>
        <w:t>Planning an AAC Plant?</w:t>
      </w:r>
    </w:p>
    <w:p>
      <w:pPr>
        <w:pStyle w:val="CTABlock"/>
      </w:pPr>
      <w:r>
        <w:t>Start with the product, market and raw materials—not the machinery list. Share your proposed location, project stage, target production range and raw-material status with Laxmi En-Fab to discuss the correct next engineering steps.</w:t>
      </w:r>
    </w:p>
    <w:p>
      <w:r>
        <w:t>Primary CTA: Discuss Your AAC Plant Requirement</w:t>
      </w:r>
    </w:p>
    <w:p>
      <w:r>
        <w:t>Secondary CTA: Explore the Complete AAC Plant Knowledge Centre</w:t>
      </w:r>
    </w:p>
    <w:p>
      <w:pPr>
        <w:pStyle w:val="Heading2"/>
      </w:pPr>
      <w:r>
        <w:t>Frequently Asked Questions</w:t>
      </w:r>
    </w:p>
    <w:p>
      <w:pPr>
        <w:pStyle w:val="Heading3"/>
      </w:pPr>
      <w:r>
        <w:t>What are the main advantages of AAC blocks?</w:t>
      </w:r>
    </w:p>
    <w:p>
      <w:r>
        <w:t>AAC offers lower wall load, useful thermal resistance, controlled dimensions and efficient installation. Results depend on product quality, design and workmanship.</w:t>
      </w:r>
    </w:p>
    <w:p>
      <w:pPr>
        <w:pStyle w:val="Heading3"/>
      </w:pPr>
      <w:r>
        <w:t>What are the disadvantages of AAC blocks?</w:t>
      </w:r>
    </w:p>
    <w:p>
      <w:r>
        <w:t>AAC requires careful handling, suitable fasteners, correct moisture detailing and trained installation. Poor manufacturing or workmanship can cause breakage, cracks or finishing issues.</w:t>
      </w:r>
    </w:p>
    <w:p>
      <w:pPr>
        <w:pStyle w:val="Heading3"/>
      </w:pPr>
      <w:r>
        <w:t>Are AAC blocks better than red bricks?</w:t>
      </w:r>
    </w:p>
    <w:p>
      <w:r>
        <w:t>AAC provides advantages in weight, thermal behaviour and dimensional consistency. Red bricks may offer local availability and familiar workmanship. Compare the complete installed wall system.</w:t>
      </w:r>
    </w:p>
    <w:p>
      <w:pPr>
        <w:pStyle w:val="Heading3"/>
      </w:pPr>
      <w:r>
        <w:t>Does AAC automatically reduce structural cost?</w:t>
      </w:r>
    </w:p>
    <w:p>
      <w:r>
        <w:t>No. Lower wall weight creates an opportunity for structural optimisation only when the structural design is recalculated around the changed loads.</w:t>
      </w:r>
    </w:p>
    <w:p>
      <w:pPr>
        <w:pStyle w:val="Heading3"/>
      </w:pPr>
      <w:r>
        <w:t>Why is autoclaving important?</w:t>
      </w:r>
    </w:p>
    <w:p>
      <w:r>
        <w:t>Autoclaving provides controlled hydrothermal curing that develops the hardened mineral structure responsible for AAC’s final properties.</w:t>
      </w:r>
    </w:p>
    <w:p>
      <w:pPr>
        <w:pStyle w:val="Heading1"/>
      </w:pPr>
      <w:r>
        <w:t>Publishing and Internal-Link Notes</w:t>
      </w:r>
    </w:p>
    <w:p>
      <w:pPr>
        <w:pStyle w:val="EditorNote"/>
      </w:pPr>
      <w:r>
        <w:t>This implementation section is not part of the main 2–3-scroll reader journey. Place the links naturally in the corresponding paragraphs.</w:t>
      </w:r>
    </w:p>
    <w:tbl>
      <w:tblPr>
        <w:tblStyle w:val="TableGrid"/>
        <w:tblW w:type="auto" w:w="0"/>
        <w:jc w:val="center"/>
        <w:tblLayout w:type="fixed"/>
        <w:tblLook w:firstColumn="1" w:firstRow="1" w:lastColumn="0" w:lastRow="0" w:noHBand="0" w:noVBand="1" w:val="04A0"/>
      </w:tblPr>
      <w:tblGrid>
        <w:gridCol w:w="4968"/>
        <w:gridCol w:w="4968"/>
      </w:tblGrid>
      <w:tr>
        <w:tc>
          <w:tcPr>
            <w:tcW w:type="dxa" w:w="4464"/>
            <w:shd w:fill="16324F"/>
            <w:tcMar>
              <w:top w:w="80" w:type="dxa"/>
              <w:start w:w="105" w:type="dxa"/>
              <w:bottom w:w="80" w:type="dxa"/>
              <w:end w:w="105" w:type="dxa"/>
            </w:tcMar>
            <w:vAlign w:val="center"/>
          </w:tcPr>
          <w:p>
            <w:r>
              <w:rPr>
                <w:b/>
                <w:color w:val="FFFFFF"/>
                <w:sz w:val="17"/>
              </w:rPr>
              <w:t>Anchor text</w:t>
            </w:r>
          </w:p>
        </w:tc>
        <w:tc>
          <w:tcPr>
            <w:tcW w:type="dxa" w:w="4896"/>
            <w:shd w:fill="16324F"/>
            <w:tcMar>
              <w:top w:w="80" w:type="dxa"/>
              <w:start w:w="105" w:type="dxa"/>
              <w:bottom w:w="80" w:type="dxa"/>
              <w:end w:w="105" w:type="dxa"/>
            </w:tcMar>
            <w:vAlign w:val="center"/>
          </w:tcPr>
          <w:p>
            <w:r>
              <w:rPr>
                <w:b/>
                <w:color w:val="FFFFFF"/>
                <w:sz w:val="17"/>
              </w:rPr>
              <w:t>Dedicated topic page</w:t>
            </w:r>
          </w:p>
        </w:tc>
      </w:tr>
      <w:tr>
        <w:tc>
          <w:tcPr>
            <w:tcW w:type="dxa" w:w="4464"/>
            <w:tcMar>
              <w:top w:w="80" w:type="dxa"/>
              <w:start w:w="105" w:type="dxa"/>
              <w:bottom w:w="80" w:type="dxa"/>
              <w:end w:w="105" w:type="dxa"/>
            </w:tcMar>
            <w:vAlign w:val="center"/>
          </w:tcPr>
          <w:p>
            <w:pPr>
              <w:spacing w:after="40" w:line="247" w:lineRule="auto"/>
            </w:pPr>
            <w:r>
              <w:rPr>
                <w:sz w:val="17"/>
              </w:rPr>
              <w:t>AAC raw materials and testing</w:t>
            </w:r>
          </w:p>
        </w:tc>
        <w:tc>
          <w:tcPr>
            <w:tcW w:type="dxa" w:w="4896"/>
            <w:tcMar>
              <w:top w:w="80" w:type="dxa"/>
              <w:start w:w="105" w:type="dxa"/>
              <w:bottom w:w="80" w:type="dxa"/>
              <w:end w:w="105" w:type="dxa"/>
            </w:tcMar>
            <w:vAlign w:val="center"/>
          </w:tcPr>
          <w:p>
            <w:pPr>
              <w:spacing w:after="40" w:line="247" w:lineRule="auto"/>
            </w:pPr>
            <w:r>
              <w:rPr>
                <w:sz w:val="17"/>
              </w:rPr>
              <w:t>Raw-material guide</w:t>
            </w:r>
          </w:p>
        </w:tc>
      </w:tr>
      <w:tr>
        <w:tc>
          <w:tcPr>
            <w:tcW w:type="dxa" w:w="4464"/>
            <w:tcMar>
              <w:top w:w="80" w:type="dxa"/>
              <w:start w:w="105" w:type="dxa"/>
              <w:bottom w:w="80" w:type="dxa"/>
              <w:end w:w="105" w:type="dxa"/>
            </w:tcMar>
            <w:vAlign w:val="center"/>
            <w:shd w:fill="F5F7F9"/>
          </w:tcPr>
          <w:p>
            <w:pPr>
              <w:spacing w:after="40" w:line="247" w:lineRule="auto"/>
            </w:pPr>
            <w:r>
              <w:rPr>
                <w:sz w:val="17"/>
              </w:rPr>
              <w:t>AAC block manufacturing process</w:t>
            </w:r>
          </w:p>
        </w:tc>
        <w:tc>
          <w:tcPr>
            <w:tcW w:type="dxa" w:w="4896"/>
            <w:tcMar>
              <w:top w:w="80" w:type="dxa"/>
              <w:start w:w="105" w:type="dxa"/>
              <w:bottom w:w="80" w:type="dxa"/>
              <w:end w:w="105" w:type="dxa"/>
            </w:tcMar>
            <w:vAlign w:val="center"/>
            <w:shd w:fill="F5F7F9"/>
          </w:tcPr>
          <w:p>
            <w:pPr>
              <w:spacing w:after="40" w:line="247" w:lineRule="auto"/>
            </w:pPr>
            <w:r>
              <w:rPr>
                <w:sz w:val="17"/>
              </w:rPr>
              <w:t>Manufacturing-process guide</w:t>
            </w:r>
          </w:p>
        </w:tc>
      </w:tr>
      <w:tr>
        <w:tc>
          <w:tcPr>
            <w:tcW w:type="dxa" w:w="4464"/>
            <w:tcMar>
              <w:top w:w="80" w:type="dxa"/>
              <w:start w:w="105" w:type="dxa"/>
              <w:bottom w:w="80" w:type="dxa"/>
              <w:end w:w="105" w:type="dxa"/>
            </w:tcMar>
            <w:vAlign w:val="center"/>
          </w:tcPr>
          <w:p>
            <w:pPr>
              <w:spacing w:after="40" w:line="247" w:lineRule="auto"/>
            </w:pPr>
            <w:r>
              <w:rPr>
                <w:sz w:val="17"/>
              </w:rPr>
              <w:t>AAC plant capacity planning</w:t>
            </w:r>
          </w:p>
        </w:tc>
        <w:tc>
          <w:tcPr>
            <w:tcW w:type="dxa" w:w="4896"/>
            <w:tcMar>
              <w:top w:w="80" w:type="dxa"/>
              <w:start w:w="105" w:type="dxa"/>
              <w:bottom w:w="80" w:type="dxa"/>
              <w:end w:w="105" w:type="dxa"/>
            </w:tcMar>
            <w:vAlign w:val="center"/>
          </w:tcPr>
          <w:p>
            <w:pPr>
              <w:spacing w:after="40" w:line="247" w:lineRule="auto"/>
            </w:pPr>
            <w:r>
              <w:rPr>
                <w:sz w:val="17"/>
              </w:rPr>
              <w:t>Capacity guide</w:t>
            </w:r>
          </w:p>
        </w:tc>
      </w:tr>
      <w:tr>
        <w:tc>
          <w:tcPr>
            <w:tcW w:type="dxa" w:w="4464"/>
            <w:tcMar>
              <w:top w:w="80" w:type="dxa"/>
              <w:start w:w="105" w:type="dxa"/>
              <w:bottom w:w="80" w:type="dxa"/>
              <w:end w:w="105" w:type="dxa"/>
            </w:tcMar>
            <w:vAlign w:val="center"/>
            <w:shd w:fill="F5F7F9"/>
          </w:tcPr>
          <w:p>
            <w:pPr>
              <w:spacing w:after="40" w:line="247" w:lineRule="auto"/>
            </w:pPr>
            <w:r>
              <w:rPr>
                <w:sz w:val="17"/>
              </w:rPr>
              <w:t>AAC plant automation options</w:t>
            </w:r>
          </w:p>
        </w:tc>
        <w:tc>
          <w:tcPr>
            <w:tcW w:type="dxa" w:w="4896"/>
            <w:tcMar>
              <w:top w:w="80" w:type="dxa"/>
              <w:start w:w="105" w:type="dxa"/>
              <w:bottom w:w="80" w:type="dxa"/>
              <w:end w:w="105" w:type="dxa"/>
            </w:tcMar>
            <w:vAlign w:val="center"/>
            <w:shd w:fill="F5F7F9"/>
          </w:tcPr>
          <w:p>
            <w:pPr>
              <w:spacing w:after="40" w:line="247" w:lineRule="auto"/>
            </w:pPr>
            <w:r>
              <w:rPr>
                <w:sz w:val="17"/>
              </w:rPr>
              <w:t>Automation/hybrid guide</w:t>
            </w:r>
          </w:p>
        </w:tc>
      </w:tr>
      <w:tr>
        <w:tc>
          <w:tcPr>
            <w:tcW w:type="dxa" w:w="4464"/>
            <w:tcMar>
              <w:top w:w="80" w:type="dxa"/>
              <w:start w:w="105" w:type="dxa"/>
              <w:bottom w:w="80" w:type="dxa"/>
              <w:end w:w="105" w:type="dxa"/>
            </w:tcMar>
            <w:vAlign w:val="center"/>
          </w:tcPr>
          <w:p>
            <w:pPr>
              <w:spacing w:after="40" w:line="247" w:lineRule="auto"/>
            </w:pPr>
            <w:r>
              <w:rPr>
                <w:sz w:val="17"/>
              </w:rPr>
              <w:t>AAC autoclaving process</w:t>
            </w:r>
          </w:p>
        </w:tc>
        <w:tc>
          <w:tcPr>
            <w:tcW w:type="dxa" w:w="4896"/>
            <w:tcMar>
              <w:top w:w="80" w:type="dxa"/>
              <w:start w:w="105" w:type="dxa"/>
              <w:bottom w:w="80" w:type="dxa"/>
              <w:end w:w="105" w:type="dxa"/>
            </w:tcMar>
            <w:vAlign w:val="center"/>
          </w:tcPr>
          <w:p>
            <w:pPr>
              <w:spacing w:after="40" w:line="247" w:lineRule="auto"/>
            </w:pPr>
            <w:r>
              <w:rPr>
                <w:sz w:val="17"/>
              </w:rPr>
              <w:t>Autoclave guide</w:t>
            </w:r>
          </w:p>
        </w:tc>
      </w:tr>
      <w:tr>
        <w:tc>
          <w:tcPr>
            <w:tcW w:type="dxa" w:w="4464"/>
            <w:tcMar>
              <w:top w:w="80" w:type="dxa"/>
              <w:start w:w="105" w:type="dxa"/>
              <w:bottom w:w="80" w:type="dxa"/>
              <w:end w:w="105" w:type="dxa"/>
            </w:tcMar>
            <w:vAlign w:val="center"/>
            <w:shd w:fill="F5F7F9"/>
          </w:tcPr>
          <w:p>
            <w:pPr>
              <w:spacing w:after="40" w:line="247" w:lineRule="auto"/>
            </w:pPr>
            <w:r>
              <w:rPr>
                <w:sz w:val="17"/>
              </w:rPr>
              <w:t>AAC plant manpower requirement</w:t>
            </w:r>
          </w:p>
        </w:tc>
        <w:tc>
          <w:tcPr>
            <w:tcW w:type="dxa" w:w="4896"/>
            <w:tcMar>
              <w:top w:w="80" w:type="dxa"/>
              <w:start w:w="105" w:type="dxa"/>
              <w:bottom w:w="80" w:type="dxa"/>
              <w:end w:w="105" w:type="dxa"/>
            </w:tcMar>
            <w:vAlign w:val="center"/>
            <w:shd w:fill="F5F7F9"/>
          </w:tcPr>
          <w:p>
            <w:pPr>
              <w:spacing w:after="40" w:line="247" w:lineRule="auto"/>
            </w:pPr>
            <w:r>
              <w:rPr>
                <w:sz w:val="17"/>
              </w:rPr>
              <w:t>Manpower guide</w:t>
            </w:r>
          </w:p>
        </w:tc>
      </w:tr>
      <w:tr>
        <w:tc>
          <w:tcPr>
            <w:tcW w:type="dxa" w:w="4464"/>
            <w:tcMar>
              <w:top w:w="80" w:type="dxa"/>
              <w:start w:w="105" w:type="dxa"/>
              <w:bottom w:w="80" w:type="dxa"/>
              <w:end w:w="105" w:type="dxa"/>
            </w:tcMar>
            <w:vAlign w:val="center"/>
          </w:tcPr>
          <w:p>
            <w:pPr>
              <w:spacing w:after="40" w:line="247" w:lineRule="auto"/>
            </w:pPr>
            <w:r>
              <w:rPr>
                <w:sz w:val="17"/>
              </w:rPr>
              <w:t>AAC plant utilities and steam use</w:t>
            </w:r>
          </w:p>
        </w:tc>
        <w:tc>
          <w:tcPr>
            <w:tcW w:type="dxa" w:w="4896"/>
            <w:tcMar>
              <w:top w:w="80" w:type="dxa"/>
              <w:start w:w="105" w:type="dxa"/>
              <w:bottom w:w="80" w:type="dxa"/>
              <w:end w:w="105" w:type="dxa"/>
            </w:tcMar>
            <w:vAlign w:val="center"/>
          </w:tcPr>
          <w:p>
            <w:pPr>
              <w:spacing w:after="40" w:line="247" w:lineRule="auto"/>
            </w:pPr>
            <w:r>
              <w:rPr>
                <w:sz w:val="17"/>
              </w:rPr>
              <w:t>Utilities/steam guide</w:t>
            </w:r>
          </w:p>
        </w:tc>
      </w:tr>
      <w:tr>
        <w:tc>
          <w:tcPr>
            <w:tcW w:type="dxa" w:w="4464"/>
            <w:tcMar>
              <w:top w:w="80" w:type="dxa"/>
              <w:start w:w="105" w:type="dxa"/>
              <w:bottom w:w="80" w:type="dxa"/>
              <w:end w:w="105" w:type="dxa"/>
            </w:tcMar>
            <w:vAlign w:val="center"/>
            <w:shd w:fill="F5F7F9"/>
          </w:tcPr>
          <w:p>
            <w:pPr>
              <w:spacing w:after="40" w:line="247" w:lineRule="auto"/>
            </w:pPr>
            <w:r>
              <w:rPr>
                <w:sz w:val="17"/>
              </w:rPr>
              <w:t>AAC plant cost and feasibility</w:t>
            </w:r>
          </w:p>
        </w:tc>
        <w:tc>
          <w:tcPr>
            <w:tcW w:type="dxa" w:w="4896"/>
            <w:tcMar>
              <w:top w:w="80" w:type="dxa"/>
              <w:start w:w="105" w:type="dxa"/>
              <w:bottom w:w="80" w:type="dxa"/>
              <w:end w:w="105" w:type="dxa"/>
            </w:tcMar>
            <w:vAlign w:val="center"/>
            <w:shd w:fill="F5F7F9"/>
          </w:tcPr>
          <w:p>
            <w:pPr>
              <w:spacing w:after="40" w:line="247" w:lineRule="auto"/>
            </w:pPr>
            <w:r>
              <w:rPr>
                <w:sz w:val="17"/>
              </w:rPr>
              <w:t>Economics/feasibility guide</w:t>
            </w:r>
          </w:p>
        </w:tc>
      </w:tr>
      <w:tr>
        <w:tc>
          <w:tcPr>
            <w:tcW w:type="dxa" w:w="4464"/>
            <w:tcMar>
              <w:top w:w="80" w:type="dxa"/>
              <w:start w:w="105" w:type="dxa"/>
              <w:bottom w:w="80" w:type="dxa"/>
              <w:end w:w="105" w:type="dxa"/>
            </w:tcMar>
            <w:vAlign w:val="center"/>
          </w:tcPr>
          <w:p>
            <w:pPr>
              <w:spacing w:after="40" w:line="247" w:lineRule="auto"/>
            </w:pPr>
            <w:r>
              <w:rPr>
                <w:sz w:val="17"/>
              </w:rPr>
              <w:t>AAC plant layout and future expansion</w:t>
            </w:r>
          </w:p>
        </w:tc>
        <w:tc>
          <w:tcPr>
            <w:tcW w:type="dxa" w:w="4896"/>
            <w:tcMar>
              <w:top w:w="80" w:type="dxa"/>
              <w:start w:w="105" w:type="dxa"/>
              <w:bottom w:w="80" w:type="dxa"/>
              <w:end w:w="105" w:type="dxa"/>
            </w:tcMar>
            <w:vAlign w:val="center"/>
          </w:tcPr>
          <w:p>
            <w:pPr>
              <w:spacing w:after="40" w:line="247" w:lineRule="auto"/>
            </w:pPr>
            <w:r>
              <w:rPr>
                <w:sz w:val="17"/>
              </w:rPr>
              <w:t>Layout/expansion guide</w:t>
            </w:r>
          </w:p>
        </w:tc>
      </w:tr>
      <w:tr>
        <w:tc>
          <w:tcPr>
            <w:tcW w:type="dxa" w:w="4464"/>
            <w:tcMar>
              <w:top w:w="80" w:type="dxa"/>
              <w:start w:w="105" w:type="dxa"/>
              <w:bottom w:w="80" w:type="dxa"/>
              <w:end w:w="105" w:type="dxa"/>
            </w:tcMar>
            <w:vAlign w:val="center"/>
            <w:shd w:fill="F5F7F9"/>
          </w:tcPr>
          <w:p>
            <w:pPr>
              <w:spacing w:after="40" w:line="247" w:lineRule="auto"/>
            </w:pPr>
            <w:r>
              <w:rPr>
                <w:sz w:val="17"/>
              </w:rPr>
              <w:t>complete AAC plant machinery</w:t>
            </w:r>
          </w:p>
        </w:tc>
        <w:tc>
          <w:tcPr>
            <w:tcW w:type="dxa" w:w="4896"/>
            <w:tcMar>
              <w:top w:w="80" w:type="dxa"/>
              <w:start w:w="105" w:type="dxa"/>
              <w:bottom w:w="80" w:type="dxa"/>
              <w:end w:w="105" w:type="dxa"/>
            </w:tcMar>
            <w:vAlign w:val="center"/>
            <w:shd w:fill="F5F7F9"/>
          </w:tcPr>
          <w:p>
            <w:pPr>
              <w:spacing w:after="40" w:line="247" w:lineRule="auto"/>
            </w:pPr>
            <w:r>
              <w:rPr>
                <w:sz w:val="17"/>
              </w:rPr>
              <w:t>Turnkey plant overview</w:t>
            </w:r>
          </w:p>
        </w:tc>
      </w:tr>
    </w:tbl>
    <w:p>
      <w:pPr>
        <w:spacing w:after="0"/>
      </w:pPr>
    </w:p>
    <w:p>
      <w:pPr>
        <w:pStyle w:val="EditorNote"/>
      </w:pPr>
      <w:r>
        <w:t>Before publishing: add the final internal URLs, named technical reviewer, publication date, last-reviewed date and verified contact destination. Do not add unsupported percentages, project counts, customer names or performance guarantees.</w:t>
      </w:r>
    </w:p>
    <w:sectPr w:rsidR="00FC693F" w:rsidRPr="0006063C" w:rsidSect="00034616">
      <w:headerReference w:type="default" r:id="rId9"/>
      <w:footerReference w:type="default" r:id="rId10"/>
      <w:pgSz w:w="12240" w:h="15840"/>
      <w:pgMar w:top="1037" w:right="1152" w:bottom="1037"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873"/>
        <w:sz w:val="16"/>
      </w:rPr>
      <w:t>Why AAC? • 2–3 Scroll Webpage • 14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C6873"/>
        <w:sz w:val="16"/>
      </w:rPr>
      <w:t>LAXMI EN-FAB | CONCISE WEBSITE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76B8E"/>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C68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Block">
    <w:name w:val="Answer Block"/>
    <w:pPr>
      <w:spacing w:before="120" w:after="160" w:line="269" w:lineRule="auto"/>
      <w:ind w:left="230" w:right="173"/>
      <w:shd w:fill="EAF2F6"/>
      <w:pBdr>
        <w:left w:val="single" w:sz="14" w:color="16324F"/>
      </w:pBdr>
    </w:pPr>
    <w:rPr>
      <w:rFonts w:ascii="Calibri" w:hAnsi="Calibri"/>
      <w:b/>
      <w:color w:val="16324F"/>
      <w:sz w:val="21"/>
    </w:rPr>
  </w:style>
  <w:style w:type="paragraph" w:customStyle="1" w:styleId="EditorNote">
    <w:name w:val="Editor Note"/>
    <w:pPr>
      <w:spacing w:before="120" w:after="160" w:line="269" w:lineRule="auto"/>
      <w:ind w:left="230" w:right="173"/>
      <w:shd w:fill="FFF6DB"/>
      <w:pBdr>
        <w:left w:val="single" w:sz="14" w:color="8A6508"/>
      </w:pBdr>
    </w:pPr>
    <w:rPr>
      <w:rFonts w:ascii="Calibri" w:hAnsi="Calibri"/>
      <w:b/>
      <w:color w:val="8A6508"/>
      <w:sz w:val="21"/>
    </w:rPr>
  </w:style>
  <w:style w:type="paragraph" w:customStyle="1" w:styleId="CTABlock">
    <w:name w:val="CTA Block"/>
    <w:pPr>
      <w:spacing w:before="120" w:after="160" w:line="269" w:lineRule="auto"/>
      <w:ind w:left="230" w:right="173"/>
      <w:shd w:fill="E9F1F5"/>
      <w:pBdr>
        <w:left w:val="single" w:sz="14" w:color="16324F"/>
      </w:pBdr>
    </w:pPr>
    <w:rPr>
      <w:rFonts w:ascii="Calibri" w:hAnsi="Calibri"/>
      <w:b/>
      <w:color w:val="16324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tandards.bis.gov.in/website/standard-details?encryptedId=eyJpdiI6IjVxREFxOGFSZzcwdFVOc1FBcDlkNkE9PSIsInZhbHVlIjoiNlJhK005ZmZCTSt3VkJXYjh4UkJxdz09IiwibWFjIjoiZmNjNGFlMDQxMmE0NGZjNTg2MmNlNTFiOGZkZmI4Mzg4MDE3M2QxYzhiYzk0OTM5MDM0ZDc3OWNmZDZkMTM5MSIsInRhZyI6IiJ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AAC? Concise Publication-Ready Webpage</dc:title>
  <dc:subject>2–3 scroll SEO and AI-answer-optimised webpage for Laxmi En-Fab Pvt. Ltd.</dc:subject>
  <dc:creator>Prepared for Laxmi En-Fab Pvt.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