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0C4F80"/>
          <w:sz w:val="20"/>
        </w:rPr>
        <w:t>AAC INVESTOR ACADEMY</w:t>
      </w:r>
    </w:p>
    <w:p>
      <w:pPr>
        <w:spacing w:after="120"/>
        <w:jc w:val="center"/>
      </w:pPr>
      <w:r>
        <w:rPr>
          <w:b/>
          <w:color w:val="0B1727"/>
          <w:sz w:val="52"/>
        </w:rPr>
        <w:t>AAC Plant Cost in India</w:t>
      </w:r>
    </w:p>
    <w:p>
      <w:pPr>
        <w:spacing w:after="440"/>
        <w:jc w:val="center"/>
      </w:pPr>
      <w:r>
        <w:rPr>
          <w:color w:val="0C4F80"/>
          <w:sz w:val="32"/>
        </w:rPr>
        <w:t>Project Cost and Working Capital Guide</w:t>
      </w:r>
    </w:p>
    <w:p>
      <w:pPr>
        <w:spacing w:after="640"/>
        <w:jc w:val="center"/>
      </w:pPr>
      <w:r>
        <w:rPr>
          <w:i/>
          <w:color w:val="5F6B76"/>
          <w:sz w:val="22"/>
        </w:rPr>
        <w:t>Fully revised, publication-ready webpage copy</w:t>
      </w: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shd w:fill="EEF2F5"/>
            <w:tcMar>
              <w:top w:w="180" w:type="dxa"/>
              <w:start w:w="180" w:type="dxa"/>
              <w:bottom w:w="180" w:type="dxa"/>
              <w:end w:w="180" w:type="dxa"/>
            </w:tcMar>
          </w:tcPr>
          <w:p>
            <w:pPr>
              <w:spacing w:after="80"/>
            </w:pPr>
            <w:r/>
            <w:r>
              <w:rPr>
                <w:b/>
                <w:color w:val="0C4F80"/>
                <w:sz w:val="22"/>
              </w:rPr>
              <w:t>Editorial position</w:t>
            </w:r>
          </w:p>
          <w:p>
            <w:pPr>
              <w:spacing w:after="0" w:line="264" w:lineRule="auto"/>
            </w:pPr>
            <w:r>
              <w:t>This version deliberately avoids universal price promises. It teaches investors how to define scope and calculate capital requirement using transparent, project-specific assumptions.</w:t>
            </w:r>
          </w:p>
        </w:tc>
      </w:tr>
    </w:tbl>
    <w:p>
      <w:pPr>
        <w:spacing w:after="0"/>
      </w:pPr>
    </w:p>
    <w:p>
      <w:r>
        <w:br w:type="page"/>
      </w:r>
    </w:p>
    <w:p>
      <w:pPr>
        <w:pStyle w:val="Heading1"/>
      </w:pPr>
      <w:r>
        <w:t>SEO and Publishing Package</w:t>
      </w:r>
    </w:p>
    <w:tbl>
      <w:tblPr>
        <w:tblStyle w:val="TableGrid"/>
        <w:tblW w:type="auto" w:w="0"/>
        <w:jc w:val="center"/>
        <w:tblLayout w:type="fixed"/>
        <w:tblLook w:firstColumn="1" w:firstRow="1" w:lastColumn="0" w:lastRow="0" w:noHBand="0" w:noVBand="1" w:val="04A0"/>
      </w:tblPr>
      <w:tblGrid>
        <w:gridCol w:w="2232"/>
        <w:gridCol w:w="7128"/>
      </w:tblGrid>
      <w:tr>
        <w:trPr>
          <w:tblHeader w:val="true"/>
          <w:cantSplit/>
        </w:trPr>
        <w:tc>
          <w:tcPr>
            <w:tcW w:type="dxa" w:w="2232"/>
            <w:vAlign w:val="center"/>
            <w:tcMar>
              <w:top w:w="80" w:type="dxa"/>
              <w:start w:w="120" w:type="dxa"/>
              <w:bottom w:w="80" w:type="dxa"/>
              <w:end w:w="120" w:type="dxa"/>
            </w:tcMar>
            <w:shd w:fill="0C4F80"/>
          </w:tcPr>
          <w:p>
            <w:pPr>
              <w:spacing w:after="0" w:line="252" w:lineRule="auto"/>
            </w:pPr>
            <w:r/>
            <w:r>
              <w:rPr>
                <w:rFonts w:ascii="Calibri" w:hAnsi="Calibri"/>
                <w:b/>
                <w:color w:val="FFFFFF"/>
                <w:sz w:val="18"/>
              </w:rPr>
              <w:t>Field</w:t>
            </w:r>
          </w:p>
        </w:tc>
        <w:tc>
          <w:tcPr>
            <w:tcW w:type="dxa" w:w="7128"/>
            <w:vAlign w:val="center"/>
            <w:tcMar>
              <w:top w:w="80" w:type="dxa"/>
              <w:start w:w="120" w:type="dxa"/>
              <w:bottom w:w="80" w:type="dxa"/>
              <w:end w:w="120" w:type="dxa"/>
            </w:tcMar>
            <w:shd w:fill="0C4F80"/>
          </w:tcPr>
          <w:p>
            <w:pPr>
              <w:spacing w:after="0" w:line="252" w:lineRule="auto"/>
            </w:pPr>
            <w:r/>
            <w:r>
              <w:rPr>
                <w:rFonts w:ascii="Calibri" w:hAnsi="Calibri"/>
                <w:b/>
                <w:color w:val="FFFFFF"/>
                <w:sz w:val="18"/>
              </w:rPr>
              <w:t>Final recommendation</w:t>
            </w:r>
          </w:p>
        </w:tc>
      </w:tr>
      <w:tr>
        <w:trPr>
          <w:cantSplit/>
        </w:trPr>
        <w:tc>
          <w:tcPr>
            <w:tcW w:type="dxa" w:w="2232"/>
            <w:vAlign w:val="center"/>
            <w:tcMar>
              <w:top w:w="80" w:type="dxa"/>
              <w:start w:w="120" w:type="dxa"/>
              <w:bottom w:w="80" w:type="dxa"/>
              <w:end w:w="120" w:type="dxa"/>
            </w:tcMar>
          </w:tcPr>
          <w:p>
            <w:pPr>
              <w:spacing w:after="0" w:line="252" w:lineRule="auto"/>
            </w:pPr>
            <w:r/>
            <w:r>
              <w:rPr>
                <w:rFonts w:ascii="Calibri" w:hAnsi="Calibri"/>
                <w:b w:val="0"/>
                <w:color w:val="0B1727"/>
                <w:sz w:val="18"/>
              </w:rPr>
              <w:t>SEO title</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B1727"/>
                <w:sz w:val="18"/>
              </w:rPr>
              <w:t>AAC Plant Cost in India: Project &amp; Working Capital</w:t>
            </w:r>
          </w:p>
        </w:tc>
      </w:tr>
      <w:tr>
        <w:trPr>
          <w:cantSplit/>
        </w:trPr>
        <w:tc>
          <w:tcPr>
            <w:tcW w:type="dxa" w:w="2232"/>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Meta description</w:t>
            </w:r>
          </w:p>
        </w:tc>
        <w:tc>
          <w:tcPr>
            <w:tcW w:type="dxa" w:w="7128"/>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Estimate AAC plant cost, machinery scope and working capital in India using clear assumptions, cost factors and capacity-planning guidance.</w:t>
            </w:r>
          </w:p>
        </w:tc>
      </w:tr>
      <w:tr>
        <w:trPr>
          <w:cantSplit/>
        </w:trPr>
        <w:tc>
          <w:tcPr>
            <w:tcW w:type="dxa" w:w="2232"/>
            <w:vAlign w:val="center"/>
            <w:tcMar>
              <w:top w:w="80" w:type="dxa"/>
              <w:start w:w="120" w:type="dxa"/>
              <w:bottom w:w="80" w:type="dxa"/>
              <w:end w:w="120" w:type="dxa"/>
            </w:tcMar>
          </w:tcPr>
          <w:p>
            <w:pPr>
              <w:spacing w:after="0" w:line="252" w:lineRule="auto"/>
            </w:pPr>
            <w:r/>
            <w:r>
              <w:rPr>
                <w:rFonts w:ascii="Calibri" w:hAnsi="Calibri"/>
                <w:b w:val="0"/>
                <w:color w:val="0B1727"/>
                <w:sz w:val="18"/>
              </w:rPr>
              <w:t>Suggested URL</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B1727"/>
                <w:sz w:val="18"/>
              </w:rPr>
              <w:t>/aac-plant-cost-working-capital/</w:t>
            </w:r>
          </w:p>
        </w:tc>
      </w:tr>
      <w:tr>
        <w:trPr>
          <w:cantSplit/>
        </w:trPr>
        <w:tc>
          <w:tcPr>
            <w:tcW w:type="dxa" w:w="2232"/>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H1</w:t>
            </w:r>
          </w:p>
        </w:tc>
        <w:tc>
          <w:tcPr>
            <w:tcW w:type="dxa" w:w="7128"/>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AAC Plant Cost in India: Project Cost and Working Capital Guide</w:t>
            </w:r>
          </w:p>
        </w:tc>
      </w:tr>
      <w:tr>
        <w:trPr>
          <w:cantSplit/>
        </w:trPr>
        <w:tc>
          <w:tcPr>
            <w:tcW w:type="dxa" w:w="2232"/>
            <w:vAlign w:val="center"/>
            <w:tcMar>
              <w:top w:w="80" w:type="dxa"/>
              <w:start w:w="120" w:type="dxa"/>
              <w:bottom w:w="80" w:type="dxa"/>
              <w:end w:w="120" w:type="dxa"/>
            </w:tcMar>
          </w:tcPr>
          <w:p>
            <w:pPr>
              <w:spacing w:after="0" w:line="252" w:lineRule="auto"/>
            </w:pPr>
            <w:r/>
            <w:r>
              <w:rPr>
                <w:rFonts w:ascii="Calibri" w:hAnsi="Calibri"/>
                <w:b w:val="0"/>
                <w:color w:val="0B1727"/>
                <w:sz w:val="18"/>
              </w:rPr>
              <w:t>Primary keyword</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B1727"/>
                <w:sz w:val="18"/>
              </w:rPr>
              <w:t>AAC plant cost in India</w:t>
            </w:r>
          </w:p>
        </w:tc>
      </w:tr>
      <w:tr>
        <w:trPr>
          <w:cantSplit/>
        </w:trPr>
        <w:tc>
          <w:tcPr>
            <w:tcW w:type="dxa" w:w="2232"/>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Page type</w:t>
            </w:r>
          </w:p>
        </w:tc>
        <w:tc>
          <w:tcPr>
            <w:tcW w:type="dxa" w:w="7128"/>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Commercial guide / investor education page</w:t>
            </w:r>
          </w:p>
        </w:tc>
      </w:tr>
      <w:tr>
        <w:trPr>
          <w:cantSplit/>
        </w:trPr>
        <w:tc>
          <w:tcPr>
            <w:tcW w:type="dxa" w:w="2232"/>
            <w:vAlign w:val="center"/>
            <w:tcMar>
              <w:top w:w="80" w:type="dxa"/>
              <w:start w:w="120" w:type="dxa"/>
              <w:bottom w:w="80" w:type="dxa"/>
              <w:end w:w="120" w:type="dxa"/>
            </w:tcMar>
          </w:tcPr>
          <w:p>
            <w:pPr>
              <w:spacing w:after="0" w:line="252" w:lineRule="auto"/>
            </w:pPr>
            <w:r/>
            <w:r>
              <w:rPr>
                <w:rFonts w:ascii="Calibri" w:hAnsi="Calibri"/>
                <w:b w:val="0"/>
                <w:color w:val="0B1727"/>
                <w:sz w:val="18"/>
              </w:rPr>
              <w:t>Primary CTA</w:t>
            </w:r>
          </w:p>
        </w:tc>
        <w:tc>
          <w:tcPr>
            <w:tcW w:type="dxa" w:w="7128"/>
            <w:vAlign w:val="center"/>
            <w:tcMar>
              <w:top w:w="80" w:type="dxa"/>
              <w:start w:w="120" w:type="dxa"/>
              <w:bottom w:w="80" w:type="dxa"/>
              <w:end w:w="120" w:type="dxa"/>
            </w:tcMar>
          </w:tcPr>
          <w:p>
            <w:pPr>
              <w:spacing w:after="0" w:line="252" w:lineRule="auto"/>
            </w:pPr>
            <w:r/>
            <w:r>
              <w:rPr>
                <w:rFonts w:ascii="Calibri" w:hAnsi="Calibri"/>
                <w:b w:val="0"/>
                <w:color w:val="0B1727"/>
                <w:sz w:val="18"/>
              </w:rPr>
              <w:t>Request a Capacity-Based Project Cost Assessment</w:t>
            </w:r>
          </w:p>
        </w:tc>
      </w:tr>
      <w:tr>
        <w:trPr>
          <w:cantSplit/>
        </w:trPr>
        <w:tc>
          <w:tcPr>
            <w:tcW w:type="dxa" w:w="2232"/>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Secondary CTA</w:t>
            </w:r>
          </w:p>
        </w:tc>
        <w:tc>
          <w:tcPr>
            <w:tcW w:type="dxa" w:w="7128"/>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Download the AAC Project Cost Checklist</w:t>
            </w:r>
          </w:p>
        </w:tc>
      </w:tr>
    </w:tbl>
    <w:p>
      <w:pPr>
        <w:spacing w:after="40"/>
      </w:pPr>
    </w:p>
    <w:p>
      <w:pPr>
        <w:pStyle w:val="Heading1"/>
      </w:pPr>
      <w:r>
        <w:t>Final Website Copy</w:t>
      </w:r>
    </w:p>
    <w:p>
      <w:pPr>
        <w:pStyle w:val="Kicker"/>
      </w:pPr>
      <w:r>
        <w:t>AAC PLANT PROJECT PLANNING</w:t>
      </w:r>
    </w:p>
    <w:p>
      <w:pPr>
        <w:pStyle w:val="Heading1"/>
      </w:pPr>
      <w:r>
        <w:t>AAC Plant Cost in India: Project Cost and Working Capital Guide</w:t>
      </w:r>
    </w:p>
    <w:p>
      <w:r>
        <w:t>There is no single, reliable price for an AAC plant without first defining its capacity, product range, automation level, process configuration, site conditions and scope of supply. The machinery quotation is only one part of the investment. A commercially realistic budget must also account for civil works, utilities, electrical infrastructure, installation, commissioning, pre-operative expenses and the working capital needed until collections become stable.</w:t>
      </w: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shd w:fill="EEF2F5"/>
            <w:tcMar>
              <w:top w:w="180" w:type="dxa"/>
              <w:start w:w="180" w:type="dxa"/>
              <w:bottom w:w="180" w:type="dxa"/>
              <w:end w:w="180" w:type="dxa"/>
            </w:tcMar>
          </w:tcPr>
          <w:p>
            <w:pPr>
              <w:spacing w:after="80"/>
            </w:pPr>
            <w:r/>
            <w:r>
              <w:rPr>
                <w:b/>
                <w:color w:val="0C4F80"/>
                <w:sz w:val="22"/>
              </w:rPr>
              <w:t>The practical answer</w:t>
            </w:r>
          </w:p>
          <w:p>
            <w:pPr>
              <w:spacing w:after="0" w:line="264" w:lineRule="auto"/>
            </w:pPr>
            <w:r>
              <w:t>Do not ask only, “What is the machinery price?” Ask, “What is the complete funding requirement for the plant configuration, market ramp-up and customer-credit cycle we are planning?”</w:t>
            </w:r>
          </w:p>
        </w:tc>
      </w:tr>
    </w:tbl>
    <w:p>
      <w:pPr>
        <w:spacing w:after="0"/>
      </w:pPr>
    </w:p>
    <w:p>
      <w:pPr>
        <w:pStyle w:val="Heading2"/>
      </w:pPr>
      <w:r>
        <w:t>Machinery Price Is Not the Total AAC Project Cost</w:t>
      </w:r>
    </w:p>
    <w:p>
      <w:r>
        <w:t>A supplier quotation generally covers an identified equipment scope. It does not automatically represent the complete cost of establishing and operating an AAC block or panel manufacturing facility.</w:t>
      </w:r>
    </w:p>
    <w:tbl>
      <w:tblPr>
        <w:tblStyle w:val="TableGrid"/>
        <w:tblW w:type="auto" w:w="0"/>
        <w:jc w:val="center"/>
        <w:tblLayout w:type="fixed"/>
        <w:tblLook w:firstColumn="1" w:firstRow="1" w:lastColumn="0" w:lastRow="0" w:noHBand="0" w:noVBand="1" w:val="04A0"/>
      </w:tblPr>
      <w:tblGrid>
        <w:gridCol w:w="1800"/>
        <w:gridCol w:w="3456"/>
        <w:gridCol w:w="4104"/>
      </w:tblGrid>
      <w:tr>
        <w:trPr>
          <w:tblHeader w:val="true"/>
          <w:cantSplit/>
        </w:trPr>
        <w:tc>
          <w:tcPr>
            <w:tcW w:type="dxa" w:w="1800"/>
            <w:vAlign w:val="center"/>
            <w:tcMar>
              <w:top w:w="80" w:type="dxa"/>
              <w:start w:w="120" w:type="dxa"/>
              <w:bottom w:w="80" w:type="dxa"/>
              <w:end w:w="120" w:type="dxa"/>
            </w:tcMar>
            <w:shd w:fill="0C4F80"/>
          </w:tcPr>
          <w:p>
            <w:pPr>
              <w:spacing w:after="0" w:line="252" w:lineRule="auto"/>
            </w:pPr>
            <w:r/>
            <w:r>
              <w:rPr>
                <w:rFonts w:ascii="Calibri" w:hAnsi="Calibri"/>
                <w:b/>
                <w:color w:val="FFFFFF"/>
                <w:sz w:val="18"/>
              </w:rPr>
              <w:t>Cost level</w:t>
            </w:r>
          </w:p>
        </w:tc>
        <w:tc>
          <w:tcPr>
            <w:tcW w:type="dxa" w:w="3456"/>
            <w:vAlign w:val="center"/>
            <w:tcMar>
              <w:top w:w="80" w:type="dxa"/>
              <w:start w:w="120" w:type="dxa"/>
              <w:bottom w:w="80" w:type="dxa"/>
              <w:end w:w="120" w:type="dxa"/>
            </w:tcMar>
            <w:shd w:fill="0C4F80"/>
          </w:tcPr>
          <w:p>
            <w:pPr>
              <w:spacing w:after="0" w:line="252" w:lineRule="auto"/>
            </w:pPr>
            <w:r/>
            <w:r>
              <w:rPr>
                <w:rFonts w:ascii="Calibri" w:hAnsi="Calibri"/>
                <w:b/>
                <w:color w:val="FFFFFF"/>
                <w:sz w:val="18"/>
              </w:rPr>
              <w:t>What it normally represents</w:t>
            </w:r>
          </w:p>
        </w:tc>
        <w:tc>
          <w:tcPr>
            <w:tcW w:type="dxa" w:w="4104"/>
            <w:vAlign w:val="center"/>
            <w:tcMar>
              <w:top w:w="80" w:type="dxa"/>
              <w:start w:w="120" w:type="dxa"/>
              <w:bottom w:w="80" w:type="dxa"/>
              <w:end w:w="120" w:type="dxa"/>
            </w:tcMar>
            <w:shd w:fill="0C4F80"/>
          </w:tcPr>
          <w:p>
            <w:pPr>
              <w:spacing w:after="0" w:line="252" w:lineRule="auto"/>
            </w:pPr>
            <w:r/>
            <w:r>
              <w:rPr>
                <w:rFonts w:ascii="Calibri" w:hAnsi="Calibri"/>
                <w:b/>
                <w:color w:val="FFFFFF"/>
                <w:sz w:val="18"/>
              </w:rPr>
              <w:t>What the investor must confirm</w:t>
            </w:r>
          </w:p>
        </w:tc>
      </w:tr>
      <w:tr>
        <w:trPr>
          <w:cantSplit/>
        </w:trPr>
        <w:tc>
          <w:tcPr>
            <w:tcW w:type="dxa" w:w="1800"/>
            <w:vAlign w:val="center"/>
            <w:tcMar>
              <w:top w:w="80" w:type="dxa"/>
              <w:start w:w="120" w:type="dxa"/>
              <w:bottom w:w="80" w:type="dxa"/>
              <w:end w:w="120" w:type="dxa"/>
            </w:tcMar>
          </w:tcPr>
          <w:p>
            <w:pPr>
              <w:spacing w:after="0" w:line="252" w:lineRule="auto"/>
            </w:pPr>
            <w:r/>
            <w:r>
              <w:rPr>
                <w:rFonts w:ascii="Calibri" w:hAnsi="Calibri"/>
                <w:b w:val="0"/>
                <w:color w:val="0B1727"/>
                <w:sz w:val="18"/>
              </w:rPr>
              <w:t>Machinery price</w:t>
            </w:r>
          </w:p>
        </w:tc>
        <w:tc>
          <w:tcPr>
            <w:tcW w:type="dxa" w:w="3456"/>
            <w:vAlign w:val="center"/>
            <w:tcMar>
              <w:top w:w="80" w:type="dxa"/>
              <w:start w:w="120" w:type="dxa"/>
              <w:bottom w:w="80" w:type="dxa"/>
              <w:end w:w="120" w:type="dxa"/>
            </w:tcMar>
          </w:tcPr>
          <w:p>
            <w:pPr>
              <w:spacing w:after="0" w:line="252" w:lineRule="auto"/>
            </w:pPr>
            <w:r/>
            <w:r>
              <w:rPr>
                <w:rFonts w:ascii="Calibri" w:hAnsi="Calibri"/>
                <w:b w:val="0"/>
                <w:color w:val="0B1727"/>
                <w:sz w:val="18"/>
              </w:rPr>
              <w:t>Defined production equipment and specified accessories</w:t>
            </w:r>
          </w:p>
        </w:tc>
        <w:tc>
          <w:tcPr>
            <w:tcW w:type="dxa" w:w="4104"/>
            <w:vAlign w:val="center"/>
            <w:tcMar>
              <w:top w:w="80" w:type="dxa"/>
              <w:start w:w="120" w:type="dxa"/>
              <w:bottom w:w="80" w:type="dxa"/>
              <w:end w:w="120" w:type="dxa"/>
            </w:tcMar>
          </w:tcPr>
          <w:p>
            <w:pPr>
              <w:spacing w:after="0" w:line="252" w:lineRule="auto"/>
            </w:pPr>
            <w:r/>
            <w:r>
              <w:rPr>
                <w:rFonts w:ascii="Calibri" w:hAnsi="Calibri"/>
                <w:b w:val="0"/>
                <w:color w:val="0B1727"/>
                <w:sz w:val="18"/>
              </w:rPr>
              <w:t>Equipment list, automation boundary, bought-out items, taxes, freight and exclusions</w:t>
            </w:r>
          </w:p>
        </w:tc>
      </w:tr>
      <w:tr>
        <w:trPr>
          <w:cantSplit/>
        </w:trPr>
        <w:tc>
          <w:tcPr>
            <w:tcW w:type="dxa" w:w="180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Installed project cost</w:t>
            </w:r>
          </w:p>
        </w:tc>
        <w:tc>
          <w:tcPr>
            <w:tcW w:type="dxa" w:w="3456"/>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Machinery plus site development, civil, utilities, electricals, installation and project execution</w:t>
            </w:r>
          </w:p>
        </w:tc>
        <w:tc>
          <w:tcPr>
            <w:tcW w:type="dxa" w:w="4104"/>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Land treatment, local infrastructure, owner scope, approvals and contingency</w:t>
            </w:r>
          </w:p>
        </w:tc>
      </w:tr>
      <w:tr>
        <w:trPr>
          <w:cantSplit/>
        </w:trPr>
        <w:tc>
          <w:tcPr>
            <w:tcW w:type="dxa" w:w="1800"/>
            <w:vAlign w:val="center"/>
            <w:tcMar>
              <w:top w:w="80" w:type="dxa"/>
              <w:start w:w="120" w:type="dxa"/>
              <w:bottom w:w="80" w:type="dxa"/>
              <w:end w:w="120" w:type="dxa"/>
            </w:tcMar>
          </w:tcPr>
          <w:p>
            <w:pPr>
              <w:spacing w:after="0" w:line="252" w:lineRule="auto"/>
            </w:pPr>
            <w:r/>
            <w:r>
              <w:rPr>
                <w:rFonts w:ascii="Calibri" w:hAnsi="Calibri"/>
                <w:b w:val="0"/>
                <w:color w:val="0B1727"/>
                <w:sz w:val="18"/>
              </w:rPr>
              <w:t>Total funding requirement</w:t>
            </w:r>
          </w:p>
        </w:tc>
        <w:tc>
          <w:tcPr>
            <w:tcW w:type="dxa" w:w="3456"/>
            <w:vAlign w:val="center"/>
            <w:tcMar>
              <w:top w:w="80" w:type="dxa"/>
              <w:start w:w="120" w:type="dxa"/>
              <w:bottom w:w="80" w:type="dxa"/>
              <w:end w:w="120" w:type="dxa"/>
            </w:tcMar>
          </w:tcPr>
          <w:p>
            <w:pPr>
              <w:spacing w:after="0" w:line="252" w:lineRule="auto"/>
            </w:pPr>
            <w:r/>
            <w:r>
              <w:rPr>
                <w:rFonts w:ascii="Calibri" w:hAnsi="Calibri"/>
                <w:b w:val="0"/>
                <w:color w:val="0B1727"/>
                <w:sz w:val="18"/>
              </w:rPr>
              <w:t>Installed project cost plus pre-operative expenses, finance-related costs and initial working capital</w:t>
            </w:r>
          </w:p>
        </w:tc>
        <w:tc>
          <w:tcPr>
            <w:tcW w:type="dxa" w:w="4104"/>
            <w:vAlign w:val="center"/>
            <w:tcMar>
              <w:top w:w="80" w:type="dxa"/>
              <w:start w:w="120" w:type="dxa"/>
              <w:bottom w:w="80" w:type="dxa"/>
              <w:end w:w="120" w:type="dxa"/>
            </w:tcMar>
          </w:tcPr>
          <w:p>
            <w:pPr>
              <w:spacing w:after="0" w:line="252" w:lineRule="auto"/>
            </w:pPr>
            <w:r/>
            <w:r>
              <w:rPr>
                <w:rFonts w:ascii="Calibri" w:hAnsi="Calibri"/>
                <w:b w:val="0"/>
                <w:color w:val="0B1727"/>
                <w:sz w:val="18"/>
              </w:rPr>
              <w:t>Ramp-up period, inventory, receivables, supplier credit, debt servicing and cash reserve</w:t>
            </w:r>
          </w:p>
        </w:tc>
      </w:tr>
    </w:tbl>
    <w:p>
      <w:pPr>
        <w:spacing w:after="40"/>
      </w:pPr>
    </w:p>
    <w:p>
      <w:r>
        <w:t>Because suppliers may define scope differently, two quotations for the same stated capacity may not be commercially comparable. A lower machinery price can still produce a higher final project cost if major systems or execution responsibilities are excluded.</w:t>
      </w:r>
    </w:p>
    <w:p>
      <w:pPr>
        <w:pStyle w:val="Heading2"/>
      </w:pPr>
      <w:r>
        <w:t>What Should an AAC Project Budget Include?</w:t>
      </w:r>
    </w:p>
    <w:tbl>
      <w:tblPr>
        <w:tblStyle w:val="TableGrid"/>
        <w:tblW w:type="auto" w:w="0"/>
        <w:jc w:val="center"/>
        <w:tblLayout w:type="fixed"/>
        <w:tblLook w:firstColumn="1" w:firstRow="1" w:lastColumn="0" w:lastRow="0" w:noHBand="0" w:noVBand="1" w:val="04A0"/>
      </w:tblPr>
      <w:tblGrid>
        <w:gridCol w:w="1944"/>
        <w:gridCol w:w="4320"/>
        <w:gridCol w:w="3096"/>
      </w:tblGrid>
      <w:tr>
        <w:trPr>
          <w:tblHeader w:val="true"/>
          <w:cantSplit/>
        </w:trPr>
        <w:tc>
          <w:tcPr>
            <w:tcW w:type="dxa" w:w="1944"/>
            <w:vAlign w:val="center"/>
            <w:tcMar>
              <w:top w:w="80" w:type="dxa"/>
              <w:start w:w="120" w:type="dxa"/>
              <w:bottom w:w="80" w:type="dxa"/>
              <w:end w:w="120" w:type="dxa"/>
            </w:tcMar>
            <w:shd w:fill="0C4F80"/>
          </w:tcPr>
          <w:p>
            <w:pPr>
              <w:spacing w:after="0" w:line="252" w:lineRule="auto"/>
            </w:pPr>
            <w:r/>
            <w:r>
              <w:rPr>
                <w:rFonts w:ascii="Calibri" w:hAnsi="Calibri"/>
                <w:b/>
                <w:color w:val="FFFFFF"/>
                <w:sz w:val="18"/>
              </w:rPr>
              <w:t>Budget head</w:t>
            </w:r>
          </w:p>
        </w:tc>
        <w:tc>
          <w:tcPr>
            <w:tcW w:type="dxa" w:w="4320"/>
            <w:vAlign w:val="center"/>
            <w:tcMar>
              <w:top w:w="80" w:type="dxa"/>
              <w:start w:w="120" w:type="dxa"/>
              <w:bottom w:w="80" w:type="dxa"/>
              <w:end w:w="120" w:type="dxa"/>
            </w:tcMar>
            <w:shd w:fill="0C4F80"/>
          </w:tcPr>
          <w:p>
            <w:pPr>
              <w:spacing w:after="0" w:line="252" w:lineRule="auto"/>
            </w:pPr>
            <w:r/>
            <w:r>
              <w:rPr>
                <w:rFonts w:ascii="Calibri" w:hAnsi="Calibri"/>
                <w:b/>
                <w:color w:val="FFFFFF"/>
                <w:sz w:val="18"/>
              </w:rPr>
              <w:t>Examples to examine</w:t>
            </w:r>
          </w:p>
        </w:tc>
        <w:tc>
          <w:tcPr>
            <w:tcW w:type="dxa" w:w="3096"/>
            <w:vAlign w:val="center"/>
            <w:tcMar>
              <w:top w:w="80" w:type="dxa"/>
              <w:start w:w="120" w:type="dxa"/>
              <w:bottom w:w="80" w:type="dxa"/>
              <w:end w:w="120" w:type="dxa"/>
            </w:tcMar>
            <w:shd w:fill="0C4F80"/>
          </w:tcPr>
          <w:p>
            <w:pPr>
              <w:spacing w:after="0" w:line="252" w:lineRule="auto"/>
            </w:pPr>
            <w:r/>
            <w:r>
              <w:rPr>
                <w:rFonts w:ascii="Calibri" w:hAnsi="Calibri"/>
                <w:b/>
                <w:color w:val="FFFFFF"/>
                <w:sz w:val="18"/>
              </w:rPr>
              <w:t>Key question</w:t>
            </w:r>
          </w:p>
        </w:tc>
      </w:tr>
      <w:tr>
        <w:trPr>
          <w:cantSplit/>
        </w:trPr>
        <w:tc>
          <w:tcPr>
            <w:tcW w:type="dxa" w:w="1944"/>
            <w:vAlign w:val="center"/>
            <w:tcMar>
              <w:top w:w="80" w:type="dxa"/>
              <w:start w:w="120" w:type="dxa"/>
              <w:bottom w:w="80" w:type="dxa"/>
              <w:end w:w="120" w:type="dxa"/>
            </w:tcMar>
          </w:tcPr>
          <w:p>
            <w:pPr>
              <w:spacing w:after="0" w:line="252" w:lineRule="auto"/>
            </w:pPr>
            <w:r/>
            <w:r>
              <w:rPr>
                <w:rFonts w:ascii="Calibri" w:hAnsi="Calibri"/>
                <w:b w:val="0"/>
                <w:color w:val="0B1727"/>
                <w:sz w:val="18"/>
              </w:rPr>
              <w:t>Land and site development</w:t>
            </w:r>
          </w:p>
        </w:tc>
        <w:tc>
          <w:tcPr>
            <w:tcW w:type="dxa" w:w="4320"/>
            <w:vAlign w:val="center"/>
            <w:tcMar>
              <w:top w:w="80" w:type="dxa"/>
              <w:start w:w="120" w:type="dxa"/>
              <w:bottom w:w="80" w:type="dxa"/>
              <w:end w:w="120" w:type="dxa"/>
            </w:tcMar>
          </w:tcPr>
          <w:p>
            <w:pPr>
              <w:spacing w:after="0" w:line="252" w:lineRule="auto"/>
            </w:pPr>
            <w:r/>
            <w:r>
              <w:rPr>
                <w:rFonts w:ascii="Calibri" w:hAnsi="Calibri"/>
                <w:b w:val="0"/>
                <w:color w:val="0B1727"/>
                <w:sz w:val="18"/>
              </w:rPr>
              <w:t>Land purchase or lease, levelling, roads, drainage and boundary work</w:t>
            </w:r>
          </w:p>
        </w:tc>
        <w:tc>
          <w:tcPr>
            <w:tcW w:type="dxa" w:w="3096"/>
            <w:vAlign w:val="center"/>
            <w:tcMar>
              <w:top w:w="80" w:type="dxa"/>
              <w:start w:w="120" w:type="dxa"/>
              <w:bottom w:w="80" w:type="dxa"/>
              <w:end w:w="120" w:type="dxa"/>
            </w:tcMar>
          </w:tcPr>
          <w:p>
            <w:pPr>
              <w:spacing w:after="0" w:line="252" w:lineRule="auto"/>
            </w:pPr>
            <w:r/>
            <w:r>
              <w:rPr>
                <w:rFonts w:ascii="Calibri" w:hAnsi="Calibri"/>
                <w:b w:val="0"/>
                <w:color w:val="0B1727"/>
                <w:sz w:val="18"/>
              </w:rPr>
              <w:t>Is land included, excluded or shown separately?</w:t>
            </w:r>
          </w:p>
        </w:tc>
      </w:tr>
      <w:tr>
        <w:trPr>
          <w:cantSplit/>
        </w:trPr>
        <w:tc>
          <w:tcPr>
            <w:tcW w:type="dxa" w:w="1944"/>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Plant and machinery</w:t>
            </w:r>
          </w:p>
        </w:tc>
        <w:tc>
          <w:tcPr>
            <w:tcW w:type="dxa" w:w="432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Raw-material preparation, batching, mould handling, cutting, autoclaving and packing systems</w:t>
            </w:r>
          </w:p>
        </w:tc>
        <w:tc>
          <w:tcPr>
            <w:tcW w:type="dxa" w:w="3096"/>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Is the scope block-only, panel-capable or both?</w:t>
            </w:r>
          </w:p>
        </w:tc>
      </w:tr>
      <w:tr>
        <w:trPr>
          <w:cantSplit/>
        </w:trPr>
        <w:tc>
          <w:tcPr>
            <w:tcW w:type="dxa" w:w="1944"/>
            <w:vAlign w:val="center"/>
            <w:tcMar>
              <w:top w:w="80" w:type="dxa"/>
              <w:start w:w="120" w:type="dxa"/>
              <w:bottom w:w="80" w:type="dxa"/>
              <w:end w:w="120" w:type="dxa"/>
            </w:tcMar>
          </w:tcPr>
          <w:p>
            <w:pPr>
              <w:spacing w:after="0" w:line="252" w:lineRule="auto"/>
            </w:pPr>
            <w:r/>
            <w:r>
              <w:rPr>
                <w:rFonts w:ascii="Calibri" w:hAnsi="Calibri"/>
                <w:b w:val="0"/>
                <w:color w:val="0B1727"/>
                <w:sz w:val="18"/>
              </w:rPr>
              <w:t>Utilities</w:t>
            </w:r>
          </w:p>
        </w:tc>
        <w:tc>
          <w:tcPr>
            <w:tcW w:type="dxa" w:w="4320"/>
            <w:vAlign w:val="center"/>
            <w:tcMar>
              <w:top w:w="80" w:type="dxa"/>
              <w:start w:w="120" w:type="dxa"/>
              <w:bottom w:w="80" w:type="dxa"/>
              <w:end w:w="120" w:type="dxa"/>
            </w:tcMar>
          </w:tcPr>
          <w:p>
            <w:pPr>
              <w:spacing w:after="0" w:line="252" w:lineRule="auto"/>
            </w:pPr>
            <w:r/>
            <w:r>
              <w:rPr>
                <w:rFonts w:ascii="Calibri" w:hAnsi="Calibri"/>
                <w:b w:val="0"/>
                <w:color w:val="0B1727"/>
                <w:sz w:val="18"/>
              </w:rPr>
              <w:t>Boiler and steam system, water, compressed air and utility distribution</w:t>
            </w:r>
          </w:p>
        </w:tc>
        <w:tc>
          <w:tcPr>
            <w:tcW w:type="dxa" w:w="3096"/>
            <w:vAlign w:val="center"/>
            <w:tcMar>
              <w:top w:w="80" w:type="dxa"/>
              <w:start w:w="120" w:type="dxa"/>
              <w:bottom w:w="80" w:type="dxa"/>
              <w:end w:w="120" w:type="dxa"/>
            </w:tcMar>
          </w:tcPr>
          <w:p>
            <w:pPr>
              <w:spacing w:after="0" w:line="252" w:lineRule="auto"/>
            </w:pPr>
            <w:r/>
            <w:r>
              <w:rPr>
                <w:rFonts w:ascii="Calibri" w:hAnsi="Calibri"/>
                <w:b w:val="0"/>
                <w:color w:val="0B1727"/>
                <w:sz w:val="18"/>
              </w:rPr>
              <w:t>Which systems are supplied and who sizes them?</w:t>
            </w:r>
          </w:p>
        </w:tc>
      </w:tr>
      <w:tr>
        <w:trPr>
          <w:cantSplit/>
        </w:trPr>
        <w:tc>
          <w:tcPr>
            <w:tcW w:type="dxa" w:w="1944"/>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Electrical infrastructure</w:t>
            </w:r>
          </w:p>
        </w:tc>
        <w:tc>
          <w:tcPr>
            <w:tcW w:type="dxa" w:w="432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Connected load, transformer, panels, cabling, controls and backup requirements</w:t>
            </w:r>
          </w:p>
        </w:tc>
        <w:tc>
          <w:tcPr>
            <w:tcW w:type="dxa" w:w="3096"/>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Where does the supplier scope end?</w:t>
            </w:r>
          </w:p>
        </w:tc>
      </w:tr>
      <w:tr>
        <w:trPr>
          <w:cantSplit/>
        </w:trPr>
        <w:tc>
          <w:tcPr>
            <w:tcW w:type="dxa" w:w="1944"/>
            <w:vAlign w:val="center"/>
            <w:tcMar>
              <w:top w:w="80" w:type="dxa"/>
              <w:start w:w="120" w:type="dxa"/>
              <w:bottom w:w="80" w:type="dxa"/>
              <w:end w:w="120" w:type="dxa"/>
            </w:tcMar>
          </w:tcPr>
          <w:p>
            <w:pPr>
              <w:spacing w:after="0" w:line="252" w:lineRule="auto"/>
            </w:pPr>
            <w:r/>
            <w:r>
              <w:rPr>
                <w:rFonts w:ascii="Calibri" w:hAnsi="Calibri"/>
                <w:b w:val="0"/>
                <w:color w:val="0B1727"/>
                <w:sz w:val="18"/>
              </w:rPr>
              <w:t>Civil and structural works</w:t>
            </w:r>
          </w:p>
        </w:tc>
        <w:tc>
          <w:tcPr>
            <w:tcW w:type="dxa" w:w="4320"/>
            <w:vAlign w:val="center"/>
            <w:tcMar>
              <w:top w:w="80" w:type="dxa"/>
              <w:start w:w="120" w:type="dxa"/>
              <w:bottom w:w="80" w:type="dxa"/>
              <w:end w:w="120" w:type="dxa"/>
            </w:tcMar>
          </w:tcPr>
          <w:p>
            <w:pPr>
              <w:spacing w:after="0" w:line="252" w:lineRule="auto"/>
            </w:pPr>
            <w:r/>
            <w:r>
              <w:rPr>
                <w:rFonts w:ascii="Calibri" w:hAnsi="Calibri"/>
                <w:b w:val="0"/>
                <w:color w:val="0B1727"/>
                <w:sz w:val="18"/>
              </w:rPr>
              <w:t>Production buildings, foundations, platforms, storage and laboratory areas</w:t>
            </w:r>
          </w:p>
        </w:tc>
        <w:tc>
          <w:tcPr>
            <w:tcW w:type="dxa" w:w="3096"/>
            <w:vAlign w:val="center"/>
            <w:tcMar>
              <w:top w:w="80" w:type="dxa"/>
              <w:start w:w="120" w:type="dxa"/>
              <w:bottom w:w="80" w:type="dxa"/>
              <w:end w:w="120" w:type="dxa"/>
            </w:tcMar>
          </w:tcPr>
          <w:p>
            <w:pPr>
              <w:spacing w:after="0" w:line="252" w:lineRule="auto"/>
            </w:pPr>
            <w:r/>
            <w:r>
              <w:rPr>
                <w:rFonts w:ascii="Calibri" w:hAnsi="Calibri"/>
                <w:b w:val="0"/>
                <w:color w:val="0B1727"/>
                <w:sz w:val="18"/>
              </w:rPr>
              <w:t>Is budgeting based on the final layout and soil/site conditions?</w:t>
            </w:r>
          </w:p>
        </w:tc>
      </w:tr>
      <w:tr>
        <w:trPr>
          <w:cantSplit/>
        </w:trPr>
        <w:tc>
          <w:tcPr>
            <w:tcW w:type="dxa" w:w="1944"/>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Installation and commissioning</w:t>
            </w:r>
          </w:p>
        </w:tc>
        <w:tc>
          <w:tcPr>
            <w:tcW w:type="dxa" w:w="432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Erection, supervision, testing, trial production and training</w:t>
            </w:r>
          </w:p>
        </w:tc>
        <w:tc>
          <w:tcPr>
            <w:tcW w:type="dxa" w:w="3096"/>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Which labour, cranes, consumables and accommodation are owner scope?</w:t>
            </w:r>
          </w:p>
        </w:tc>
      </w:tr>
      <w:tr>
        <w:trPr>
          <w:cantSplit/>
        </w:trPr>
        <w:tc>
          <w:tcPr>
            <w:tcW w:type="dxa" w:w="1944"/>
            <w:vAlign w:val="center"/>
            <w:tcMar>
              <w:top w:w="80" w:type="dxa"/>
              <w:start w:w="120" w:type="dxa"/>
              <w:bottom w:w="80" w:type="dxa"/>
              <w:end w:w="120" w:type="dxa"/>
            </w:tcMar>
          </w:tcPr>
          <w:p>
            <w:pPr>
              <w:spacing w:after="0" w:line="252" w:lineRule="auto"/>
            </w:pPr>
            <w:r/>
            <w:r>
              <w:rPr>
                <w:rFonts w:ascii="Calibri" w:hAnsi="Calibri"/>
                <w:b w:val="0"/>
                <w:color w:val="0B1727"/>
                <w:sz w:val="18"/>
              </w:rPr>
              <w:t>Pre-operative and statutory costs</w:t>
            </w:r>
          </w:p>
        </w:tc>
        <w:tc>
          <w:tcPr>
            <w:tcW w:type="dxa" w:w="4320"/>
            <w:vAlign w:val="center"/>
            <w:tcMar>
              <w:top w:w="80" w:type="dxa"/>
              <w:start w:w="120" w:type="dxa"/>
              <w:bottom w:w="80" w:type="dxa"/>
              <w:end w:w="120" w:type="dxa"/>
            </w:tcMar>
          </w:tcPr>
          <w:p>
            <w:pPr>
              <w:spacing w:after="0" w:line="252" w:lineRule="auto"/>
            </w:pPr>
            <w:r/>
            <w:r>
              <w:rPr>
                <w:rFonts w:ascii="Calibri" w:hAnsi="Calibri"/>
                <w:b w:val="0"/>
                <w:color w:val="0B1727"/>
                <w:sz w:val="18"/>
              </w:rPr>
              <w:t>Approvals, professional fees, recruitment, training, insurance and start-up expenses</w:t>
            </w:r>
          </w:p>
        </w:tc>
        <w:tc>
          <w:tcPr>
            <w:tcW w:type="dxa" w:w="3096"/>
            <w:vAlign w:val="center"/>
            <w:tcMar>
              <w:top w:w="80" w:type="dxa"/>
              <w:start w:w="120" w:type="dxa"/>
              <w:bottom w:w="80" w:type="dxa"/>
              <w:end w:w="120" w:type="dxa"/>
            </w:tcMar>
          </w:tcPr>
          <w:p>
            <w:pPr>
              <w:spacing w:after="0" w:line="252" w:lineRule="auto"/>
            </w:pPr>
            <w:r/>
            <w:r>
              <w:rPr>
                <w:rFonts w:ascii="Calibri" w:hAnsi="Calibri"/>
                <w:b w:val="0"/>
                <w:color w:val="0B1727"/>
                <w:sz w:val="18"/>
              </w:rPr>
              <w:t>Have location-specific requirements been identified?</w:t>
            </w:r>
          </w:p>
        </w:tc>
      </w:tr>
      <w:tr>
        <w:trPr>
          <w:cantSplit/>
        </w:trPr>
        <w:tc>
          <w:tcPr>
            <w:tcW w:type="dxa" w:w="1944"/>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Finance and contingency</w:t>
            </w:r>
          </w:p>
        </w:tc>
        <w:tc>
          <w:tcPr>
            <w:tcW w:type="dxa" w:w="432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Interest during construction, schedule delay allowance and defined contingency</w:t>
            </w:r>
          </w:p>
        </w:tc>
        <w:tc>
          <w:tcPr>
            <w:tcW w:type="dxa" w:w="3096"/>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Are the assumptions visible and stress-tested?</w:t>
            </w:r>
          </w:p>
        </w:tc>
      </w:tr>
      <w:tr>
        <w:trPr>
          <w:cantSplit/>
        </w:trPr>
        <w:tc>
          <w:tcPr>
            <w:tcW w:type="dxa" w:w="1944"/>
            <w:vAlign w:val="center"/>
            <w:tcMar>
              <w:top w:w="80" w:type="dxa"/>
              <w:start w:w="120" w:type="dxa"/>
              <w:bottom w:w="80" w:type="dxa"/>
              <w:end w:w="120" w:type="dxa"/>
            </w:tcMar>
          </w:tcPr>
          <w:p>
            <w:pPr>
              <w:spacing w:after="0" w:line="252" w:lineRule="auto"/>
            </w:pPr>
            <w:r/>
            <w:r>
              <w:rPr>
                <w:rFonts w:ascii="Calibri" w:hAnsi="Calibri"/>
                <w:b w:val="0"/>
                <w:color w:val="0B1727"/>
                <w:sz w:val="18"/>
              </w:rPr>
              <w:t>Initial working capital</w:t>
            </w:r>
          </w:p>
        </w:tc>
        <w:tc>
          <w:tcPr>
            <w:tcW w:type="dxa" w:w="4320"/>
            <w:vAlign w:val="center"/>
            <w:tcMar>
              <w:top w:w="80" w:type="dxa"/>
              <w:start w:w="120" w:type="dxa"/>
              <w:bottom w:w="80" w:type="dxa"/>
              <w:end w:w="120" w:type="dxa"/>
            </w:tcMar>
          </w:tcPr>
          <w:p>
            <w:pPr>
              <w:spacing w:after="0" w:line="252" w:lineRule="auto"/>
            </w:pPr>
            <w:r/>
            <w:r>
              <w:rPr>
                <w:rFonts w:ascii="Calibri" w:hAnsi="Calibri"/>
                <w:b w:val="0"/>
                <w:color w:val="0B1727"/>
                <w:sz w:val="18"/>
              </w:rPr>
              <w:t>Inventory, operating costs, receivables, debt service and minimum cash reserve</w:t>
            </w:r>
          </w:p>
        </w:tc>
        <w:tc>
          <w:tcPr>
            <w:tcW w:type="dxa" w:w="3096"/>
            <w:vAlign w:val="center"/>
            <w:tcMar>
              <w:top w:w="80" w:type="dxa"/>
              <w:start w:w="120" w:type="dxa"/>
              <w:bottom w:w="80" w:type="dxa"/>
              <w:end w:w="120" w:type="dxa"/>
            </w:tcMar>
          </w:tcPr>
          <w:p>
            <w:pPr>
              <w:spacing w:after="0" w:line="252" w:lineRule="auto"/>
            </w:pPr>
            <w:r/>
            <w:r>
              <w:rPr>
                <w:rFonts w:ascii="Calibri" w:hAnsi="Calibri"/>
                <w:b w:val="0"/>
                <w:color w:val="0B1727"/>
                <w:sz w:val="18"/>
              </w:rPr>
              <w:t>How long before sales collections support operations?</w:t>
            </w:r>
          </w:p>
        </w:tc>
      </w:tr>
    </w:tbl>
    <w:p>
      <w:pPr>
        <w:spacing w:after="40"/>
      </w:pPr>
    </w:p>
    <w:p>
      <w:pPr>
        <w:pStyle w:val="Heading2"/>
      </w:pPr>
      <w:r>
        <w:t>The Main Factors That Change AAC Plant Cost</w:t>
      </w:r>
    </w:p>
    <w:p>
      <w:pPr>
        <w:pStyle w:val="Heading3"/>
      </w:pPr>
      <w:r>
        <w:t>1. Required saleable capacity—not only installed capacity</w:t>
      </w:r>
    </w:p>
    <w:p>
      <w:r>
        <w:t>Capacity should be selected from realistic market absorption, operating days, shifts, product mix, expected recovery and planned utilisation. Installed capacity and saleable monthly dispatch are not the same figure. Designing from an optimistic sales forecast can create unnecessary fixed cost and debt burden.</w:t>
      </w:r>
    </w:p>
    <w:p>
      <w:pPr>
        <w:pStyle w:val="Heading3"/>
      </w:pPr>
      <w:r>
        <w:t>2. Block-only or block-and-panel production</w:t>
      </w:r>
    </w:p>
    <w:p>
      <w:r>
        <w:t>Panel production can change equipment, reinforcement handling, mould strategy, quality control and material-handling requirements. The intended product range must therefore be defined before comparing project costs.</w:t>
      </w:r>
    </w:p>
    <w:p>
      <w:pPr>
        <w:pStyle w:val="Heading3"/>
      </w:pPr>
      <w:r>
        <w:t>3. Automation architecture</w:t>
      </w:r>
    </w:p>
    <w:p>
      <w:r>
        <w:t>“Fully automatic” is not a sufficient commercial specification. Investors should identify which processes are interlinked, which movements are automated, what manual intervention remains and what technical manpower is required. Automation should target measurable handling, consistency, safety or throughput needs—not merely a label.</w:t>
      </w:r>
    </w:p>
    <w:p>
      <w:pPr>
        <w:pStyle w:val="Heading3"/>
      </w:pPr>
      <w:r>
        <w:t>4. Raw-material and process configuration</w:t>
      </w:r>
    </w:p>
    <w:p>
      <w:r>
        <w:t>Raw-material characteristics, preparation method, storage philosophy and recipe requirements affect equipment selection, utilities, civil work and operating cost. A configuration suitable for one site should not be assumed to suit another.</w:t>
      </w:r>
    </w:p>
    <w:p>
      <w:pPr>
        <w:pStyle w:val="Heading3"/>
      </w:pPr>
      <w:r>
        <w:t>5. Site and infrastructure conditions</w:t>
      </w:r>
    </w:p>
    <w:p>
      <w:r>
        <w:t>Land shape, soil conditions, access, power availability, water, fuel, drainage, local construction rates and inbound or outbound logistics can materially change the complete project budget even when the machinery line is similar.</w:t>
      </w:r>
    </w:p>
    <w:p>
      <w:pPr>
        <w:pStyle w:val="Heading3"/>
      </w:pPr>
      <w:r>
        <w:t>6. Expansion provision and redundancy</w:t>
      </w:r>
    </w:p>
    <w:p>
      <w:r>
        <w:t>Providing sensible space, foundations or interfaces for expansion may be economical. Installing excess capacity or redundancy before commercial justification is established may increase interest, depreciation and fixed manufacturing cost. The correct decision requires a staged capacity and risk plan.</w:t>
      </w:r>
    </w:p>
    <w:p>
      <w:pPr>
        <w:pStyle w:val="Heading2"/>
      </w:pPr>
      <w:r>
        <w:t>How to Calculate AAC Plant Working Capital</w:t>
      </w:r>
    </w:p>
    <w:p>
      <w:r>
        <w:t>Working capital is the funding required to keep the plant operating while cash remains tied up in raw materials, production, finished goods and customer receivables. It should be calculated from the operating cycle—not selected as an unexplained percentage of machinery price.</w:t>
      </w: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shd w:fill="EEF2F5"/>
            <w:tcMar>
              <w:top w:w="180" w:type="dxa"/>
              <w:start w:w="180" w:type="dxa"/>
              <w:bottom w:w="180" w:type="dxa"/>
              <w:end w:w="180" w:type="dxa"/>
            </w:tcMar>
          </w:tcPr>
          <w:p>
            <w:pPr>
              <w:spacing w:after="80"/>
            </w:pPr>
            <w:r/>
            <w:r>
              <w:rPr>
                <w:b/>
                <w:color w:val="0C4F80"/>
                <w:sz w:val="22"/>
              </w:rPr>
              <w:t>Working-capital framework</w:t>
            </w:r>
          </w:p>
          <w:p>
            <w:pPr>
              <w:spacing w:after="0" w:line="264" w:lineRule="auto"/>
            </w:pPr>
            <w:r>
              <w:t>Working-capital requirement = raw-material inventory + work in progress + finished-goods inventory + customer receivables + operating cash reserve − supplier credit and other eligible operating liabilities.</w:t>
            </w:r>
          </w:p>
        </w:tc>
      </w:tr>
    </w:tbl>
    <w:p>
      <w:pPr>
        <w:spacing w:after="0"/>
      </w:pPr>
    </w:p>
    <w:tbl>
      <w:tblPr>
        <w:tblStyle w:val="TableGrid"/>
        <w:tblW w:type="auto" w:w="0"/>
        <w:jc w:val="center"/>
        <w:tblLayout w:type="fixed"/>
        <w:tblLook w:firstColumn="1" w:firstRow="1" w:lastColumn="0" w:lastRow="0" w:noHBand="0" w:noVBand="1" w:val="04A0"/>
      </w:tblPr>
      <w:tblGrid>
        <w:gridCol w:w="1800"/>
        <w:gridCol w:w="3240"/>
        <w:gridCol w:w="4320"/>
      </w:tblGrid>
      <w:tr>
        <w:trPr>
          <w:tblHeader w:val="true"/>
          <w:cantSplit/>
        </w:trPr>
        <w:tc>
          <w:tcPr>
            <w:tcW w:type="dxa" w:w="1800"/>
            <w:vAlign w:val="center"/>
            <w:tcMar>
              <w:top w:w="80" w:type="dxa"/>
              <w:start w:w="120" w:type="dxa"/>
              <w:bottom w:w="80" w:type="dxa"/>
              <w:end w:w="120" w:type="dxa"/>
            </w:tcMar>
            <w:shd w:fill="0C4F80"/>
          </w:tcPr>
          <w:p>
            <w:pPr>
              <w:spacing w:after="0" w:line="252" w:lineRule="auto"/>
            </w:pPr>
            <w:r/>
            <w:r>
              <w:rPr>
                <w:rFonts w:ascii="Calibri" w:hAnsi="Calibri"/>
                <w:b/>
                <w:color w:val="FFFFFF"/>
                <w:sz w:val="18"/>
              </w:rPr>
              <w:t>Component</w:t>
            </w:r>
          </w:p>
        </w:tc>
        <w:tc>
          <w:tcPr>
            <w:tcW w:type="dxa" w:w="3240"/>
            <w:vAlign w:val="center"/>
            <w:tcMar>
              <w:top w:w="80" w:type="dxa"/>
              <w:start w:w="120" w:type="dxa"/>
              <w:bottom w:w="80" w:type="dxa"/>
              <w:end w:w="120" w:type="dxa"/>
            </w:tcMar>
            <w:shd w:fill="0C4F80"/>
          </w:tcPr>
          <w:p>
            <w:pPr>
              <w:spacing w:after="0" w:line="252" w:lineRule="auto"/>
            </w:pPr>
            <w:r/>
            <w:r>
              <w:rPr>
                <w:rFonts w:ascii="Calibri" w:hAnsi="Calibri"/>
                <w:b/>
                <w:color w:val="FFFFFF"/>
                <w:sz w:val="18"/>
              </w:rPr>
              <w:t>Calculation basis</w:t>
            </w:r>
          </w:p>
        </w:tc>
        <w:tc>
          <w:tcPr>
            <w:tcW w:type="dxa" w:w="4320"/>
            <w:vAlign w:val="center"/>
            <w:tcMar>
              <w:top w:w="80" w:type="dxa"/>
              <w:start w:w="120" w:type="dxa"/>
              <w:bottom w:w="80" w:type="dxa"/>
              <w:end w:w="120" w:type="dxa"/>
            </w:tcMar>
            <w:shd w:fill="0C4F80"/>
          </w:tcPr>
          <w:p>
            <w:pPr>
              <w:spacing w:after="0" w:line="252" w:lineRule="auto"/>
            </w:pPr>
            <w:r/>
            <w:r>
              <w:rPr>
                <w:rFonts w:ascii="Calibri" w:hAnsi="Calibri"/>
                <w:b/>
                <w:color w:val="FFFFFF"/>
                <w:sz w:val="18"/>
              </w:rPr>
              <w:t>AAC project question</w:t>
            </w:r>
          </w:p>
        </w:tc>
      </w:tr>
      <w:tr>
        <w:trPr>
          <w:cantSplit/>
        </w:trPr>
        <w:tc>
          <w:tcPr>
            <w:tcW w:type="dxa" w:w="1800"/>
            <w:vAlign w:val="center"/>
            <w:tcMar>
              <w:top w:w="80" w:type="dxa"/>
              <w:start w:w="120" w:type="dxa"/>
              <w:bottom w:w="80" w:type="dxa"/>
              <w:end w:w="120" w:type="dxa"/>
            </w:tcMar>
          </w:tcPr>
          <w:p>
            <w:pPr>
              <w:spacing w:after="0" w:line="252" w:lineRule="auto"/>
            </w:pPr>
            <w:r/>
            <w:r>
              <w:rPr>
                <w:rFonts w:ascii="Calibri" w:hAnsi="Calibri"/>
                <w:b w:val="0"/>
                <w:color w:val="0B1727"/>
                <w:sz w:val="18"/>
              </w:rPr>
              <w:t>Raw-material inventory</w:t>
            </w:r>
          </w:p>
        </w:tc>
        <w:tc>
          <w:tcPr>
            <w:tcW w:type="dxa" w:w="3240"/>
            <w:vAlign w:val="center"/>
            <w:tcMar>
              <w:top w:w="80" w:type="dxa"/>
              <w:start w:w="120" w:type="dxa"/>
              <w:bottom w:w="80" w:type="dxa"/>
              <w:end w:w="120" w:type="dxa"/>
            </w:tcMar>
          </w:tcPr>
          <w:p>
            <w:pPr>
              <w:spacing w:after="0" w:line="252" w:lineRule="auto"/>
            </w:pPr>
            <w:r/>
            <w:r>
              <w:rPr>
                <w:rFonts w:ascii="Calibri" w:hAnsi="Calibri"/>
                <w:b w:val="0"/>
                <w:color w:val="0B1727"/>
                <w:sz w:val="18"/>
              </w:rPr>
              <w:t>Daily or monthly consumption × inventory days</w:t>
            </w:r>
          </w:p>
        </w:tc>
        <w:tc>
          <w:tcPr>
            <w:tcW w:type="dxa" w:w="4320"/>
            <w:vAlign w:val="center"/>
            <w:tcMar>
              <w:top w:w="80" w:type="dxa"/>
              <w:start w:w="120" w:type="dxa"/>
              <w:bottom w:w="80" w:type="dxa"/>
              <w:end w:w="120" w:type="dxa"/>
            </w:tcMar>
          </w:tcPr>
          <w:p>
            <w:pPr>
              <w:spacing w:after="0" w:line="252" w:lineRule="auto"/>
            </w:pPr>
            <w:r/>
            <w:r>
              <w:rPr>
                <w:rFonts w:ascii="Calibri" w:hAnsi="Calibri"/>
                <w:b w:val="0"/>
                <w:color w:val="0B1727"/>
                <w:sz w:val="18"/>
              </w:rPr>
              <w:t>How many days of each material must be held, considering supply reliability?</w:t>
            </w:r>
          </w:p>
        </w:tc>
      </w:tr>
      <w:tr>
        <w:trPr>
          <w:cantSplit/>
        </w:trPr>
        <w:tc>
          <w:tcPr>
            <w:tcW w:type="dxa" w:w="180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Work in progress</w:t>
            </w:r>
          </w:p>
        </w:tc>
        <w:tc>
          <w:tcPr>
            <w:tcW w:type="dxa" w:w="324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Cost tied up during production and curing cycle</w:t>
            </w:r>
          </w:p>
        </w:tc>
        <w:tc>
          <w:tcPr>
            <w:tcW w:type="dxa" w:w="432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What value remains in process before the product is saleable?</w:t>
            </w:r>
          </w:p>
        </w:tc>
      </w:tr>
      <w:tr>
        <w:trPr>
          <w:cantSplit/>
        </w:trPr>
        <w:tc>
          <w:tcPr>
            <w:tcW w:type="dxa" w:w="1800"/>
            <w:vAlign w:val="center"/>
            <w:tcMar>
              <w:top w:w="80" w:type="dxa"/>
              <w:start w:w="120" w:type="dxa"/>
              <w:bottom w:w="80" w:type="dxa"/>
              <w:end w:w="120" w:type="dxa"/>
            </w:tcMar>
          </w:tcPr>
          <w:p>
            <w:pPr>
              <w:spacing w:after="0" w:line="252" w:lineRule="auto"/>
            </w:pPr>
            <w:r/>
            <w:r>
              <w:rPr>
                <w:rFonts w:ascii="Calibri" w:hAnsi="Calibri"/>
                <w:b w:val="0"/>
                <w:color w:val="0B1727"/>
                <w:sz w:val="18"/>
              </w:rPr>
              <w:t>Finished goods</w:t>
            </w:r>
          </w:p>
        </w:tc>
        <w:tc>
          <w:tcPr>
            <w:tcW w:type="dxa" w:w="3240"/>
            <w:vAlign w:val="center"/>
            <w:tcMar>
              <w:top w:w="80" w:type="dxa"/>
              <w:start w:w="120" w:type="dxa"/>
              <w:bottom w:w="80" w:type="dxa"/>
              <w:end w:w="120" w:type="dxa"/>
            </w:tcMar>
          </w:tcPr>
          <w:p>
            <w:pPr>
              <w:spacing w:after="0" w:line="252" w:lineRule="auto"/>
            </w:pPr>
            <w:r/>
            <w:r>
              <w:rPr>
                <w:rFonts w:ascii="Calibri" w:hAnsi="Calibri"/>
                <w:b w:val="0"/>
                <w:color w:val="0B1727"/>
                <w:sz w:val="18"/>
              </w:rPr>
              <w:t>Saleable production cost × stock days</w:t>
            </w:r>
          </w:p>
        </w:tc>
        <w:tc>
          <w:tcPr>
            <w:tcW w:type="dxa" w:w="4320"/>
            <w:vAlign w:val="center"/>
            <w:tcMar>
              <w:top w:w="80" w:type="dxa"/>
              <w:start w:w="120" w:type="dxa"/>
              <w:bottom w:w="80" w:type="dxa"/>
              <w:end w:w="120" w:type="dxa"/>
            </w:tcMar>
          </w:tcPr>
          <w:p>
            <w:pPr>
              <w:spacing w:after="0" w:line="252" w:lineRule="auto"/>
            </w:pPr>
            <w:r/>
            <w:r>
              <w:rPr>
                <w:rFonts w:ascii="Calibri" w:hAnsi="Calibri"/>
                <w:b w:val="0"/>
                <w:color w:val="0B1727"/>
                <w:sz w:val="18"/>
              </w:rPr>
              <w:t>How much stock is needed for size mix, dispatch planning and market service?</w:t>
            </w:r>
          </w:p>
        </w:tc>
      </w:tr>
      <w:tr>
        <w:trPr>
          <w:cantSplit/>
        </w:trPr>
        <w:tc>
          <w:tcPr>
            <w:tcW w:type="dxa" w:w="180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Receivables</w:t>
            </w:r>
          </w:p>
        </w:tc>
        <w:tc>
          <w:tcPr>
            <w:tcW w:type="dxa" w:w="324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Credit sales × collection period</w:t>
            </w:r>
          </w:p>
        </w:tc>
        <w:tc>
          <w:tcPr>
            <w:tcW w:type="dxa" w:w="432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What credit terms are realistic for dealers, contractors and institutional buyers?</w:t>
            </w:r>
          </w:p>
        </w:tc>
      </w:tr>
      <w:tr>
        <w:trPr>
          <w:cantSplit/>
        </w:trPr>
        <w:tc>
          <w:tcPr>
            <w:tcW w:type="dxa" w:w="1800"/>
            <w:vAlign w:val="center"/>
            <w:tcMar>
              <w:top w:w="80" w:type="dxa"/>
              <w:start w:w="120" w:type="dxa"/>
              <w:bottom w:w="80" w:type="dxa"/>
              <w:end w:w="120" w:type="dxa"/>
            </w:tcMar>
          </w:tcPr>
          <w:p>
            <w:pPr>
              <w:spacing w:after="0" w:line="252" w:lineRule="auto"/>
            </w:pPr>
            <w:r/>
            <w:r>
              <w:rPr>
                <w:rFonts w:ascii="Calibri" w:hAnsi="Calibri"/>
                <w:b w:val="0"/>
                <w:color w:val="0B1727"/>
                <w:sz w:val="18"/>
              </w:rPr>
              <w:t>Operating cash reserve</w:t>
            </w:r>
          </w:p>
        </w:tc>
        <w:tc>
          <w:tcPr>
            <w:tcW w:type="dxa" w:w="3240"/>
            <w:vAlign w:val="center"/>
            <w:tcMar>
              <w:top w:w="80" w:type="dxa"/>
              <w:start w:w="120" w:type="dxa"/>
              <w:bottom w:w="80" w:type="dxa"/>
              <w:end w:w="120" w:type="dxa"/>
            </w:tcMar>
          </w:tcPr>
          <w:p>
            <w:pPr>
              <w:spacing w:after="0" w:line="252" w:lineRule="auto"/>
            </w:pPr>
            <w:r/>
            <w:r>
              <w:rPr>
                <w:rFonts w:ascii="Calibri" w:hAnsi="Calibri"/>
                <w:b w:val="0"/>
                <w:color w:val="0B1727"/>
                <w:sz w:val="18"/>
              </w:rPr>
              <w:t>Payroll, fuel, power, maintenance, transport and other committed expenses</w:t>
            </w:r>
          </w:p>
        </w:tc>
        <w:tc>
          <w:tcPr>
            <w:tcW w:type="dxa" w:w="4320"/>
            <w:vAlign w:val="center"/>
            <w:tcMar>
              <w:top w:w="80" w:type="dxa"/>
              <w:start w:w="120" w:type="dxa"/>
              <w:bottom w:w="80" w:type="dxa"/>
              <w:end w:w="120" w:type="dxa"/>
            </w:tcMar>
          </w:tcPr>
          <w:p>
            <w:pPr>
              <w:spacing w:after="0" w:line="252" w:lineRule="auto"/>
            </w:pPr>
            <w:r/>
            <w:r>
              <w:rPr>
                <w:rFonts w:ascii="Calibri" w:hAnsi="Calibri"/>
                <w:b w:val="0"/>
                <w:color w:val="0B1727"/>
                <w:sz w:val="18"/>
              </w:rPr>
              <w:t>What must be paid even when utilisation or collections are below plan?</w:t>
            </w:r>
          </w:p>
        </w:tc>
      </w:tr>
      <w:tr>
        <w:trPr>
          <w:cantSplit/>
        </w:trPr>
        <w:tc>
          <w:tcPr>
            <w:tcW w:type="dxa" w:w="180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Supplier credit</w:t>
            </w:r>
          </w:p>
        </w:tc>
        <w:tc>
          <w:tcPr>
            <w:tcW w:type="dxa" w:w="324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Eligible purchases × payable period</w:t>
            </w:r>
          </w:p>
        </w:tc>
        <w:tc>
          <w:tcPr>
            <w:tcW w:type="dxa" w:w="4320"/>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Which suppliers actually provide reliable credit, and from what stage?</w:t>
            </w:r>
          </w:p>
        </w:tc>
      </w:tr>
      <w:tr>
        <w:trPr>
          <w:cantSplit/>
        </w:trPr>
        <w:tc>
          <w:tcPr>
            <w:tcW w:type="dxa" w:w="1800"/>
            <w:vAlign w:val="center"/>
            <w:tcMar>
              <w:top w:w="80" w:type="dxa"/>
              <w:start w:w="120" w:type="dxa"/>
              <w:bottom w:w="80" w:type="dxa"/>
              <w:end w:w="120" w:type="dxa"/>
            </w:tcMar>
          </w:tcPr>
          <w:p>
            <w:pPr>
              <w:spacing w:after="0" w:line="252" w:lineRule="auto"/>
            </w:pPr>
            <w:r/>
            <w:r>
              <w:rPr>
                <w:rFonts w:ascii="Calibri" w:hAnsi="Calibri"/>
                <w:b w:val="0"/>
                <w:color w:val="0B1727"/>
                <w:sz w:val="18"/>
              </w:rPr>
              <w:t>Debt servicing</w:t>
            </w:r>
          </w:p>
        </w:tc>
        <w:tc>
          <w:tcPr>
            <w:tcW w:type="dxa" w:w="3240"/>
            <w:vAlign w:val="center"/>
            <w:tcMar>
              <w:top w:w="80" w:type="dxa"/>
              <w:start w:w="120" w:type="dxa"/>
              <w:bottom w:w="80" w:type="dxa"/>
              <w:end w:w="120" w:type="dxa"/>
            </w:tcMar>
          </w:tcPr>
          <w:p>
            <w:pPr>
              <w:spacing w:after="0" w:line="252" w:lineRule="auto"/>
            </w:pPr>
            <w:r/>
            <w:r>
              <w:rPr>
                <w:rFonts w:ascii="Calibri" w:hAnsi="Calibri"/>
                <w:b w:val="0"/>
                <w:color w:val="0B1727"/>
                <w:sz w:val="18"/>
              </w:rPr>
              <w:t>Interest and principal obligations as applicable</w:t>
            </w:r>
          </w:p>
        </w:tc>
        <w:tc>
          <w:tcPr>
            <w:tcW w:type="dxa" w:w="4320"/>
            <w:vAlign w:val="center"/>
            <w:tcMar>
              <w:top w:w="80" w:type="dxa"/>
              <w:start w:w="120" w:type="dxa"/>
              <w:bottom w:w="80" w:type="dxa"/>
              <w:end w:w="120" w:type="dxa"/>
            </w:tcMar>
          </w:tcPr>
          <w:p>
            <w:pPr>
              <w:spacing w:after="0" w:line="252" w:lineRule="auto"/>
            </w:pPr>
            <w:r/>
            <w:r>
              <w:rPr>
                <w:rFonts w:ascii="Calibri" w:hAnsi="Calibri"/>
                <w:b w:val="0"/>
                <w:color w:val="0B1727"/>
                <w:sz w:val="18"/>
              </w:rPr>
              <w:t>Can scheduled payments be met during commissioning and ramp-up?</w:t>
            </w:r>
          </w:p>
        </w:tc>
      </w:tr>
    </w:tbl>
    <w:p>
      <w:pPr>
        <w:spacing w:after="40"/>
      </w:pPr>
    </w:p>
    <w:p>
      <w:pPr>
        <w:pStyle w:val="Heading2"/>
      </w:pPr>
      <w:r>
        <w:t>Build the Estimate in Six Steps</w:t>
      </w:r>
    </w:p>
    <w:p>
      <w:pPr>
        <w:pStyle w:val="ListNumber"/>
        <w:spacing w:after="160"/>
        <w:ind w:left="720" w:hanging="360"/>
      </w:pPr>
      <w:r>
        <w:t>Define the commercial case: target market, monthly saleable output, product mix, selling radius and customer-credit policy.</w:t>
      </w:r>
    </w:p>
    <w:p>
      <w:pPr>
        <w:pStyle w:val="ListNumber"/>
        <w:spacing w:after="160"/>
        <w:ind w:left="720" w:hanging="360"/>
      </w:pPr>
      <w:r>
        <w:t>Define the engineering case: capacity, shifts, raw-material route, block/panel scope, automation boundary, utilities and expansion plan.</w:t>
      </w:r>
    </w:p>
    <w:p>
      <w:pPr>
        <w:pStyle w:val="ListNumber"/>
        <w:spacing w:after="160"/>
        <w:ind w:left="720" w:hanging="360"/>
      </w:pPr>
      <w:r>
        <w:t>Prepare a responsibility matrix: supplier scope, owner scope, third-party packages, civil work, utilities, electricals, installation and approvals.</w:t>
      </w:r>
    </w:p>
    <w:p>
      <w:pPr>
        <w:pStyle w:val="ListNumber"/>
        <w:spacing w:after="160"/>
        <w:ind w:left="720" w:hanging="360"/>
      </w:pPr>
      <w:r>
        <w:t>Build the capital budget: obtain location-based estimates for every cost head, add pre-operative expenses and apply a clearly explained contingency.</w:t>
      </w:r>
    </w:p>
    <w:p>
      <w:pPr>
        <w:pStyle w:val="ListNumber"/>
        <w:spacing w:after="160"/>
        <w:ind w:left="720" w:hanging="360"/>
      </w:pPr>
      <w:r>
        <w:t>Model the operating cycle: inventory days, production cycle, finished-stock days, receivable days, payable days and committed monthly expenses.</w:t>
      </w:r>
    </w:p>
    <w:p>
      <w:pPr>
        <w:pStyle w:val="ListNumber"/>
        <w:spacing w:after="160"/>
        <w:ind w:left="720" w:hanging="360"/>
      </w:pPr>
      <w:r>
        <w:t>Test scenarios: conservative, base and accelerated ramp-up; delayed commissioning; slower collections; lower utilisation; and cost escalation.</w:t>
      </w:r>
    </w:p>
    <w:p>
      <w:pPr>
        <w:pStyle w:val="Heading2"/>
      </w:pPr>
      <w:r>
        <w:t>Why a Single Cost-per-Capacity Table Can Mislead</w:t>
      </w:r>
    </w:p>
    <w:p>
      <w:r>
        <w:t>Capacity-based ranges can be useful for preliminary screening only when their assumptions are shown beside them. A publishable range should state its preparation date, capacity basis, operating schedule, product scope, automation level, included equipment, taxes, freight, installation, land treatment and exclusions. Without those disclosures, the figures cannot be compared or applied responsibly.</w:t>
      </w:r>
    </w:p>
    <w:p>
      <w:r>
        <w:t>For that reason, Laxmi En-Fab recommends preparing a preliminary cost range only after the basic project inputs have been defined. The final investment decision should rely on a site-specific engineering and commercial study—not a generic web figure.</w:t>
      </w:r>
    </w:p>
    <w:p>
      <w:pPr>
        <w:pStyle w:val="Heading2"/>
      </w:pPr>
      <w:r>
        <w:t>Two Financial Mistakes to Avoid</w:t>
      </w:r>
    </w:p>
    <w:p>
      <w:pPr>
        <w:pStyle w:val="Heading3"/>
      </w:pPr>
      <w:r>
        <w:t>Underestimating the cash-conversion cycle</w:t>
      </w:r>
    </w:p>
    <w:p>
      <w:r>
        <w:t>A new plant may produce before it collects cash. Raw materials, salaries, fuel, power, maintenance, transport, inventory and debt obligations continue during ramp-up. If sales take longer or customers pay later than assumed, an apparently viable project can face avoidable cash stress.</w:t>
      </w:r>
    </w:p>
    <w:p>
      <w:pPr>
        <w:pStyle w:val="Heading3"/>
      </w:pPr>
      <w:r>
        <w:t>Over-investing before demand is established</w:t>
      </w:r>
    </w:p>
    <w:p>
      <w:r>
        <w:t>Oversized equipment, excessive automation or infrastructure far beyond the justified production plan can increase borrowing, interest, depreciation and fixed manufacturing cost. The objective is not the highest possible investment. It is a technically balanced plant that can serve the verified market and expand logically.</w:t>
      </w:r>
    </w:p>
    <w:p>
      <w:pPr>
        <w:pStyle w:val="Heading2"/>
      </w:pPr>
      <w:r>
        <w:t>What Laxmi En-Fab Reviews Before Defining Project Scope</w:t>
      </w:r>
    </w:p>
    <w:p>
      <w:r>
        <w:t>A meaningful preliminary assessment begins with the project conditions, not a standard price. The review should cover:</w:t>
      </w:r>
    </w:p>
    <w:p>
      <w:pPr>
        <w:pStyle w:val="ListBullet"/>
        <w:spacing w:after="160" w:line="280" w:lineRule="auto"/>
        <w:ind w:left="720" w:hanging="360"/>
      </w:pPr>
      <w:r>
        <w:t>Proposed location and available land</w:t>
      </w:r>
    </w:p>
    <w:p>
      <w:pPr>
        <w:pStyle w:val="ListBullet"/>
        <w:spacing w:after="160" w:line="280" w:lineRule="auto"/>
        <w:ind w:left="720" w:hanging="360"/>
      </w:pPr>
      <w:r>
        <w:t>Target product: AAC blocks, panels or both</w:t>
      </w:r>
    </w:p>
    <w:p>
      <w:pPr>
        <w:pStyle w:val="ListBullet"/>
        <w:spacing w:after="160" w:line="280" w:lineRule="auto"/>
        <w:ind w:left="720" w:hanging="360"/>
      </w:pPr>
      <w:r>
        <w:t>Target saleable output and market radius</w:t>
      </w:r>
    </w:p>
    <w:p>
      <w:pPr>
        <w:pStyle w:val="ListBullet"/>
        <w:spacing w:after="160" w:line="280" w:lineRule="auto"/>
        <w:ind w:left="720" w:hanging="360"/>
      </w:pPr>
      <w:r>
        <w:t>Available raw materials and their intended preparation route</w:t>
      </w:r>
    </w:p>
    <w:p>
      <w:pPr>
        <w:pStyle w:val="ListBullet"/>
        <w:spacing w:after="160" w:line="280" w:lineRule="auto"/>
        <w:ind w:left="720" w:hanging="360"/>
      </w:pPr>
      <w:r>
        <w:t>Power, water, fuel and utility conditions</w:t>
      </w:r>
    </w:p>
    <w:p>
      <w:pPr>
        <w:pStyle w:val="ListBullet"/>
        <w:spacing w:after="160" w:line="280" w:lineRule="auto"/>
        <w:ind w:left="720" w:hanging="360"/>
      </w:pPr>
      <w:r>
        <w:t>Preferred automation philosophy and manpower constraints</w:t>
      </w:r>
    </w:p>
    <w:p>
      <w:pPr>
        <w:pStyle w:val="ListBullet"/>
        <w:spacing w:after="160" w:line="280" w:lineRule="auto"/>
        <w:ind w:left="720" w:hanging="360"/>
      </w:pPr>
      <w:r>
        <w:t>Expansion objectives and implementation schedule</w:t>
      </w:r>
    </w:p>
    <w:p>
      <w:pPr>
        <w:pStyle w:val="ListBullet"/>
        <w:spacing w:after="160" w:line="280" w:lineRule="auto"/>
        <w:ind w:left="720" w:hanging="360"/>
      </w:pPr>
      <w:r>
        <w:t>Expected customer profile, credit period and dispatch model</w:t>
      </w:r>
    </w:p>
    <w:p>
      <w:r>
        <w:t>Based on these inputs, the machinery scope, owner responsibilities and cost-estimation basis can be defined more accurately. Detailed financial viability, loan appraisal, tax treatment and investment approval should also be reviewed with the investor’s qualified financial and legal advisers.</w:t>
      </w:r>
    </w:p>
    <w:p>
      <w:pPr>
        <w:pStyle w:val="Heading2"/>
      </w:pPr>
      <w:r>
        <w:t>Frequently Asked Questions</w:t>
      </w:r>
    </w:p>
    <w:p>
      <w:pPr>
        <w:keepNext/>
      </w:pPr>
      <w:r>
        <w:rPr>
          <w:b/>
          <w:color w:val="0C4F80"/>
        </w:rPr>
        <w:t>How much does an AAC plant cost in India?</w:t>
      </w:r>
    </w:p>
    <w:p>
      <w:r>
        <w:t>There is no dependable universal price. Cost varies with capacity, product scope, automation, raw-material system, utilities, site conditions, civil work and supply boundaries. A useful estimate must disclose these assumptions.</w:t>
      </w:r>
    </w:p>
    <w:p>
      <w:pPr>
        <w:keepNext/>
      </w:pPr>
      <w:r>
        <w:rPr>
          <w:b/>
          <w:color w:val="0C4F80"/>
        </w:rPr>
        <w:t>Does the machinery quotation represent the complete project cost?</w:t>
      </w:r>
    </w:p>
    <w:p>
      <w:r>
        <w:t>Usually not. Investors must separately confirm civil work, utilities, electrical infrastructure, installation, freight, taxes, statutory requirements, pre-operative expenses, contingency and working capital.</w:t>
      </w:r>
    </w:p>
    <w:p>
      <w:pPr>
        <w:keepNext/>
      </w:pPr>
      <w:r>
        <w:rPr>
          <w:b/>
          <w:color w:val="0C4F80"/>
        </w:rPr>
        <w:t>Is land included in AAC project cost?</w:t>
      </w:r>
    </w:p>
    <w:p>
      <w:r>
        <w:t>Land should be shown separately unless the estimate explicitly includes a defined purchase or lease value. Land cost varies significantly by location and can distort machinery comparisons.</w:t>
      </w:r>
    </w:p>
    <w:p>
      <w:pPr>
        <w:keepNext/>
      </w:pPr>
      <w:r>
        <w:rPr>
          <w:b/>
          <w:color w:val="0C4F80"/>
        </w:rPr>
        <w:t>How much working capital does an AAC plant require?</w:t>
      </w:r>
    </w:p>
    <w:p>
      <w:r>
        <w:t>It depends on production scale, inventory days, operating expenses, customer credit, finished-stock policy, supplier credit, debt servicing and ramp-up. Calculate it from the operating cycle rather than using an unexplained fixed percentage.</w:t>
      </w:r>
    </w:p>
    <w:p>
      <w:pPr>
        <w:keepNext/>
      </w:pPr>
      <w:r>
        <w:rPr>
          <w:b/>
          <w:color w:val="0C4F80"/>
        </w:rPr>
        <w:t>Why can two quotations for the same capacity differ?</w:t>
      </w:r>
    </w:p>
    <w:p>
      <w:r>
        <w:t>They may use different equipment scopes, automation definitions, operating assumptions, bought-out packages, utility responsibilities, installation boundaries and product capabilities.</w:t>
      </w:r>
    </w:p>
    <w:p>
      <w:pPr>
        <w:keepNext/>
      </w:pPr>
      <w:r>
        <w:rPr>
          <w:b/>
          <w:color w:val="0C4F80"/>
        </w:rPr>
        <w:t>Is a fully automatic AAC plant always the best investment?</w:t>
      </w:r>
    </w:p>
    <w:p>
      <w:r>
        <w:t>No. Automation should be evaluated process by process against throughput, handling, consistency, safety, maintenance capability and technical manpower. The most automated option is not automatically the most commercially suitable.</w:t>
      </w:r>
    </w:p>
    <w:p>
      <w:pPr>
        <w:keepNext/>
      </w:pPr>
      <w:r>
        <w:rPr>
          <w:b/>
          <w:color w:val="0C4F80"/>
        </w:rPr>
        <w:t>Should a new investor install maximum capacity from the beginning?</w:t>
      </w:r>
    </w:p>
    <w:p>
      <w:r>
        <w:t>Only when demand, finance, utilities, raw materials and operating capability support it. An expansion-ready configuration may be more resilient than unnecessary initial over-capacity.</w:t>
      </w:r>
    </w:p>
    <w:p>
      <w:pPr>
        <w:keepNext/>
      </w:pPr>
      <w:r>
        <w:rPr>
          <w:b/>
          <w:color w:val="0C4F80"/>
        </w:rPr>
        <w:t>What is required for a preliminary project-cost assessment?</w:t>
      </w:r>
    </w:p>
    <w:p>
      <w:r>
        <w:t>At minimum: location, intended products, target output, raw-material basis, available utilities, automation preference, land status, expansion plan and expected project schedule.</w:t>
      </w:r>
    </w:p>
    <w:p>
      <w:pPr>
        <w:pStyle w:val="Heading2"/>
      </w:pPr>
      <w:r>
        <w:t>Plan the Complete Investment—Not Only the Machinery Purchase</w:t>
      </w:r>
    </w:p>
    <w:p>
      <w:r>
        <w:t>A commercially sustainable AAC project balances market demand, plant scope, total capital requirement, operating economics and working capital. Clarifying these elements before finalising the machinery configuration reduces avoidable scope gaps and creates a better basis for supplier comparison, financing and implementation.</w:t>
      </w: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shd w:fill="EEF2F5"/>
            <w:tcMar>
              <w:top w:w="180" w:type="dxa"/>
              <w:start w:w="180" w:type="dxa"/>
              <w:bottom w:w="180" w:type="dxa"/>
              <w:end w:w="180" w:type="dxa"/>
            </w:tcMar>
          </w:tcPr>
          <w:p>
            <w:pPr>
              <w:spacing w:after="80"/>
            </w:pPr>
            <w:r/>
            <w:r>
              <w:rPr>
                <w:b/>
                <w:color w:val="0C4F80"/>
                <w:sz w:val="22"/>
              </w:rPr>
              <w:t>Request a Capacity-Based Project Cost Assessment</w:t>
            </w:r>
          </w:p>
          <w:p>
            <w:pPr>
              <w:spacing w:after="0" w:line="264" w:lineRule="auto"/>
            </w:pPr>
            <w:r>
              <w:t>Share your proposed plant location, intended products, target capacity, raw-material basis and automation preference. Laxmi En-Fab can use these inputs to define the preliminary machinery scope, major project-cost heads and the information required for detailed estimation.</w:t>
            </w:r>
          </w:p>
        </w:tc>
      </w:tr>
    </w:tbl>
    <w:p>
      <w:pPr>
        <w:spacing w:after="0"/>
      </w:pPr>
    </w:p>
    <w:p>
      <w:r>
        <w:t>Secondary action: Download the AAC Project Cost Checklist and compare machinery inclusions, owner scope, utilities, civil works, installation responsibilities and working-capital assumptions before evaluating supplier prices.</w:t>
      </w:r>
    </w:p>
    <w:p>
      <w:pPr>
        <w:pStyle w:val="Heading2"/>
      </w:pPr>
      <w:r>
        <w:t>Important Planning Note</w:t>
      </w:r>
    </w:p>
    <w:p>
      <w:r>
        <w:t>This guide provides an engineering and commercial planning framework. It is not a quotation, bankable detailed project report, guarantee of project cost, promise of profitability or assurance of loan approval. Actual costs and financial requirements depend on the final technical scope, site, location, market, taxes, financing terms and implementation conditions. All figures used in a project decision should be verified through current quotations and professional financial review.</w:t>
      </w:r>
    </w:p>
    <w:p>
      <w:pPr>
        <w:pStyle w:val="Heading1"/>
      </w:pPr>
      <w:r>
        <w:t>Developer Implementation Notes</w:t>
      </w:r>
    </w:p>
    <w:tbl>
      <w:tblPr>
        <w:tblStyle w:val="TableGrid"/>
        <w:tblW w:type="auto" w:w="0"/>
        <w:jc w:val="center"/>
        <w:tblLayout w:type="fixed"/>
        <w:tblLook w:firstColumn="1" w:firstRow="1" w:lastColumn="0" w:lastRow="0" w:noHBand="0" w:noVBand="1" w:val="04A0"/>
      </w:tblPr>
      <w:tblGrid>
        <w:gridCol w:w="2088"/>
        <w:gridCol w:w="7272"/>
      </w:tblGrid>
      <w:tr>
        <w:trPr>
          <w:tblHeader w:val="true"/>
          <w:cantSplit/>
        </w:trPr>
        <w:tc>
          <w:tcPr>
            <w:tcW w:type="dxa" w:w="2088"/>
            <w:vAlign w:val="center"/>
            <w:tcMar>
              <w:top w:w="80" w:type="dxa"/>
              <w:start w:w="120" w:type="dxa"/>
              <w:bottom w:w="80" w:type="dxa"/>
              <w:end w:w="120" w:type="dxa"/>
            </w:tcMar>
            <w:shd w:fill="0C4F80"/>
          </w:tcPr>
          <w:p>
            <w:pPr>
              <w:spacing w:after="0" w:line="252" w:lineRule="auto"/>
            </w:pPr>
            <w:r/>
            <w:r>
              <w:rPr>
                <w:rFonts w:ascii="Calibri" w:hAnsi="Calibri"/>
                <w:b/>
                <w:color w:val="FFFFFF"/>
                <w:sz w:val="18"/>
              </w:rPr>
              <w:t>Element</w:t>
            </w:r>
          </w:p>
        </w:tc>
        <w:tc>
          <w:tcPr>
            <w:tcW w:type="dxa" w:w="7272"/>
            <w:vAlign w:val="center"/>
            <w:tcMar>
              <w:top w:w="80" w:type="dxa"/>
              <w:start w:w="120" w:type="dxa"/>
              <w:bottom w:w="80" w:type="dxa"/>
              <w:end w:w="120" w:type="dxa"/>
            </w:tcMar>
            <w:shd w:fill="0C4F80"/>
          </w:tcPr>
          <w:p>
            <w:pPr>
              <w:spacing w:after="0" w:line="252" w:lineRule="auto"/>
            </w:pPr>
            <w:r/>
            <w:r>
              <w:rPr>
                <w:rFonts w:ascii="Calibri" w:hAnsi="Calibri"/>
                <w:b/>
                <w:color w:val="FFFFFF"/>
                <w:sz w:val="18"/>
              </w:rPr>
              <w:t>Implementation</w:t>
            </w:r>
          </w:p>
        </w:tc>
      </w:tr>
      <w:tr>
        <w:trPr>
          <w:cantSplit/>
        </w:trPr>
        <w:tc>
          <w:tcPr>
            <w:tcW w:type="dxa" w:w="2088"/>
            <w:vAlign w:val="center"/>
            <w:tcMar>
              <w:top w:w="80" w:type="dxa"/>
              <w:start w:w="120" w:type="dxa"/>
              <w:bottom w:w="80" w:type="dxa"/>
              <w:end w:w="120" w:type="dxa"/>
            </w:tcMar>
          </w:tcPr>
          <w:p>
            <w:pPr>
              <w:spacing w:after="0" w:line="252" w:lineRule="auto"/>
            </w:pPr>
            <w:r/>
            <w:r>
              <w:rPr>
                <w:rFonts w:ascii="Calibri" w:hAnsi="Calibri"/>
                <w:b w:val="0"/>
                <w:color w:val="0B1727"/>
                <w:sz w:val="18"/>
              </w:rPr>
              <w:t>Breadcrumb</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B1727"/>
                <w:sz w:val="18"/>
              </w:rPr>
              <w:t>Home &gt; AAC Investor Academy &gt; Project Planning &gt; AAC Plant Cost &amp; Working Capital</w:t>
            </w:r>
          </w:p>
        </w:tc>
      </w:tr>
      <w:tr>
        <w:trPr>
          <w:cantSplit/>
        </w:trPr>
        <w:tc>
          <w:tcPr>
            <w:tcW w:type="dxa" w:w="2088"/>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Article byline</w:t>
            </w:r>
          </w:p>
        </w:tc>
        <w:tc>
          <w:tcPr>
            <w:tcW w:type="dxa" w:w="7272"/>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Display a named author and technical reviewer only after company approval. Add publication and last-updated dates.</w:t>
            </w:r>
          </w:p>
        </w:tc>
      </w:tr>
      <w:tr>
        <w:trPr>
          <w:cantSplit/>
        </w:trPr>
        <w:tc>
          <w:tcPr>
            <w:tcW w:type="dxa" w:w="2088"/>
            <w:vAlign w:val="center"/>
            <w:tcMar>
              <w:top w:w="80" w:type="dxa"/>
              <w:start w:w="120" w:type="dxa"/>
              <w:bottom w:w="80" w:type="dxa"/>
              <w:end w:w="120" w:type="dxa"/>
            </w:tcMar>
          </w:tcPr>
          <w:p>
            <w:pPr>
              <w:spacing w:after="0" w:line="252" w:lineRule="auto"/>
            </w:pPr>
            <w:r/>
            <w:r>
              <w:rPr>
                <w:rFonts w:ascii="Calibri" w:hAnsi="Calibri"/>
                <w:b w:val="0"/>
                <w:color w:val="0B1727"/>
                <w:sz w:val="18"/>
              </w:rPr>
              <w:t>Schema</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B1727"/>
                <w:sz w:val="18"/>
              </w:rPr>
              <w:t>Article + BreadcrumbList. Connect to the sitewide Organization entity. Add Person, VideoObject or ImageObject only when the visible content supports it.</w:t>
            </w:r>
          </w:p>
        </w:tc>
      </w:tr>
      <w:tr>
        <w:trPr>
          <w:cantSplit/>
        </w:trPr>
        <w:tc>
          <w:tcPr>
            <w:tcW w:type="dxa" w:w="2088"/>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Internal links</w:t>
            </w:r>
          </w:p>
        </w:tc>
        <w:tc>
          <w:tcPr>
            <w:tcW w:type="dxa" w:w="7272"/>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Capacity Selection; Land Requirement; Automation; Utilities; Manpower; Production Cost; ROI &amp; Break-even; Finance; Market Demand; Vendor Comparison.</w:t>
            </w:r>
          </w:p>
        </w:tc>
      </w:tr>
      <w:tr>
        <w:trPr>
          <w:cantSplit/>
        </w:trPr>
        <w:tc>
          <w:tcPr>
            <w:tcW w:type="dxa" w:w="2088"/>
            <w:vAlign w:val="center"/>
            <w:tcMar>
              <w:top w:w="80" w:type="dxa"/>
              <w:start w:w="120" w:type="dxa"/>
              <w:bottom w:w="80" w:type="dxa"/>
              <w:end w:w="120" w:type="dxa"/>
            </w:tcMar>
          </w:tcPr>
          <w:p>
            <w:pPr>
              <w:spacing w:after="0" w:line="252" w:lineRule="auto"/>
            </w:pPr>
            <w:r/>
            <w:r>
              <w:rPr>
                <w:rFonts w:ascii="Calibri" w:hAnsi="Calibri"/>
                <w:b w:val="0"/>
                <w:color w:val="0B1727"/>
                <w:sz w:val="18"/>
              </w:rPr>
              <w:t>Primary form fields</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B1727"/>
                <w:sz w:val="18"/>
              </w:rPr>
              <w:t>Name, company, mobile/email, proposed location, capacity or “not decided”, blocks/panels/both, raw-material basis, project stage, optional message.</w:t>
            </w:r>
          </w:p>
        </w:tc>
      </w:tr>
      <w:tr>
        <w:trPr>
          <w:cantSplit/>
        </w:trPr>
        <w:tc>
          <w:tcPr>
            <w:tcW w:type="dxa" w:w="2088"/>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Cost ranges</w:t>
            </w:r>
          </w:p>
        </w:tc>
        <w:tc>
          <w:tcPr>
            <w:tcW w:type="dxa" w:w="7272"/>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Do not publish the earlier numerical tables until scope, basis date, inclusions, exclusions and calculation records are approved.</w:t>
            </w:r>
          </w:p>
        </w:tc>
      </w:tr>
      <w:tr>
        <w:trPr>
          <w:cantSplit/>
        </w:trPr>
        <w:tc>
          <w:tcPr>
            <w:tcW w:type="dxa" w:w="2088"/>
            <w:vAlign w:val="center"/>
            <w:tcMar>
              <w:top w:w="80" w:type="dxa"/>
              <w:start w:w="120" w:type="dxa"/>
              <w:bottom w:w="80" w:type="dxa"/>
              <w:end w:w="120" w:type="dxa"/>
            </w:tcMar>
          </w:tcPr>
          <w:p>
            <w:pPr>
              <w:spacing w:after="0" w:line="252" w:lineRule="auto"/>
            </w:pPr>
            <w:r/>
            <w:r>
              <w:rPr>
                <w:rFonts w:ascii="Calibri" w:hAnsi="Calibri"/>
                <w:b w:val="0"/>
                <w:color w:val="0B1727"/>
                <w:sz w:val="18"/>
              </w:rPr>
              <w:t>Critical content visibility</w:t>
            </w:r>
          </w:p>
        </w:tc>
        <w:tc>
          <w:tcPr>
            <w:tcW w:type="dxa" w:w="7272"/>
            <w:vAlign w:val="center"/>
            <w:tcMar>
              <w:top w:w="80" w:type="dxa"/>
              <w:start w:w="120" w:type="dxa"/>
              <w:bottom w:w="80" w:type="dxa"/>
              <w:end w:w="120" w:type="dxa"/>
            </w:tcMar>
          </w:tcPr>
          <w:p>
            <w:pPr>
              <w:spacing w:after="0" w:line="252" w:lineRule="auto"/>
            </w:pPr>
            <w:r/>
            <w:r>
              <w:rPr>
                <w:rFonts w:ascii="Calibri" w:hAnsi="Calibri"/>
                <w:b w:val="0"/>
                <w:color w:val="0B1727"/>
                <w:sz w:val="18"/>
              </w:rPr>
              <w:t>Keep formulas, definitions, FAQ answers and disclaimers as crawlable HTML—not only in images, PDFs, tabs or JavaScript.</w:t>
            </w:r>
          </w:p>
        </w:tc>
      </w:tr>
      <w:tr>
        <w:trPr>
          <w:cantSplit/>
        </w:trPr>
        <w:tc>
          <w:tcPr>
            <w:tcW w:type="dxa" w:w="2088"/>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Review cycle</w:t>
            </w:r>
          </w:p>
        </w:tc>
        <w:tc>
          <w:tcPr>
            <w:tcW w:type="dxa" w:w="7272"/>
            <w:vAlign w:val="center"/>
            <w:tcMar>
              <w:top w:w="80" w:type="dxa"/>
              <w:start w:w="120" w:type="dxa"/>
              <w:bottom w:w="80" w:type="dxa"/>
              <w:end w:w="120" w:type="dxa"/>
            </w:tcMar>
            <w:shd w:fill="F5F7F8"/>
          </w:tcPr>
          <w:p>
            <w:pPr>
              <w:spacing w:after="0" w:line="252" w:lineRule="auto"/>
            </w:pPr>
            <w:r/>
            <w:r>
              <w:rPr>
                <w:rFonts w:ascii="Calibri" w:hAnsi="Calibri"/>
                <w:b w:val="0"/>
                <w:color w:val="0B1727"/>
                <w:sz w:val="18"/>
              </w:rPr>
              <w:t>Review cost-related content at least when commercial assumptions materially change; display the actual last-reviewed date.</w:t>
            </w:r>
          </w:p>
        </w:tc>
      </w:tr>
    </w:tbl>
    <w:p>
      <w:pPr>
        <w:spacing w:after="40"/>
      </w:pPr>
    </w:p>
    <w:p>
      <w:pPr>
        <w:pStyle w:val="Heading2"/>
      </w:pPr>
      <w:r>
        <w:t>Recommended Visuals</w:t>
      </w:r>
    </w:p>
    <w:p>
      <w:pPr>
        <w:pStyle w:val="ListBullet"/>
        <w:spacing w:after="160" w:line="280" w:lineRule="auto"/>
        <w:ind w:left="720" w:hanging="360"/>
      </w:pPr>
      <w:r>
        <w:t>Project-cost architecture: machinery price → installed project cost → total funding requirement.</w:t>
      </w:r>
    </w:p>
    <w:p>
      <w:pPr>
        <w:pStyle w:val="ListBullet"/>
        <w:spacing w:after="160" w:line="280" w:lineRule="auto"/>
        <w:ind w:left="720" w:hanging="360"/>
      </w:pPr>
      <w:r>
        <w:t>Working-capital cycle: purchasing → production → finished stock → dispatch → receivables → cash collection.</w:t>
      </w:r>
    </w:p>
    <w:p>
      <w:pPr>
        <w:pStyle w:val="ListBullet"/>
        <w:spacing w:after="160" w:line="280" w:lineRule="auto"/>
        <w:ind w:left="720" w:hanging="360"/>
      </w:pPr>
      <w:r>
        <w:t>Quotation-comparison table showing supplier, owner and third-party responsibilities.</w:t>
      </w:r>
    </w:p>
    <w:p>
      <w:pPr>
        <w:pStyle w:val="ListBullet"/>
        <w:spacing w:after="160" w:line="280" w:lineRule="auto"/>
        <w:ind w:left="720" w:hanging="360"/>
      </w:pPr>
      <w:r>
        <w:t>One authentic engineering-review or layout-planning photograph with a descriptive caption.</w:t>
      </w:r>
    </w:p>
    <w:p>
      <w:pPr>
        <w:pStyle w:val="ListBullet"/>
        <w:spacing w:after="160" w:line="280" w:lineRule="auto"/>
        <w:ind w:left="720" w:hanging="360"/>
      </w:pPr>
      <w:r>
        <w:t>Optional interactive estimator that displays every user-entered assumption and clearly labels results as preliminary.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rPr>
      <w:t>AAC Plant Cost &amp; Working Capital  •  Publication-ready website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EOLabel"/>
      <w:jc w:val="right"/>
    </w:pPr>
    <w:r>
      <w:t>LAXMI EN-FAB PVT. LTD.  |  AAC INVESTOR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17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C4F8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C4F8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17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OLabel">
    <w:name w:val="SEO Label"/>
    <w:rPr>
      <w:rFonts w:ascii="Calibri" w:hAnsi="Calibri"/>
      <w:b/>
      <w:color w:val="0C4F80"/>
      <w:sz w:val="18"/>
    </w:rPr>
  </w:style>
  <w:style w:type="paragraph" w:customStyle="1" w:styleId="Kicker">
    <w:name w:val="Kicker"/>
    <w:rPr>
      <w:rFonts w:ascii="Calibri" w:hAnsi="Calibri"/>
      <w:b/>
      <w:color w:val="0C4F80"/>
      <w:sz w:val="20"/>
    </w:rPr>
  </w:style>
  <w:style w:type="paragraph" w:customStyle="1" w:styleId="Callout">
    <w:name w:val="Callout"/>
    <w:rPr>
      <w:rFonts w:ascii="Calibri" w:hAnsi="Calibri"/>
      <w:b/>
      <w:color w:val="0B172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Plant Cost in India: Project Cost and Working Capital Guide</dc:title>
  <dc:subject>Publication-ready website content for Laxmi En-Fab Pvt. Ltd.</dc:subject>
  <dc:creator>Laxmi En-Fab Pvt. Ltd.</dc:creator>
  <cp:keywords>AAC plant cost in India, AAC project cost, AAC plant working capital</cp:keywords>
  <dc:description>generated by python-docx</dc:description>
  <cp:lastModifiedBy/>
  <cp:revision>1</cp:revision>
  <dcterms:created xsi:type="dcterms:W3CDTF">2013-12-23T23:15:00Z</dcterms:created>
  <dcterms:modified xsi:type="dcterms:W3CDTF">2013-12-23T23:15:00Z</dcterms:modified>
  <cp:category/>
</cp:coreProperties>
</file>