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i w:val="0"/>
          <w:color w:val="0C4F80"/>
        </w:rPr>
        <w:t>AAC INVESTOR ACADEMY</w:t>
      </w:r>
    </w:p>
    <w:p>
      <w:pPr>
        <w:spacing w:after="120"/>
        <w:jc w:val="center"/>
      </w:pPr>
      <w:r>
        <w:rPr>
          <w:rFonts w:ascii="Aptos Display" w:hAnsi="Aptos Display"/>
          <w:b/>
          <w:i w:val="0"/>
          <w:color w:val="0B1727"/>
          <w:sz w:val="56"/>
        </w:rPr>
        <w:t>AAC Block Plant Subsidies in India</w:t>
      </w:r>
    </w:p>
    <w:p>
      <w:pPr>
        <w:spacing w:after="400"/>
        <w:jc w:val="center"/>
      </w:pPr>
      <w:r>
        <w:rPr>
          <w:b/>
          <w:i w:val="0"/>
          <w:color w:val="0C4F80"/>
          <w:sz w:val="34"/>
        </w:rPr>
        <w:t>Eligibility and Planning Guide</w:t>
      </w:r>
    </w:p>
    <w:tbl>
      <w:tblPr>
        <w:tblW w:type="auto" w:w="0"/>
        <w:jc w:val="center"/>
        <w:tblLayout w:type="fixed"/>
        <w:tblLook w:firstColumn="1" w:firstRow="1" w:lastColumn="0" w:lastRow="0" w:noHBand="0" w:noVBand="1" w:val="04A0"/>
      </w:tblPr>
      <w:tblGrid>
        <w:gridCol w:w="9648"/>
      </w:tblGrid>
      <w:tr>
        <w:tc>
          <w:tcPr>
            <w:tcW w:type="dxa" w:w="9878"/>
            <w:shd w:fill="EEF2F5"/>
            <w:tcMar>
              <w:top w:w="160" w:type="dxa"/>
              <w:start w:w="180" w:type="dxa"/>
              <w:bottom w:w="160" w:type="dxa"/>
              <w:end w:w="180" w:type="dxa"/>
            </w:tcMar>
          </w:tcPr>
          <w:p>
            <w:pPr>
              <w:spacing w:after="0" w:line="276" w:lineRule="auto"/>
            </w:pPr>
            <w:r>
              <w:rPr>
                <w:b/>
                <w:color w:val="0C4F80"/>
              </w:rPr>
              <w:t xml:space="preserve">CORE ANSWER  </w:t>
            </w:r>
            <w:r>
              <w:t>India does not have one universal central-government subsidy exclusively available to every AAC block or AAC panel manufacturing plant. Eligibility is project-, location-, policy- and timing-specific.</w:t>
            </w:r>
          </w:p>
        </w:tc>
      </w:tr>
    </w:tbl>
    <w:p>
      <w:pPr>
        <w:spacing w:after="20"/>
      </w:pPr>
    </w:p>
    <w:p>
      <w:pPr>
        <w:spacing w:after="40"/>
        <w:jc w:val="center"/>
      </w:pPr>
      <w:r>
        <w:rPr>
          <w:i w:val="0"/>
          <w:color w:val="52606D"/>
        </w:rPr>
        <w:t>Publication-ready webpage copy</w:t>
      </w:r>
    </w:p>
    <w:p>
      <w:pPr>
        <w:spacing w:after="40"/>
        <w:jc w:val="center"/>
      </w:pPr>
      <w:r>
        <w:rPr>
          <w:i w:val="0"/>
          <w:color w:val="52606D"/>
        </w:rPr>
        <w:t>Prepared for Laxmi En-Fab Pvt. Ltd.</w:t>
      </w:r>
    </w:p>
    <w:p>
      <w:pPr>
        <w:spacing w:after="280"/>
        <w:jc w:val="center"/>
      </w:pPr>
      <w:r>
        <w:rPr>
          <w:i w:val="0"/>
          <w:color w:val="52606D"/>
        </w:rPr>
        <w:t>Policy review date: 15 August 2026</w:t>
      </w:r>
    </w:p>
    <w:p>
      <w:pPr>
        <w:pStyle w:val="Heading1"/>
      </w:pPr>
      <w:r>
        <w:t>SEO and Publication Details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944"/>
            <w:shd w:fill="0B1727"/>
            <w:tcMar>
              <w:top w:w="90" w:type="dxa"/>
              <w:start w:w="120" w:type="dxa"/>
              <w:bottom w:w="90" w:type="dxa"/>
              <w:end w:w="120" w:type="dxa"/>
            </w:tcMar>
            <w:vAlign w:val="center"/>
          </w:tcPr>
          <w:p>
            <w:pPr>
              <w:spacing w:after="0"/>
            </w:pPr>
            <w:r>
              <w:rPr>
                <w:b/>
                <w:color w:val="FFFFFF"/>
                <w:sz w:val="18"/>
              </w:rPr>
              <w:t>Field</w:t>
            </w:r>
          </w:p>
        </w:tc>
        <w:tc>
          <w:tcPr>
            <w:tcW w:type="dxa" w:w="7704"/>
            <w:shd w:fill="0B1727"/>
            <w:tcMar>
              <w:top w:w="90" w:type="dxa"/>
              <w:start w:w="120" w:type="dxa"/>
              <w:bottom w:w="90" w:type="dxa"/>
              <w:end w:w="120" w:type="dxa"/>
            </w:tcMar>
            <w:vAlign w:val="center"/>
          </w:tcPr>
          <w:p>
            <w:pPr>
              <w:spacing w:after="0"/>
            </w:pPr>
            <w:r>
              <w:rPr>
                <w:b/>
                <w:color w:val="FFFFFF"/>
                <w:sz w:val="18"/>
              </w:rPr>
              <w:t>Recommended value</w:t>
            </w:r>
          </w:p>
        </w:tc>
      </w:tr>
      <w:tr>
        <w:tc>
          <w:tcPr>
            <w:tcW w:type="dxa" w:w="1944"/>
            <w:tcMar>
              <w:top w:w="90" w:type="dxa"/>
              <w:start w:w="120" w:type="dxa"/>
              <w:bottom w:w="90" w:type="dxa"/>
              <w:end w:w="120" w:type="dxa"/>
            </w:tcMar>
            <w:vAlign w:val="center"/>
          </w:tcPr>
          <w:p>
            <w:pPr>
              <w:spacing w:after="0" w:line="259" w:lineRule="auto"/>
            </w:pPr>
            <w:r>
              <w:rPr>
                <w:color w:val="0B1727"/>
                <w:sz w:val="17"/>
              </w:rPr>
              <w:t>SEO title</w:t>
            </w:r>
          </w:p>
        </w:tc>
        <w:tc>
          <w:tcPr>
            <w:tcW w:type="dxa" w:w="7704"/>
            <w:tcMar>
              <w:top w:w="90" w:type="dxa"/>
              <w:start w:w="120" w:type="dxa"/>
              <w:bottom w:w="90" w:type="dxa"/>
              <w:end w:w="120" w:type="dxa"/>
            </w:tcMar>
            <w:vAlign w:val="center"/>
          </w:tcPr>
          <w:p>
            <w:pPr>
              <w:spacing w:after="0" w:line="259" w:lineRule="auto"/>
            </w:pPr>
            <w:r>
              <w:rPr>
                <w:color w:val="0B1727"/>
                <w:sz w:val="17"/>
              </w:rPr>
              <w:t>AAC Block Plant Subsidy in India: Eligibility Guide</w:t>
            </w:r>
          </w:p>
        </w:tc>
      </w:tr>
      <w:tr>
        <w:tc>
          <w:tcPr>
            <w:tcW w:type="dxa" w:w="1944"/>
            <w:tcMar>
              <w:top w:w="90" w:type="dxa"/>
              <w:start w:w="120" w:type="dxa"/>
              <w:bottom w:w="90" w:type="dxa"/>
              <w:end w:w="120" w:type="dxa"/>
            </w:tcMar>
            <w:vAlign w:val="center"/>
            <w:shd w:fill="F5F7F8"/>
          </w:tcPr>
          <w:p>
            <w:pPr>
              <w:spacing w:after="0" w:line="259" w:lineRule="auto"/>
            </w:pPr>
            <w:r>
              <w:rPr>
                <w:color w:val="0B1727"/>
                <w:sz w:val="17"/>
              </w:rPr>
              <w:t>Meta description</w:t>
            </w:r>
          </w:p>
        </w:tc>
        <w:tc>
          <w:tcPr>
            <w:tcW w:type="dxa" w:w="7704"/>
            <w:tcMar>
              <w:top w:w="90" w:type="dxa"/>
              <w:start w:w="120" w:type="dxa"/>
              <w:bottom w:w="90" w:type="dxa"/>
              <w:end w:w="120" w:type="dxa"/>
            </w:tcMar>
            <w:vAlign w:val="center"/>
            <w:shd w:fill="F5F7F8"/>
          </w:tcPr>
          <w:p>
            <w:pPr>
              <w:spacing w:after="0" w:line="259" w:lineRule="auto"/>
            </w:pPr>
            <w:r>
              <w:rPr>
                <w:color w:val="0B1727"/>
                <w:sz w:val="17"/>
              </w:rPr>
              <w:t>Learn how SGST-linked incentives, capital subsidies, interest support and state industrial policies may apply when planning an AAC plant in India.</w:t>
            </w:r>
          </w:p>
        </w:tc>
      </w:tr>
      <w:tr>
        <w:tc>
          <w:tcPr>
            <w:tcW w:type="dxa" w:w="1944"/>
            <w:tcMar>
              <w:top w:w="90" w:type="dxa"/>
              <w:start w:w="120" w:type="dxa"/>
              <w:bottom w:w="90" w:type="dxa"/>
              <w:end w:w="120" w:type="dxa"/>
            </w:tcMar>
            <w:vAlign w:val="center"/>
          </w:tcPr>
          <w:p>
            <w:pPr>
              <w:spacing w:after="0" w:line="259" w:lineRule="auto"/>
            </w:pPr>
            <w:r>
              <w:rPr>
                <w:color w:val="0B1727"/>
                <w:sz w:val="17"/>
              </w:rPr>
              <w:t>URL</w:t>
            </w:r>
          </w:p>
        </w:tc>
        <w:tc>
          <w:tcPr>
            <w:tcW w:type="dxa" w:w="7704"/>
            <w:tcMar>
              <w:top w:w="90" w:type="dxa"/>
              <w:start w:w="120" w:type="dxa"/>
              <w:bottom w:w="90" w:type="dxa"/>
              <w:end w:w="120" w:type="dxa"/>
            </w:tcMar>
            <w:vAlign w:val="center"/>
          </w:tcPr>
          <w:p>
            <w:pPr>
              <w:spacing w:after="0" w:line="259" w:lineRule="auto"/>
            </w:pPr>
            <w:r>
              <w:rPr>
                <w:color w:val="0B1727"/>
                <w:sz w:val="17"/>
              </w:rPr>
              <w:t>/aac-block-plant-subsidy-india/</w:t>
            </w:r>
          </w:p>
        </w:tc>
      </w:tr>
      <w:tr>
        <w:tc>
          <w:tcPr>
            <w:tcW w:type="dxa" w:w="1944"/>
            <w:tcMar>
              <w:top w:w="90" w:type="dxa"/>
              <w:start w:w="120" w:type="dxa"/>
              <w:bottom w:w="90" w:type="dxa"/>
              <w:end w:w="120" w:type="dxa"/>
            </w:tcMar>
            <w:vAlign w:val="center"/>
            <w:shd w:fill="F5F7F8"/>
          </w:tcPr>
          <w:p>
            <w:pPr>
              <w:spacing w:after="0" w:line="259" w:lineRule="auto"/>
            </w:pPr>
            <w:r>
              <w:rPr>
                <w:color w:val="0B1727"/>
                <w:sz w:val="17"/>
              </w:rPr>
              <w:t>Breadcrumb</w:t>
            </w:r>
          </w:p>
        </w:tc>
        <w:tc>
          <w:tcPr>
            <w:tcW w:type="dxa" w:w="7704"/>
            <w:tcMar>
              <w:top w:w="90" w:type="dxa"/>
              <w:start w:w="120" w:type="dxa"/>
              <w:bottom w:w="90" w:type="dxa"/>
              <w:end w:w="120" w:type="dxa"/>
            </w:tcMar>
            <w:vAlign w:val="center"/>
            <w:shd w:fill="F5F7F8"/>
          </w:tcPr>
          <w:p>
            <w:pPr>
              <w:spacing w:after="0" w:line="259" w:lineRule="auto"/>
            </w:pPr>
            <w:r>
              <w:rPr>
                <w:color w:val="0B1727"/>
                <w:sz w:val="17"/>
              </w:rPr>
              <w:t>Home → AAC Investor Academy → Project Finance → AAC Block Plant Subsidies</w:t>
            </w:r>
          </w:p>
        </w:tc>
      </w:tr>
    </w:tbl>
    <w:p>
      <w:pPr>
        <w:spacing w:after="20"/>
      </w:pPr>
    </w:p>
    <w:p>
      <w:r>
        <w:br w:type="page"/>
      </w:r>
    </w:p>
    <w:p>
      <w:pPr>
        <w:pStyle w:val="Heading1"/>
      </w:pPr>
      <w:r>
        <w:t>AAC Block Plant Subsidies in India: Eligibility and Planning Guide</w:t>
      </w:r>
    </w:p>
    <w:p>
      <w:pPr>
        <w:pStyle w:val="Heading2"/>
      </w:pPr>
      <w:r>
        <w:t>Is There a Government Subsidy Specifically for AAC Plants?</w:t>
      </w:r>
    </w:p>
    <w:p>
      <w:pPr>
        <w:spacing w:after="120"/>
      </w:pPr>
      <w:r>
        <w:rPr>
          <w:i w:val="0"/>
        </w:rPr>
        <w:t>India does not have one universal central-government subsidy exclusively available to every AAC block or AAC panel manufacturing plant.</w:t>
      </w:r>
    </w:p>
    <w:p>
      <w:pPr>
        <w:spacing w:after="120"/>
      </w:pPr>
      <w:r>
        <w:rPr>
          <w:i w:val="0"/>
        </w:rPr>
        <w:t>However, an eligible AAC manufacturing project may receive financial benefits under the industrial policy applicable to its:</w:t>
      </w:r>
    </w:p>
    <w:p>
      <w:pPr>
        <w:pStyle w:val="ListBullet"/>
      </w:pPr>
      <w:r>
        <w:t>State and district</w:t>
      </w:r>
    </w:p>
    <w:p>
      <w:pPr>
        <w:pStyle w:val="ListBullet"/>
      </w:pPr>
      <w:r>
        <w:t>Enterprise category</w:t>
      </w:r>
    </w:p>
    <w:p>
      <w:pPr>
        <w:pStyle w:val="ListBullet"/>
      </w:pPr>
      <w:r>
        <w:t>Eligible fixed capital investment</w:t>
      </w:r>
    </w:p>
    <w:p>
      <w:pPr>
        <w:pStyle w:val="ListBullet"/>
      </w:pPr>
      <w:r>
        <w:t>Plant location</w:t>
      </w:r>
    </w:p>
    <w:p>
      <w:pPr>
        <w:pStyle w:val="ListBullet"/>
      </w:pPr>
      <w:r>
        <w:t>Employment commitment</w:t>
      </w:r>
    </w:p>
    <w:p>
      <w:pPr>
        <w:pStyle w:val="ListBullet"/>
      </w:pPr>
      <w:r>
        <w:t>Financing structure</w:t>
      </w:r>
    </w:p>
    <w:p>
      <w:pPr>
        <w:pStyle w:val="ListBullet"/>
      </w:pPr>
      <w:r>
        <w:t>Date of application and commercial production</w:t>
      </w:r>
    </w:p>
    <w:p>
      <w:pPr>
        <w:pStyle w:val="ListBullet"/>
      </w:pPr>
      <w:r>
        <w:t>Statutory and environmental compliance</w:t>
      </w:r>
    </w:p>
    <w:p>
      <w:pPr>
        <w:spacing w:after="120"/>
      </w:pPr>
      <w:r>
        <w:rPr>
          <w:i w:val="0"/>
        </w:rPr>
        <w:t>Depending on the applicable policy, potential benefits may include capital investment subsidy, SGST-linked reimbursement, interest subsidy, electricity-duty exemption, stamp-duty relief, power-tariff support, employment assistance or infrastructure incentives.</w:t>
      </w:r>
    </w:p>
    <w:p>
      <w:pPr>
        <w:spacing w:after="120"/>
      </w:pPr>
      <w:r>
        <w:rPr>
          <w:i w:val="0"/>
        </w:rPr>
        <w:t>These benefits are not automatic merely because a project manufactures AAC products. Eligibility must be confirmed under the policy in force before major investment commitments are made.</w:t>
      </w:r>
    </w:p>
    <w:tbl>
      <w:tblPr>
        <w:tblW w:type="auto" w:w="0"/>
        <w:jc w:val="center"/>
        <w:tblLayout w:type="fixed"/>
        <w:tblLook w:firstColumn="1" w:firstRow="1" w:lastColumn="0" w:lastRow="0" w:noHBand="0" w:noVBand="1" w:val="04A0"/>
      </w:tblPr>
      <w:tblGrid>
        <w:gridCol w:w="9648"/>
      </w:tblGrid>
      <w:tr>
        <w:tc>
          <w:tcPr>
            <w:tcW w:type="dxa" w:w="9878"/>
            <w:shd w:fill="EEF2F5"/>
            <w:tcMar>
              <w:top w:w="160" w:type="dxa"/>
              <w:start w:w="180" w:type="dxa"/>
              <w:bottom w:w="160" w:type="dxa"/>
              <w:end w:w="180" w:type="dxa"/>
            </w:tcMar>
          </w:tcPr>
          <w:p>
            <w:pPr>
              <w:spacing w:after="0" w:line="276" w:lineRule="auto"/>
            </w:pPr>
            <w:r>
              <w:rPr>
                <w:b/>
                <w:color w:val="0C4F80"/>
              </w:rPr>
              <w:t xml:space="preserve">PRACTICAL ANSWER  </w:t>
            </w:r>
            <w:r>
              <w:t>Do not include a subsidy amount in the AAC plant ROI until the applicable scheme, eligible investment, application timing and benefit ceiling have been independently verified.</w:t>
            </w:r>
          </w:p>
        </w:tc>
      </w:tr>
    </w:tbl>
    <w:p>
      <w:pPr>
        <w:spacing w:after="20"/>
      </w:pPr>
    </w:p>
    <w:p>
      <w:pPr>
        <w:pStyle w:val="Heading2"/>
      </w:pPr>
      <w:r>
        <w:t>Subsidy, Loan, Exemption and Reimbursement Are Not the Same</w:t>
      </w:r>
    </w:p>
    <w:p>
      <w:pPr>
        <w:spacing w:after="120"/>
      </w:pPr>
      <w:r>
        <w:rPr>
          <w:i w:val="0"/>
        </w:rPr>
        <w:t>Investors often use the word “subsidy” for every type of government or financial assistance. Each form of support affects project cash flow differently.</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shd w:fill="0B1727"/>
            <w:tcMar>
              <w:top w:w="90" w:type="dxa"/>
              <w:start w:w="120" w:type="dxa"/>
              <w:bottom w:w="90" w:type="dxa"/>
              <w:end w:w="120" w:type="dxa"/>
            </w:tcMar>
            <w:vAlign w:val="center"/>
          </w:tcPr>
          <w:p>
            <w:pPr>
              <w:spacing w:after="0"/>
            </w:pPr>
            <w:r>
              <w:rPr>
                <w:b/>
                <w:color w:val="FFFFFF"/>
                <w:sz w:val="18"/>
              </w:rPr>
              <w:t>Type of support</w:t>
            </w:r>
          </w:p>
        </w:tc>
        <w:tc>
          <w:tcPr>
            <w:tcW w:type="dxa" w:w="4320"/>
            <w:shd w:fill="0B1727"/>
            <w:tcMar>
              <w:top w:w="90" w:type="dxa"/>
              <w:start w:w="120" w:type="dxa"/>
              <w:bottom w:w="90" w:type="dxa"/>
              <w:end w:w="120" w:type="dxa"/>
            </w:tcMar>
            <w:vAlign w:val="center"/>
          </w:tcPr>
          <w:p>
            <w:pPr>
              <w:spacing w:after="0"/>
            </w:pPr>
            <w:r>
              <w:rPr>
                <w:b/>
                <w:color w:val="FFFFFF"/>
                <w:sz w:val="18"/>
              </w:rPr>
              <w:t>What it generally means</w:t>
            </w:r>
          </w:p>
        </w:tc>
        <w:tc>
          <w:tcPr>
            <w:tcW w:type="dxa" w:w="3384"/>
            <w:shd w:fill="0B1727"/>
            <w:tcMar>
              <w:top w:w="90" w:type="dxa"/>
              <w:start w:w="120" w:type="dxa"/>
              <w:bottom w:w="90" w:type="dxa"/>
              <w:end w:w="120" w:type="dxa"/>
            </w:tcMar>
            <w:vAlign w:val="center"/>
          </w:tcPr>
          <w:p>
            <w:pPr>
              <w:spacing w:after="0"/>
            </w:pPr>
            <w:r>
              <w:rPr>
                <w:b/>
                <w:color w:val="FFFFFF"/>
                <w:sz w:val="18"/>
              </w:rPr>
              <w:t>When benefit may arise</w:t>
            </w:r>
          </w:p>
        </w:tc>
      </w:tr>
      <w:tr>
        <w:tc>
          <w:tcPr>
            <w:tcW w:type="dxa" w:w="1944"/>
            <w:tcMar>
              <w:top w:w="90" w:type="dxa"/>
              <w:start w:w="120" w:type="dxa"/>
              <w:bottom w:w="90" w:type="dxa"/>
              <w:end w:w="120" w:type="dxa"/>
            </w:tcMar>
            <w:vAlign w:val="center"/>
          </w:tcPr>
          <w:p>
            <w:pPr>
              <w:spacing w:after="0" w:line="259" w:lineRule="auto"/>
            </w:pPr>
            <w:r>
              <w:rPr>
                <w:color w:val="0B1727"/>
                <w:sz w:val="17"/>
              </w:rPr>
              <w:t>Capital subsidy</w:t>
            </w:r>
          </w:p>
        </w:tc>
        <w:tc>
          <w:tcPr>
            <w:tcW w:type="dxa" w:w="4320"/>
            <w:tcMar>
              <w:top w:w="90" w:type="dxa"/>
              <w:start w:w="120" w:type="dxa"/>
              <w:bottom w:w="90" w:type="dxa"/>
              <w:end w:w="120" w:type="dxa"/>
            </w:tcMar>
            <w:vAlign w:val="center"/>
          </w:tcPr>
          <w:p>
            <w:pPr>
              <w:spacing w:after="0" w:line="259" w:lineRule="auto"/>
            </w:pPr>
            <w:r>
              <w:rPr>
                <w:color w:val="0B1727"/>
                <w:sz w:val="17"/>
              </w:rPr>
              <w:t>Assistance linked to eligible investment in approved assets</w:t>
            </w:r>
          </w:p>
        </w:tc>
        <w:tc>
          <w:tcPr>
            <w:tcW w:type="dxa" w:w="3384"/>
            <w:tcMar>
              <w:top w:w="90" w:type="dxa"/>
              <w:start w:w="120" w:type="dxa"/>
              <w:bottom w:w="90" w:type="dxa"/>
              <w:end w:w="120" w:type="dxa"/>
            </w:tcMar>
            <w:vAlign w:val="center"/>
          </w:tcPr>
          <w:p>
            <w:pPr>
              <w:spacing w:after="0" w:line="259" w:lineRule="auto"/>
            </w:pPr>
            <w:r>
              <w:rPr>
                <w:color w:val="0B1727"/>
                <w:sz w:val="17"/>
              </w:rPr>
              <w:t>After approval and prescribed conditions</w:t>
            </w:r>
          </w:p>
        </w:tc>
      </w:tr>
      <w:tr>
        <w:tc>
          <w:tcPr>
            <w:tcW w:type="dxa" w:w="1944"/>
            <w:tcMar>
              <w:top w:w="90" w:type="dxa"/>
              <w:start w:w="120" w:type="dxa"/>
              <w:bottom w:w="90" w:type="dxa"/>
              <w:end w:w="120" w:type="dxa"/>
            </w:tcMar>
            <w:vAlign w:val="center"/>
            <w:shd w:fill="F5F7F8"/>
          </w:tcPr>
          <w:p>
            <w:pPr>
              <w:spacing w:after="0" w:line="259" w:lineRule="auto"/>
            </w:pPr>
            <w:r>
              <w:rPr>
                <w:color w:val="0B1727"/>
                <w:sz w:val="17"/>
              </w:rPr>
              <w:t>SGST-linked incentive</w:t>
            </w:r>
          </w:p>
        </w:tc>
        <w:tc>
          <w:tcPr>
            <w:tcW w:type="dxa" w:w="4320"/>
            <w:tcMar>
              <w:top w:w="90" w:type="dxa"/>
              <w:start w:w="120" w:type="dxa"/>
              <w:bottom w:w="90" w:type="dxa"/>
              <w:end w:w="120" w:type="dxa"/>
            </w:tcMar>
            <w:vAlign w:val="center"/>
            <w:shd w:fill="F5F7F8"/>
          </w:tcPr>
          <w:p>
            <w:pPr>
              <w:spacing w:after="0" w:line="259" w:lineRule="auto"/>
            </w:pPr>
            <w:r>
              <w:rPr>
                <w:color w:val="0B1727"/>
                <w:sz w:val="17"/>
              </w:rPr>
              <w:t>Assistance linked to eligible state tax deposited</w:t>
            </w:r>
          </w:p>
        </w:tc>
        <w:tc>
          <w:tcPr>
            <w:tcW w:type="dxa" w:w="3384"/>
            <w:tcMar>
              <w:top w:w="90" w:type="dxa"/>
              <w:start w:w="120" w:type="dxa"/>
              <w:bottom w:w="90" w:type="dxa"/>
              <w:end w:w="120" w:type="dxa"/>
            </w:tcMar>
            <w:vAlign w:val="center"/>
            <w:shd w:fill="F5F7F8"/>
          </w:tcPr>
          <w:p>
            <w:pPr>
              <w:spacing w:after="0" w:line="259" w:lineRule="auto"/>
            </w:pPr>
            <w:r>
              <w:rPr>
                <w:color w:val="0B1727"/>
                <w:sz w:val="17"/>
              </w:rPr>
              <w:t>After production, eligible sales and tax payment</w:t>
            </w:r>
          </w:p>
        </w:tc>
      </w:tr>
      <w:tr>
        <w:tc>
          <w:tcPr>
            <w:tcW w:type="dxa" w:w="1944"/>
            <w:tcMar>
              <w:top w:w="90" w:type="dxa"/>
              <w:start w:w="120" w:type="dxa"/>
              <w:bottom w:w="90" w:type="dxa"/>
              <w:end w:w="120" w:type="dxa"/>
            </w:tcMar>
            <w:vAlign w:val="center"/>
          </w:tcPr>
          <w:p>
            <w:pPr>
              <w:spacing w:after="0" w:line="259" w:lineRule="auto"/>
            </w:pPr>
            <w:r>
              <w:rPr>
                <w:color w:val="0B1727"/>
                <w:sz w:val="17"/>
              </w:rPr>
              <w:t>Interest subsidy</w:t>
            </w:r>
          </w:p>
        </w:tc>
        <w:tc>
          <w:tcPr>
            <w:tcW w:type="dxa" w:w="4320"/>
            <w:tcMar>
              <w:top w:w="90" w:type="dxa"/>
              <w:start w:w="120" w:type="dxa"/>
              <w:bottom w:w="90" w:type="dxa"/>
              <w:end w:w="120" w:type="dxa"/>
            </w:tcMar>
            <w:vAlign w:val="center"/>
          </w:tcPr>
          <w:p>
            <w:pPr>
              <w:spacing w:after="0" w:line="259" w:lineRule="auto"/>
            </w:pPr>
            <w:r>
              <w:rPr>
                <w:color w:val="0B1727"/>
                <w:sz w:val="17"/>
              </w:rPr>
              <w:t>Reimbursement of eligible term-loan interest</w:t>
            </w:r>
          </w:p>
        </w:tc>
        <w:tc>
          <w:tcPr>
            <w:tcW w:type="dxa" w:w="3384"/>
            <w:tcMar>
              <w:top w:w="90" w:type="dxa"/>
              <w:start w:w="120" w:type="dxa"/>
              <w:bottom w:w="90" w:type="dxa"/>
              <w:end w:w="120" w:type="dxa"/>
            </w:tcMar>
            <w:vAlign w:val="center"/>
          </w:tcPr>
          <w:p>
            <w:pPr>
              <w:spacing w:after="0" w:line="259" w:lineRule="auto"/>
            </w:pPr>
            <w:r>
              <w:rPr>
                <w:color w:val="0B1727"/>
                <w:sz w:val="17"/>
              </w:rPr>
              <w:t>After interest payment and compliance</w:t>
            </w:r>
          </w:p>
        </w:tc>
      </w:tr>
      <w:tr>
        <w:tc>
          <w:tcPr>
            <w:tcW w:type="dxa" w:w="1944"/>
            <w:tcMar>
              <w:top w:w="90" w:type="dxa"/>
              <w:start w:w="120" w:type="dxa"/>
              <w:bottom w:w="90" w:type="dxa"/>
              <w:end w:w="120" w:type="dxa"/>
            </w:tcMar>
            <w:vAlign w:val="center"/>
            <w:shd w:fill="F5F7F8"/>
          </w:tcPr>
          <w:p>
            <w:pPr>
              <w:spacing w:after="0" w:line="259" w:lineRule="auto"/>
            </w:pPr>
            <w:r>
              <w:rPr>
                <w:color w:val="0B1727"/>
                <w:sz w:val="17"/>
              </w:rPr>
              <w:t>Electricity-duty exemption</w:t>
            </w:r>
          </w:p>
        </w:tc>
        <w:tc>
          <w:tcPr>
            <w:tcW w:type="dxa" w:w="4320"/>
            <w:tcMar>
              <w:top w:w="90" w:type="dxa"/>
              <w:start w:w="120" w:type="dxa"/>
              <w:bottom w:w="90" w:type="dxa"/>
              <w:end w:w="120" w:type="dxa"/>
            </w:tcMar>
            <w:vAlign w:val="center"/>
            <w:shd w:fill="F5F7F8"/>
          </w:tcPr>
          <w:p>
            <w:pPr>
              <w:spacing w:after="0" w:line="259" w:lineRule="auto"/>
            </w:pPr>
            <w:r>
              <w:rPr>
                <w:color w:val="0B1727"/>
                <w:sz w:val="17"/>
              </w:rPr>
              <w:t>Exemption or reimbursement of eligible duty</w:t>
            </w:r>
          </w:p>
        </w:tc>
        <w:tc>
          <w:tcPr>
            <w:tcW w:type="dxa" w:w="3384"/>
            <w:tcMar>
              <w:top w:w="90" w:type="dxa"/>
              <w:start w:w="120" w:type="dxa"/>
              <w:bottom w:w="90" w:type="dxa"/>
              <w:end w:w="120" w:type="dxa"/>
            </w:tcMar>
            <w:vAlign w:val="center"/>
            <w:shd w:fill="F5F7F8"/>
          </w:tcPr>
          <w:p>
            <w:pPr>
              <w:spacing w:after="0" w:line="259" w:lineRule="auto"/>
            </w:pPr>
            <w:r>
              <w:rPr>
                <w:color w:val="0B1727"/>
                <w:sz w:val="17"/>
              </w:rPr>
              <w:t>During the approved eligibility period</w:t>
            </w:r>
          </w:p>
        </w:tc>
      </w:tr>
      <w:tr>
        <w:tc>
          <w:tcPr>
            <w:tcW w:type="dxa" w:w="1944"/>
            <w:tcMar>
              <w:top w:w="90" w:type="dxa"/>
              <w:start w:w="120" w:type="dxa"/>
              <w:bottom w:w="90" w:type="dxa"/>
              <w:end w:w="120" w:type="dxa"/>
            </w:tcMar>
            <w:vAlign w:val="center"/>
          </w:tcPr>
          <w:p>
            <w:pPr>
              <w:spacing w:after="0" w:line="259" w:lineRule="auto"/>
            </w:pPr>
            <w:r>
              <w:rPr>
                <w:color w:val="0B1727"/>
                <w:sz w:val="17"/>
              </w:rPr>
              <w:t>Power-tariff assistance</w:t>
            </w:r>
          </w:p>
        </w:tc>
        <w:tc>
          <w:tcPr>
            <w:tcW w:type="dxa" w:w="4320"/>
            <w:tcMar>
              <w:top w:w="90" w:type="dxa"/>
              <w:start w:w="120" w:type="dxa"/>
              <w:bottom w:w="90" w:type="dxa"/>
              <w:end w:w="120" w:type="dxa"/>
            </w:tcMar>
            <w:vAlign w:val="center"/>
          </w:tcPr>
          <w:p>
            <w:pPr>
              <w:spacing w:after="0" w:line="259" w:lineRule="auto"/>
            </w:pPr>
            <w:r>
              <w:rPr>
                <w:color w:val="0B1727"/>
                <w:sz w:val="17"/>
              </w:rPr>
              <w:t>Support linked to eligible electricity consumption</w:t>
            </w:r>
          </w:p>
        </w:tc>
        <w:tc>
          <w:tcPr>
            <w:tcW w:type="dxa" w:w="3384"/>
            <w:tcMar>
              <w:top w:w="90" w:type="dxa"/>
              <w:start w:w="120" w:type="dxa"/>
              <w:bottom w:w="90" w:type="dxa"/>
              <w:end w:w="120" w:type="dxa"/>
            </w:tcMar>
            <w:vAlign w:val="center"/>
          </w:tcPr>
          <w:p>
            <w:pPr>
              <w:spacing w:after="0" w:line="259" w:lineRule="auto"/>
            </w:pPr>
            <w:r>
              <w:rPr>
                <w:color w:val="0B1727"/>
                <w:sz w:val="17"/>
              </w:rPr>
              <w:t>After operation, subject to policy</w:t>
            </w:r>
          </w:p>
        </w:tc>
      </w:tr>
      <w:tr>
        <w:tc>
          <w:tcPr>
            <w:tcW w:type="dxa" w:w="1944"/>
            <w:tcMar>
              <w:top w:w="90" w:type="dxa"/>
              <w:start w:w="120" w:type="dxa"/>
              <w:bottom w:w="90" w:type="dxa"/>
              <w:end w:w="120" w:type="dxa"/>
            </w:tcMar>
            <w:vAlign w:val="center"/>
            <w:shd w:fill="F5F7F8"/>
          </w:tcPr>
          <w:p>
            <w:pPr>
              <w:spacing w:after="0" w:line="259" w:lineRule="auto"/>
            </w:pPr>
            <w:r>
              <w:rPr>
                <w:color w:val="0B1727"/>
                <w:sz w:val="17"/>
              </w:rPr>
              <w:t>Stamp-duty relief</w:t>
            </w:r>
          </w:p>
        </w:tc>
        <w:tc>
          <w:tcPr>
            <w:tcW w:type="dxa" w:w="4320"/>
            <w:tcMar>
              <w:top w:w="90" w:type="dxa"/>
              <w:start w:w="120" w:type="dxa"/>
              <w:bottom w:w="90" w:type="dxa"/>
              <w:end w:w="120" w:type="dxa"/>
            </w:tcMar>
            <w:vAlign w:val="center"/>
            <w:shd w:fill="F5F7F8"/>
          </w:tcPr>
          <w:p>
            <w:pPr>
              <w:spacing w:after="0" w:line="259" w:lineRule="auto"/>
            </w:pPr>
            <w:r>
              <w:rPr>
                <w:color w:val="0B1727"/>
                <w:sz w:val="17"/>
              </w:rPr>
              <w:t>Exemption or reimbursement of eligible stamp duty</w:t>
            </w:r>
          </w:p>
        </w:tc>
        <w:tc>
          <w:tcPr>
            <w:tcW w:type="dxa" w:w="3384"/>
            <w:tcMar>
              <w:top w:w="90" w:type="dxa"/>
              <w:start w:w="120" w:type="dxa"/>
              <w:bottom w:w="90" w:type="dxa"/>
              <w:end w:w="120" w:type="dxa"/>
            </w:tcMar>
            <w:vAlign w:val="center"/>
            <w:shd w:fill="F5F7F8"/>
          </w:tcPr>
          <w:p>
            <w:pPr>
              <w:spacing w:after="0" w:line="259" w:lineRule="auto"/>
            </w:pPr>
            <w:r>
              <w:rPr>
                <w:color w:val="0B1727"/>
                <w:sz w:val="17"/>
              </w:rPr>
              <w:t>At the prescribed land/lease stage</w:t>
            </w:r>
          </w:p>
        </w:tc>
      </w:tr>
      <w:tr>
        <w:tc>
          <w:tcPr>
            <w:tcW w:type="dxa" w:w="1944"/>
            <w:tcMar>
              <w:top w:w="90" w:type="dxa"/>
              <w:start w:w="120" w:type="dxa"/>
              <w:bottom w:w="90" w:type="dxa"/>
              <w:end w:w="120" w:type="dxa"/>
            </w:tcMar>
            <w:vAlign w:val="center"/>
          </w:tcPr>
          <w:p>
            <w:pPr>
              <w:spacing w:after="0" w:line="259" w:lineRule="auto"/>
            </w:pPr>
            <w:r>
              <w:rPr>
                <w:color w:val="0B1727"/>
                <w:sz w:val="17"/>
              </w:rPr>
              <w:t>Employment incentive</w:t>
            </w:r>
          </w:p>
        </w:tc>
        <w:tc>
          <w:tcPr>
            <w:tcW w:type="dxa" w:w="4320"/>
            <w:tcMar>
              <w:top w:w="90" w:type="dxa"/>
              <w:start w:w="120" w:type="dxa"/>
              <w:bottom w:w="90" w:type="dxa"/>
              <w:end w:w="120" w:type="dxa"/>
            </w:tcMar>
            <w:vAlign w:val="center"/>
          </w:tcPr>
          <w:p>
            <w:pPr>
              <w:spacing w:after="0" w:line="259" w:lineRule="auto"/>
            </w:pPr>
            <w:r>
              <w:rPr>
                <w:color w:val="0B1727"/>
                <w:sz w:val="17"/>
              </w:rPr>
              <w:t>Assistance linked to eligible payroll or EPF</w:t>
            </w:r>
          </w:p>
        </w:tc>
        <w:tc>
          <w:tcPr>
            <w:tcW w:type="dxa" w:w="3384"/>
            <w:tcMar>
              <w:top w:w="90" w:type="dxa"/>
              <w:start w:w="120" w:type="dxa"/>
              <w:bottom w:w="90" w:type="dxa"/>
              <w:end w:w="120" w:type="dxa"/>
            </w:tcMar>
            <w:vAlign w:val="center"/>
          </w:tcPr>
          <w:p>
            <w:pPr>
              <w:spacing w:after="0" w:line="259" w:lineRule="auto"/>
            </w:pPr>
            <w:r>
              <w:rPr>
                <w:color w:val="0B1727"/>
                <w:sz w:val="17"/>
              </w:rPr>
              <w:t>After employment conditions are fulfilled</w:t>
            </w:r>
          </w:p>
        </w:tc>
      </w:tr>
      <w:tr>
        <w:tc>
          <w:tcPr>
            <w:tcW w:type="dxa" w:w="1944"/>
            <w:tcMar>
              <w:top w:w="90" w:type="dxa"/>
              <w:start w:w="120" w:type="dxa"/>
              <w:bottom w:w="90" w:type="dxa"/>
              <w:end w:w="120" w:type="dxa"/>
            </w:tcMar>
            <w:vAlign w:val="center"/>
            <w:shd w:fill="F5F7F8"/>
          </w:tcPr>
          <w:p>
            <w:pPr>
              <w:spacing w:after="0" w:line="259" w:lineRule="auto"/>
            </w:pPr>
            <w:r>
              <w:rPr>
                <w:color w:val="0B1727"/>
                <w:sz w:val="17"/>
              </w:rPr>
              <w:t>Loan or guarantee</w:t>
            </w:r>
          </w:p>
        </w:tc>
        <w:tc>
          <w:tcPr>
            <w:tcW w:type="dxa" w:w="4320"/>
            <w:tcMar>
              <w:top w:w="90" w:type="dxa"/>
              <w:start w:w="120" w:type="dxa"/>
              <w:bottom w:w="90" w:type="dxa"/>
              <w:end w:w="120" w:type="dxa"/>
            </w:tcMar>
            <w:vAlign w:val="center"/>
            <w:shd w:fill="F5F7F8"/>
          </w:tcPr>
          <w:p>
            <w:pPr>
              <w:spacing w:after="0" w:line="259" w:lineRule="auto"/>
            </w:pPr>
            <w:r>
              <w:rPr>
                <w:color w:val="0B1727"/>
                <w:sz w:val="17"/>
              </w:rPr>
              <w:t>Financing support; not necessarily a subsidy</w:t>
            </w:r>
          </w:p>
        </w:tc>
        <w:tc>
          <w:tcPr>
            <w:tcW w:type="dxa" w:w="3384"/>
            <w:tcMar>
              <w:top w:w="90" w:type="dxa"/>
              <w:start w:w="120" w:type="dxa"/>
              <w:bottom w:w="90" w:type="dxa"/>
              <w:end w:w="120" w:type="dxa"/>
            </w:tcMar>
            <w:vAlign w:val="center"/>
            <w:shd w:fill="F5F7F8"/>
          </w:tcPr>
          <w:p>
            <w:pPr>
              <w:spacing w:after="0" w:line="259" w:lineRule="auto"/>
            </w:pPr>
            <w:r>
              <w:rPr>
                <w:color w:val="0B1727"/>
                <w:sz w:val="17"/>
              </w:rPr>
              <w:t>At sanction or disbursement</w:t>
            </w:r>
          </w:p>
        </w:tc>
      </w:tr>
    </w:tbl>
    <w:p>
      <w:pPr>
        <w:spacing w:after="20"/>
      </w:pPr>
    </w:p>
    <w:p>
      <w:pPr>
        <w:spacing w:after="120"/>
      </w:pPr>
      <w:r>
        <w:rPr>
          <w:i w:val="0"/>
        </w:rPr>
        <w:t>Investors should evaluate the timing, eligibility conditions and probability of receiving each benefit—not only the headline amount.</w:t>
      </w:r>
    </w:p>
    <w:p>
      <w:pPr>
        <w:pStyle w:val="Heading1"/>
      </w:pPr>
      <w:r>
        <w:t>Which Incentives May Apply to an AAC Manufacturing Project?</w:t>
      </w:r>
    </w:p>
    <w:p>
      <w:pPr>
        <w:pStyle w:val="Heading2"/>
      </w:pPr>
      <w:r>
        <w:t>Capital Investment Subsidy</w:t>
      </w:r>
    </w:p>
    <w:p>
      <w:pPr>
        <w:spacing w:after="120"/>
      </w:pPr>
      <w:r>
        <w:rPr>
          <w:i w:val="0"/>
        </w:rPr>
        <w:t>Some state industrial policies provide capital assistance to eligible manufacturing enterprises. The benefit may be linked to eligible plant and machinery or another defined component of fixed capital investment.</w:t>
      </w:r>
    </w:p>
    <w:p>
      <w:pPr>
        <w:spacing w:after="120"/>
      </w:pPr>
      <w:r>
        <w:rPr>
          <w:i w:val="0"/>
        </w:rPr>
        <w:t>The policy may exclude or separately treat:</w:t>
      </w:r>
    </w:p>
    <w:p>
      <w:pPr>
        <w:pStyle w:val="ListBullet"/>
      </w:pPr>
      <w:r>
        <w:t>Land and civil construction</w:t>
      </w:r>
    </w:p>
    <w:p>
      <w:pPr>
        <w:pStyle w:val="ListBullet"/>
      </w:pPr>
      <w:r>
        <w:t>Used or imported machinery</w:t>
      </w:r>
    </w:p>
    <w:p>
      <w:pPr>
        <w:pStyle w:val="ListBullet"/>
      </w:pPr>
      <w:r>
        <w:t>Vehicles and working capital</w:t>
      </w:r>
    </w:p>
    <w:p>
      <w:pPr>
        <w:pStyle w:val="ListBullet"/>
      </w:pPr>
      <w:r>
        <w:t>Taxes and duties</w:t>
      </w:r>
    </w:p>
    <w:p>
      <w:pPr>
        <w:pStyle w:val="ListBullet"/>
      </w:pPr>
      <w:r>
        <w:t>Machinery purchased before the eligibility date</w:t>
      </w:r>
    </w:p>
    <w:p>
      <w:pPr>
        <w:spacing w:after="120"/>
      </w:pPr>
      <w:r>
        <w:rPr>
          <w:i w:val="0"/>
        </w:rPr>
        <w:t xml:space="preserve">Official example: </w:t>
      </w:r>
      <w:hyperlink r:id="rId11">
        <w:r>
          <w:rPr>
            <w:color w:val="0C4F80"/>
            <w:u w:val="single"/>
          </w:rPr>
          <w:t>Tamil Nadu MSME capital-subsidy guidance</w:t>
        </w:r>
      </w:hyperlink>
    </w:p>
    <w:p>
      <w:pPr>
        <w:pStyle w:val="Heading2"/>
      </w:pPr>
      <w:r>
        <w:t>SGST-Linked Incentives</w:t>
      </w:r>
    </w:p>
    <w:p>
      <w:pPr>
        <w:spacing w:after="120"/>
      </w:pPr>
      <w:r>
        <w:rPr>
          <w:i w:val="0"/>
        </w:rPr>
        <w:t>SGST-linked assistance can be financially important for an eligible manufacturing unit, but it is frequently misunderstood. The benefit is not normally calculated as a simple percentage of total turnover.</w:t>
      </w:r>
    </w:p>
    <w:p>
      <w:pPr>
        <w:spacing w:after="120"/>
      </w:pPr>
      <w:r>
        <w:rPr>
          <w:i w:val="0"/>
        </w:rPr>
        <w:t>Depending on the applicable policy and sanction conditions, the calculation may consider:</w:t>
      </w:r>
    </w:p>
    <w:p>
      <w:pPr>
        <w:pStyle w:val="ListBullet"/>
      </w:pPr>
      <w:r>
        <w:t>Eligible intrastate sales</w:t>
      </w:r>
    </w:p>
    <w:p>
      <w:pPr>
        <w:pStyle w:val="ListBullet"/>
      </w:pPr>
      <w:r>
        <w:t>Output SGST and eligible input-tax credit</w:t>
      </w:r>
    </w:p>
    <w:p>
      <w:pPr>
        <w:pStyle w:val="ListBullet"/>
      </w:pPr>
      <w:r>
        <w:t>Net SGST deposited</w:t>
      </w:r>
    </w:p>
    <w:p>
      <w:pPr>
        <w:pStyle w:val="ListBullet"/>
      </w:pPr>
      <w:r>
        <w:t>Annual reimbursement limit</w:t>
      </w:r>
    </w:p>
    <w:p>
      <w:pPr>
        <w:pStyle w:val="ListBullet"/>
      </w:pPr>
      <w:r>
        <w:t>Overall eligible-investment ceiling</w:t>
      </w:r>
    </w:p>
    <w:p>
      <w:pPr>
        <w:pStyle w:val="ListBullet"/>
      </w:pPr>
      <w:r>
        <w:t>Policy duration</w:t>
      </w:r>
    </w:p>
    <w:p>
      <w:pPr>
        <w:pStyle w:val="ListBullet"/>
      </w:pPr>
      <w:r>
        <w:t>Product and tax classification</w:t>
      </w:r>
    </w:p>
    <w:p>
      <w:pPr>
        <w:pStyle w:val="ListBullet"/>
      </w:pPr>
      <w:r>
        <w:t>Production and employment commitments</w:t>
      </w:r>
    </w:p>
    <w:p>
      <w:pPr>
        <w:spacing w:after="120"/>
      </w:pPr>
      <w:r>
        <w:rPr>
          <w:i w:val="0"/>
        </w:rPr>
        <w:t xml:space="preserve">Official example: </w:t>
      </w:r>
      <w:hyperlink r:id="rId12">
        <w:r>
          <w:rPr>
            <w:color w:val="0C4F80"/>
            <w:u w:val="single"/>
          </w:rPr>
          <w:t>Punjab Industries fiscal incentives</w:t>
        </w:r>
      </w:hyperlink>
    </w:p>
    <w:tbl>
      <w:tblPr>
        <w:tblW w:type="auto" w:w="0"/>
        <w:jc w:val="center"/>
        <w:tblLayout w:type="fixed"/>
        <w:tblLook w:firstColumn="1" w:firstRow="1" w:lastColumn="0" w:lastRow="0" w:noHBand="0" w:noVBand="1" w:val="04A0"/>
      </w:tblPr>
      <w:tblGrid>
        <w:gridCol w:w="9648"/>
      </w:tblGrid>
      <w:tr>
        <w:tc>
          <w:tcPr>
            <w:tcW w:type="dxa" w:w="9878"/>
            <w:shd w:fill="EEF2F5"/>
            <w:tcMar>
              <w:top w:w="160" w:type="dxa"/>
              <w:start w:w="180" w:type="dxa"/>
              <w:bottom w:w="160" w:type="dxa"/>
              <w:end w:w="180" w:type="dxa"/>
            </w:tcMar>
          </w:tcPr>
          <w:p>
            <w:pPr>
              <w:spacing w:after="0" w:line="276" w:lineRule="auto"/>
            </w:pPr>
            <w:r>
              <w:rPr>
                <w:b/>
                <w:color w:val="0C4F80"/>
              </w:rPr>
              <w:t xml:space="preserve">ENGINEERING AND FINANCIAL INSIGHT  </w:t>
            </w:r>
            <w:r>
              <w:t>A high installed capacity does not by itself create a high SGST benefit. The result also depends on actual production, eligible sales within the state, selling value, input-tax credit, tax deposited and the limits imposed by the sanctioned scheme.</w:t>
            </w:r>
          </w:p>
        </w:tc>
      </w:tr>
    </w:tbl>
    <w:p>
      <w:pPr>
        <w:spacing w:after="20"/>
      </w:pPr>
    </w:p>
    <w:p>
      <w:pPr>
        <w:pStyle w:val="Heading2"/>
      </w:pPr>
      <w:r>
        <w:t>Interest Subsidy</w:t>
      </w:r>
    </w:p>
    <w:p>
      <w:pPr>
        <w:spacing w:after="120"/>
      </w:pPr>
      <w:r>
        <w:rPr>
          <w:i w:val="0"/>
        </w:rPr>
        <w:t>Some policies reimburse part of the eligible interest paid on an approved term loan. The benefit may depend on enterprise category, eligible loan amount, timely repayment, interest actually paid, maximum annual assistance, duration, disbursement date and commercial-production date.</w:t>
      </w:r>
    </w:p>
    <w:p>
      <w:pPr>
        <w:spacing w:after="120"/>
      </w:pPr>
      <w:r>
        <w:rPr>
          <w:i w:val="0"/>
        </w:rPr>
        <w:t>Interest subsidy should not be treated as an upfront reduction in machinery price. It is normally a conditional benefit received over time.</w:t>
      </w:r>
    </w:p>
    <w:p>
      <w:pPr>
        <w:pStyle w:val="Heading2"/>
      </w:pPr>
      <w:r>
        <w:t>Electricity, Power and Infrastructure Support</w:t>
      </w:r>
    </w:p>
    <w:p>
      <w:pPr>
        <w:spacing w:after="120"/>
      </w:pPr>
      <w:r>
        <w:rPr>
          <w:i w:val="0"/>
        </w:rPr>
        <w:t>Depending on the state, location and project category, an eligible manufacturing project may receive electricity-duty relief, power-tariff assistance, stamp-duty relief, land-conversion assistance, water or infrastructure support, or assistance for specified environmental measures.</w:t>
      </w:r>
    </w:p>
    <w:p>
      <w:pPr>
        <w:spacing w:after="120"/>
      </w:pPr>
      <w:r>
        <w:rPr>
          <w:i w:val="0"/>
        </w:rPr>
        <w:t>An AAC plant needs appropriate power, water, steam-generation, compressed-air, material-handling and internal infrastructure arrangements. A location offering a larger incentive may still be commercially weaker if it creates higher logistics or utility costs.</w:t>
      </w:r>
    </w:p>
    <w:p>
      <w:pPr>
        <w:pStyle w:val="Heading2"/>
      </w:pPr>
      <w:r>
        <w:t>Employment and Skill-Development Incentives</w:t>
      </w:r>
    </w:p>
    <w:p>
      <w:pPr>
        <w:spacing w:after="120"/>
      </w:pPr>
      <w:r>
        <w:rPr>
          <w:i w:val="0"/>
        </w:rPr>
        <w:t>Some industrial policies provide assistance linked to employment, payroll, EPF contributions or skill development. AAC plants may use different levels of automation, but skilled personnel remain necessary for production supervision, quality control, laboratory work, maintenance, utilities, automation support, safety and compliance.</w:t>
      </w:r>
    </w:p>
    <w:p>
      <w:pPr>
        <w:pStyle w:val="Heading1"/>
      </w:pPr>
      <w:r>
        <w:t>What Determines AAC Plant Subsidy Eligibility?</w:t>
      </w:r>
    </w:p>
    <w:p>
      <w:pPr>
        <w:pStyle w:val="Heading2"/>
      </w:pPr>
      <w:r>
        <w:t>1. Enterprise classification</w:t>
      </w:r>
    </w:p>
    <w:p>
      <w:pPr>
        <w:spacing w:after="120"/>
      </w:pPr>
      <w:r>
        <w:rPr>
          <w:i w:val="0"/>
        </w:rPr>
        <w:t>Determine whether the unit falls within the applicable micro, small, medium, large, mega or other category. Udyam registration may be relevant, but does not by itself guarantee a subsidy.</w:t>
      </w:r>
    </w:p>
    <w:p>
      <w:pPr>
        <w:pStyle w:val="Heading2"/>
      </w:pPr>
      <w:r>
        <w:t>2. Manufacturing activity and product classification</w:t>
      </w:r>
    </w:p>
    <w:p>
      <w:pPr>
        <w:spacing w:after="120"/>
      </w:pPr>
      <w:r>
        <w:rPr>
          <w:i w:val="0"/>
        </w:rPr>
        <w:t>Confirm how AAC blocks, panels and related products are classified. Do not call AAC a priority or green industry unless the policy expressly does so.</w:t>
      </w:r>
    </w:p>
    <w:p>
      <w:pPr>
        <w:pStyle w:val="Heading2"/>
      </w:pPr>
      <w:r>
        <w:t>3. State, district and industrial zone</w:t>
      </w:r>
    </w:p>
    <w:p>
      <w:pPr>
        <w:spacing w:after="120"/>
      </w:pPr>
      <w:r>
        <w:rPr>
          <w:i w:val="0"/>
        </w:rPr>
        <w:t>Benefits can differ by state, district development category, industrial estate and location. Also compare raw materials, market reach, freight and utilities.</w:t>
      </w:r>
    </w:p>
    <w:p>
      <w:pPr>
        <w:pStyle w:val="Heading2"/>
      </w:pPr>
      <w:r>
        <w:t>4. Eligible fixed capital investment</w:t>
      </w:r>
    </w:p>
    <w:p>
      <w:pPr>
        <w:spacing w:after="120"/>
      </w:pPr>
      <w:r>
        <w:rPr>
          <w:i w:val="0"/>
        </w:rPr>
        <w:t>Verify how the policy treats AAC machinery, autoclaves, boilers, electrical systems, civil works, laboratories and utility equipment.</w:t>
      </w:r>
    </w:p>
    <w:p>
      <w:pPr>
        <w:pStyle w:val="Heading2"/>
      </w:pPr>
      <w:r>
        <w:t>5. Project implementation timing</w:t>
      </w:r>
    </w:p>
    <w:p>
      <w:pPr>
        <w:spacing w:after="120"/>
      </w:pPr>
      <w:r>
        <w:rPr>
          <w:i w:val="0"/>
        </w:rPr>
        <w:t>Check incorporation, land, loan, purchase-order, invoice, installation, trial-production, commercial-production and application dates.</w:t>
      </w:r>
    </w:p>
    <w:p>
      <w:pPr>
        <w:pStyle w:val="Heading2"/>
      </w:pPr>
      <w:r>
        <w:t>6. New unit or expansion</w:t>
      </w:r>
    </w:p>
    <w:p>
      <w:pPr>
        <w:spacing w:after="120"/>
      </w:pPr>
      <w:r>
        <w:rPr>
          <w:i w:val="0"/>
        </w:rPr>
        <w:t>Expansion, diversification and modernisation may be treated differently from new manufacturing units.</w:t>
      </w:r>
    </w:p>
    <w:p>
      <w:pPr>
        <w:pStyle w:val="Heading2"/>
      </w:pPr>
      <w:r>
        <w:t>7. Continuing compliance</w:t>
      </w:r>
    </w:p>
    <w:p>
      <w:pPr>
        <w:spacing w:after="120"/>
      </w:pPr>
      <w:r>
        <w:rPr>
          <w:i w:val="0"/>
        </w:rPr>
        <w:t>The unit may need to maintain investment, employment, production, tax compliance, operational continuity and claim records.</w:t>
      </w:r>
    </w:p>
    <w:p>
      <w:pPr>
        <w:pStyle w:val="Heading1"/>
      </w:pPr>
      <w:r>
        <w:t>How Should SGST Reimbursement Be Estimated?</w:t>
      </w:r>
    </w:p>
    <w:p>
      <w:pPr>
        <w:spacing w:after="120"/>
      </w:pPr>
      <w:r>
        <w:rPr>
          <w:i w:val="0"/>
        </w:rPr>
        <w:t>A preliminary model should not apply a headline reimbursement percentage directly to projected turnover. A responsible calculation begins with:</w:t>
      </w:r>
    </w:p>
    <w:p>
      <w:pPr>
        <w:pStyle w:val="ListNumber"/>
      </w:pPr>
      <w:r>
        <w:t>Estimated eligible intrastate taxable sales</w:t>
      </w:r>
    </w:p>
    <w:p>
      <w:pPr>
        <w:pStyle w:val="ListNumber"/>
      </w:pPr>
      <w:r>
        <w:t>Applicable SGST on those sales</w:t>
      </w:r>
    </w:p>
    <w:p>
      <w:pPr>
        <w:pStyle w:val="ListNumber"/>
      </w:pPr>
      <w:r>
        <w:t>Eligible input-tax credit</w:t>
      </w:r>
    </w:p>
    <w:p>
      <w:pPr>
        <w:pStyle w:val="ListNumber"/>
      </w:pPr>
      <w:r>
        <w:t>Estimated net SGST deposited</w:t>
      </w:r>
    </w:p>
    <w:p>
      <w:pPr>
        <w:pStyle w:val="ListNumber"/>
      </w:pPr>
      <w:r>
        <w:t>Policy reimbursement or assistance rate</w:t>
      </w:r>
    </w:p>
    <w:p>
      <w:pPr>
        <w:pStyle w:val="ListNumber"/>
      </w:pPr>
      <w:r>
        <w:t>Annual benefit ceiling</w:t>
      </w:r>
    </w:p>
    <w:p>
      <w:pPr>
        <w:pStyle w:val="ListNumber"/>
      </w:pPr>
      <w:r>
        <w:t>Overall eligible-investment ceiling</w:t>
      </w:r>
    </w:p>
    <w:p>
      <w:pPr>
        <w:pStyle w:val="ListNumber"/>
      </w:pPr>
      <w:r>
        <w:t>Approved benefit period</w:t>
      </w:r>
    </w:p>
    <w:p>
      <w:pPr>
        <w:pStyle w:val="ListNumber"/>
      </w:pPr>
      <w:r>
        <w:t>Expected disbursement delay</w:t>
      </w:r>
    </w:p>
    <w:p>
      <w:pPr>
        <w:pStyle w:val="ListNumber"/>
      </w:pPr>
      <w:r>
        <w:t>Compliance and production assumptions</w:t>
      </w:r>
    </w:p>
    <w:tbl>
      <w:tblPr>
        <w:tblW w:type="auto" w:w="0"/>
        <w:jc w:val="center"/>
        <w:tblLayout w:type="fixed"/>
        <w:tblLook w:firstColumn="1" w:firstRow="1" w:lastColumn="0" w:lastRow="0" w:noHBand="0" w:noVBand="1" w:val="04A0"/>
      </w:tblPr>
      <w:tblGrid>
        <w:gridCol w:w="9648"/>
      </w:tblGrid>
      <w:tr>
        <w:tc>
          <w:tcPr>
            <w:tcW w:type="dxa" w:w="9878"/>
            <w:shd w:fill="EEF2F5"/>
            <w:tcMar>
              <w:top w:w="160" w:type="dxa"/>
              <w:start w:w="180" w:type="dxa"/>
              <w:bottom w:w="160" w:type="dxa"/>
              <w:end w:w="180" w:type="dxa"/>
            </w:tcMar>
          </w:tcPr>
          <w:p>
            <w:pPr>
              <w:spacing w:after="0" w:line="276" w:lineRule="auto"/>
            </w:pPr>
            <w:r>
              <w:rPr>
                <w:b/>
                <w:color w:val="0C4F80"/>
              </w:rPr>
              <w:t xml:space="preserve">ILLUSTRATIVE METHOD ONLY  </w:t>
            </w:r>
            <w:r>
              <w:t>Output SGST on eligible sales − eligible input-tax credit = estimated net SGST deposited. The applicable policy rate may then be applied, subject to annual and overall limits. Actual calculation must follow the current policy, government approval and sanction letter.</w:t>
            </w:r>
          </w:p>
        </w:tc>
      </w:tr>
    </w:tbl>
    <w:p>
      <w:pPr>
        <w:spacing w:after="20"/>
      </w:pPr>
    </w:p>
    <w:p>
      <w:pPr>
        <w:pStyle w:val="Heading1"/>
      </w:pPr>
      <w:r>
        <w:t>When Should Subsidy Planning Begin?</w:t>
      </w:r>
    </w:p>
    <w:p>
      <w:pPr>
        <w:spacing w:after="120"/>
      </w:pPr>
      <w:r>
        <w:rPr>
          <w:i w:val="0"/>
        </w:rPr>
        <w:t>Subsidy planning should begin before finalising the project location and investment structure.</w:t>
      </w:r>
    </w:p>
    <w:p>
      <w:pPr>
        <w:pStyle w:val="ListNumber"/>
      </w:pPr>
      <w:r>
        <w:t>Define proposed AAC products and production capacity.</w:t>
      </w:r>
    </w:p>
    <w:p>
      <w:pPr>
        <w:pStyle w:val="ListNumber"/>
      </w:pPr>
      <w:r>
        <w:t>Prepare a preliminary plant and utility scope.</w:t>
      </w:r>
    </w:p>
    <w:p>
      <w:pPr>
        <w:pStyle w:val="ListNumber"/>
      </w:pPr>
      <w:r>
        <w:t>Estimate fixed investment and working capital separately.</w:t>
      </w:r>
    </w:p>
    <w:p>
      <w:pPr>
        <w:pStyle w:val="ListNumber"/>
      </w:pPr>
      <w:r>
        <w:t>Shortlist commercially suitable states and districts.</w:t>
      </w:r>
    </w:p>
    <w:p>
      <w:pPr>
        <w:pStyle w:val="ListNumber"/>
      </w:pPr>
      <w:r>
        <w:t>Obtain current industrial policies and amendments.</w:t>
      </w:r>
    </w:p>
    <w:p>
      <w:pPr>
        <w:pStyle w:val="ListNumber"/>
      </w:pPr>
      <w:r>
        <w:t>Classify the project under each applicable policy.</w:t>
      </w:r>
    </w:p>
    <w:p>
      <w:pPr>
        <w:pStyle w:val="ListNumber"/>
      </w:pPr>
      <w:r>
        <w:t>Identify eligible and ineligible investment components.</w:t>
      </w:r>
    </w:p>
    <w:p>
      <w:pPr>
        <w:pStyle w:val="ListNumber"/>
      </w:pPr>
      <w:r>
        <w:t>Compare incentives with logistics and operating costs.</w:t>
      </w:r>
    </w:p>
    <w:p>
      <w:pPr>
        <w:pStyle w:val="ListNumber"/>
      </w:pPr>
      <w:r>
        <w:t>Confirm filing deadlines and pre-approval requirements.</w:t>
      </w:r>
    </w:p>
    <w:p>
      <w:pPr>
        <w:pStyle w:val="ListNumber"/>
      </w:pPr>
      <w:r>
        <w:t>Prepare the DPR and supporting financial model.</w:t>
      </w:r>
    </w:p>
    <w:p>
      <w:pPr>
        <w:pStyle w:val="ListNumber"/>
      </w:pPr>
      <w:r>
        <w:t>Obtain written professional and authority-level confirmation.</w:t>
      </w:r>
    </w:p>
    <w:p>
      <w:pPr>
        <w:pStyle w:val="ListNumber"/>
      </w:pPr>
      <w:r>
        <w:t>Proceed according to the approved implementation schedule.</w:t>
      </w:r>
    </w:p>
    <w:tbl>
      <w:tblPr>
        <w:tblW w:type="auto" w:w="0"/>
        <w:jc w:val="center"/>
        <w:tblLayout w:type="fixed"/>
        <w:tblLook w:firstColumn="1" w:firstRow="1" w:lastColumn="0" w:lastRow="0" w:noHBand="0" w:noVBand="1" w:val="04A0"/>
      </w:tblPr>
      <w:tblGrid>
        <w:gridCol w:w="9648"/>
      </w:tblGrid>
      <w:tr>
        <w:tc>
          <w:tcPr>
            <w:tcW w:type="dxa" w:w="9878"/>
            <w:shd w:fill="EEF2F5"/>
            <w:tcMar>
              <w:top w:w="160" w:type="dxa"/>
              <w:start w:w="180" w:type="dxa"/>
              <w:bottom w:w="160" w:type="dxa"/>
              <w:end w:w="180" w:type="dxa"/>
            </w:tcMar>
          </w:tcPr>
          <w:p>
            <w:pPr>
              <w:spacing w:after="0" w:line="276" w:lineRule="auto"/>
            </w:pPr>
            <w:r>
              <w:rPr>
                <w:b/>
                <w:color w:val="0C4F80"/>
              </w:rPr>
              <w:t xml:space="preserve">IMPORTANT  </w:t>
            </w:r>
            <w:r>
              <w:t>A subsidy should support a commercially viable AAC project. It should not be the primary reason for selecting an otherwise unsuitable market or location.</w:t>
            </w:r>
          </w:p>
        </w:tc>
      </w:tr>
    </w:tbl>
    <w:p>
      <w:pPr>
        <w:spacing w:after="20"/>
      </w:pPr>
    </w:p>
    <w:p>
      <w:pPr>
        <w:pStyle w:val="Heading1"/>
      </w:pPr>
      <w:r>
        <w:t>Documents Commonly Required for Preliminary Assessment</w:t>
      </w:r>
    </w:p>
    <w:p>
      <w:pPr>
        <w:spacing w:after="120"/>
      </w:pPr>
      <w:r>
        <w:rPr>
          <w:i w:val="0"/>
        </w:rPr>
        <w:t>The final list varies by state and scheme, but an initial assessment may require:</w:t>
      </w:r>
    </w:p>
    <w:p>
      <w:pPr>
        <w:pStyle w:val="ListBullet"/>
      </w:pPr>
      <w:r>
        <w:t>Promoter and company details</w:t>
      </w:r>
    </w:p>
    <w:p>
      <w:pPr>
        <w:pStyle w:val="ListBullet"/>
      </w:pPr>
      <w:r>
        <w:t>Proposed project location and land information</w:t>
      </w:r>
    </w:p>
    <w:p>
      <w:pPr>
        <w:pStyle w:val="ListBullet"/>
      </w:pPr>
      <w:r>
        <w:t>Product and manufacturing-process description</w:t>
      </w:r>
    </w:p>
    <w:p>
      <w:pPr>
        <w:pStyle w:val="ListBullet"/>
      </w:pPr>
      <w:r>
        <w:t>Proposed plant capacity</w:t>
      </w:r>
    </w:p>
    <w:p>
      <w:pPr>
        <w:pStyle w:val="ListBullet"/>
      </w:pPr>
      <w:r>
        <w:t>Preliminary machinery and utility scope</w:t>
      </w:r>
    </w:p>
    <w:p>
      <w:pPr>
        <w:pStyle w:val="ListBullet"/>
      </w:pPr>
      <w:r>
        <w:t>Investment breakup and machinery quotations</w:t>
      </w:r>
    </w:p>
    <w:p>
      <w:pPr>
        <w:pStyle w:val="ListBullet"/>
      </w:pPr>
      <w:r>
        <w:t>Detailed Project Report and means of finance</w:t>
      </w:r>
    </w:p>
    <w:p>
      <w:pPr>
        <w:pStyle w:val="ListBullet"/>
      </w:pPr>
      <w:r>
        <w:t>Term-loan details</w:t>
      </w:r>
    </w:p>
    <w:p>
      <w:pPr>
        <w:pStyle w:val="ListBullet"/>
      </w:pPr>
      <w:r>
        <w:t>Employment plan</w:t>
      </w:r>
    </w:p>
    <w:p>
      <w:pPr>
        <w:pStyle w:val="ListBullet"/>
      </w:pPr>
      <w:r>
        <w:t>Production and sales projections</w:t>
      </w:r>
    </w:p>
    <w:p>
      <w:pPr>
        <w:pStyle w:val="ListBullet"/>
      </w:pPr>
      <w:r>
        <w:t>Expected intrastate and interstate sales mix</w:t>
      </w:r>
    </w:p>
    <w:p>
      <w:pPr>
        <w:pStyle w:val="ListBullet"/>
      </w:pPr>
      <w:r>
        <w:t>Project implementation schedule</w:t>
      </w:r>
    </w:p>
    <w:p>
      <w:pPr>
        <w:pStyle w:val="ListBullet"/>
      </w:pPr>
      <w:r>
        <w:t>Statutory approval plan</w:t>
      </w:r>
    </w:p>
    <w:p>
      <w:pPr>
        <w:pStyle w:val="ListBullet"/>
      </w:pPr>
      <w:r>
        <w:t>Environmental and pollution-control information</w:t>
      </w:r>
    </w:p>
    <w:p>
      <w:pPr>
        <w:pStyle w:val="ListBullet"/>
      </w:pPr>
      <w:r>
        <w:t>Udyam or other applicable registration details</w:t>
      </w:r>
    </w:p>
    <w:p>
      <w:pPr>
        <w:spacing w:after="120"/>
      </w:pPr>
      <w:r>
        <w:rPr>
          <w:i/>
          <w:color w:val="52606D"/>
        </w:rPr>
        <w:t>Sensitive financial records should be shared only with authorised advisers or institutions through an appropriate secure process.</w:t>
      </w:r>
    </w:p>
    <w:p>
      <w:pPr>
        <w:pStyle w:val="Heading1"/>
      </w:pPr>
      <w:r>
        <w:t>Common AAC Plant Subsidy Planning Mistakes</w:t>
      </w:r>
    </w:p>
    <w:p>
      <w:pPr>
        <w:pStyle w:val="Heading2"/>
      </w:pPr>
      <w:r>
        <w:t>Treating a loan as a subsidy</w:t>
      </w:r>
    </w:p>
    <w:p>
      <w:pPr>
        <w:spacing w:after="120"/>
      </w:pPr>
      <w:r>
        <w:rPr>
          <w:i w:val="0"/>
        </w:rPr>
        <w:t>A loan or credit guarantee may improve access to finance, but borrowed money must still be repaid.</w:t>
      </w:r>
    </w:p>
    <w:p>
      <w:pPr>
        <w:pStyle w:val="Heading2"/>
      </w:pPr>
      <w:r>
        <w:t>Assuming every AAC plant is automatically eligible</w:t>
      </w:r>
    </w:p>
    <w:p>
      <w:pPr>
        <w:spacing w:after="120"/>
      </w:pPr>
      <w:r>
        <w:rPr>
          <w:i w:val="0"/>
        </w:rPr>
        <w:t>Environmental or construction benefits do not by themselves establish policy eligibility.</w:t>
      </w:r>
    </w:p>
    <w:p>
      <w:pPr>
        <w:pStyle w:val="Heading2"/>
      </w:pPr>
      <w:r>
        <w:t>Using turnover to calculate SGST reimbursement</w:t>
      </w:r>
    </w:p>
    <w:p>
      <w:pPr>
        <w:spacing w:after="120"/>
      </w:pPr>
      <w:r>
        <w:rPr>
          <w:i w:val="0"/>
        </w:rPr>
        <w:t>The benefit may be linked to eligible state tax deposited after prescribed adjustments.</w:t>
      </w:r>
    </w:p>
    <w:p>
      <w:pPr>
        <w:pStyle w:val="Heading2"/>
      </w:pPr>
      <w:r>
        <w:t>Selecting a state only for the headline incentive</w:t>
      </w:r>
    </w:p>
    <w:p>
      <w:pPr>
        <w:spacing w:after="120"/>
      </w:pPr>
      <w:r>
        <w:rPr>
          <w:i w:val="0"/>
        </w:rPr>
        <w:t>Raw materials, demand, freight, selling price, competition and utilities can matter more.</w:t>
      </w:r>
    </w:p>
    <w:p>
      <w:pPr>
        <w:pStyle w:val="Heading2"/>
      </w:pPr>
      <w:r>
        <w:t>Purchasing machinery before checking scheme timing</w:t>
      </w:r>
    </w:p>
    <w:p>
      <w:pPr>
        <w:spacing w:after="120"/>
      </w:pPr>
      <w:r>
        <w:rPr>
          <w:i w:val="0"/>
        </w:rPr>
        <w:t>Early expenditure may become ineligible under some schemes.</w:t>
      </w:r>
    </w:p>
    <w:p>
      <w:pPr>
        <w:pStyle w:val="Heading2"/>
      </w:pPr>
      <w:r>
        <w:t>Including every project cost as eligible investment</w:t>
      </w:r>
    </w:p>
    <w:p>
      <w:pPr>
        <w:spacing w:after="120"/>
      </w:pPr>
      <w:r>
        <w:rPr>
          <w:i w:val="0"/>
        </w:rPr>
        <w:t>Land, civil work, working capital, tax and some equipment may be excluded or treated differently.</w:t>
      </w:r>
    </w:p>
    <w:p>
      <w:pPr>
        <w:pStyle w:val="Heading2"/>
      </w:pPr>
      <w:r>
        <w:t>Treating the sanctioned amount as immediate cash</w:t>
      </w:r>
    </w:p>
    <w:p>
      <w:pPr>
        <w:spacing w:after="120"/>
      </w:pPr>
      <w:r>
        <w:rPr>
          <w:i w:val="0"/>
        </w:rPr>
        <w:t>Many incentives are received only after investment, production, tax payment or compliance.</w:t>
      </w:r>
    </w:p>
    <w:p>
      <w:pPr>
        <w:pStyle w:val="Heading2"/>
      </w:pPr>
      <w:r>
        <w:t>Using an expired scheme in the DPR</w:t>
      </w:r>
    </w:p>
    <w:p>
      <w:pPr>
        <w:spacing w:after="120"/>
      </w:pPr>
      <w:r>
        <w:rPr>
          <w:i w:val="0"/>
        </w:rPr>
        <w:t>Every policy citation should include its effective date and latest amendment status.</w:t>
      </w:r>
    </w:p>
    <w:p>
      <w:pPr>
        <w:pStyle w:val="Heading1"/>
      </w:pPr>
      <w:r>
        <w:t>Evidence That AAC Projects Can Receive Industrial Incentives</w:t>
      </w:r>
    </w:p>
    <w:p>
      <w:pPr>
        <w:spacing w:after="120"/>
      </w:pPr>
      <w:r>
        <w:rPr>
          <w:i w:val="0"/>
        </w:rPr>
        <w:t>Publicly disclosed project evidence shows that an AAC manufacturing project can receive state industrial incentives when it satisfies the applicable conditions.</w:t>
      </w:r>
    </w:p>
    <w:p>
      <w:pPr>
        <w:spacing w:after="120"/>
      </w:pPr>
      <w:r>
        <w:rPr>
          <w:i w:val="0"/>
        </w:rPr>
        <w:t>BigBloc Construction disclosed an eligibility certificate relating to its AAC project at Wada, Maharashtra, under the state’s Package Scheme of Incentives. The disclosed benefit was specific to that company, project, location, investment and approval. It must not be used as a benchmark or promise for another AAC plant.</w:t>
      </w:r>
    </w:p>
    <w:p>
      <w:pPr>
        <w:spacing w:after="120"/>
      </w:pPr>
      <w:r>
        <w:rPr>
          <w:i w:val="0"/>
        </w:rPr>
        <w:t xml:space="preserve">Source: </w:t>
      </w:r>
      <w:hyperlink r:id="rId13">
        <w:r>
          <w:rPr>
            <w:color w:val="0C4F80"/>
            <w:u w:val="single"/>
          </w:rPr>
          <w:t>NSE corporate filing</w:t>
        </w:r>
      </w:hyperlink>
    </w:p>
    <w:p>
      <w:pPr>
        <w:pStyle w:val="Heading1"/>
      </w:pPr>
      <w:r>
        <w:t>How Laxmi En-Fab Supports Better Project Planning</w:t>
      </w:r>
    </w:p>
    <w:p>
      <w:pPr>
        <w:spacing w:after="120"/>
      </w:pPr>
      <w:r>
        <w:rPr>
          <w:i w:val="0"/>
        </w:rPr>
        <w:t>Subsidy eligibility is ultimately determined by the applicable government policy and competent authority—not by the machinery supplier.</w:t>
      </w:r>
    </w:p>
    <w:p>
      <w:pPr>
        <w:spacing w:after="120"/>
      </w:pPr>
      <w:r>
        <w:rPr>
          <w:i w:val="0"/>
        </w:rPr>
        <w:t>Accurate engineering information is nevertheless essential for a reliable DPR and incentive assessment. An investor should clearly define:</w:t>
      </w:r>
    </w:p>
    <w:p>
      <w:pPr>
        <w:pStyle w:val="ListBullet"/>
      </w:pPr>
      <w:r>
        <w:t>Proposed AAC plant capacity</w:t>
      </w:r>
    </w:p>
    <w:p>
      <w:pPr>
        <w:pStyle w:val="ListBullet"/>
      </w:pPr>
      <w:r>
        <w:t>Block and panel production requirements</w:t>
      </w:r>
    </w:p>
    <w:p>
      <w:pPr>
        <w:pStyle w:val="ListBullet"/>
      </w:pPr>
      <w:r>
        <w:t>Level of automation</w:t>
      </w:r>
    </w:p>
    <w:p>
      <w:pPr>
        <w:pStyle w:val="ListBullet"/>
      </w:pPr>
      <w:r>
        <w:t>Machinery scope</w:t>
      </w:r>
    </w:p>
    <w:p>
      <w:pPr>
        <w:pStyle w:val="ListBullet"/>
      </w:pPr>
      <w:r>
        <w:t>Autoclave and boiler requirements</w:t>
      </w:r>
    </w:p>
    <w:p>
      <w:pPr>
        <w:pStyle w:val="ListBullet"/>
      </w:pPr>
      <w:r>
        <w:t>Electrical and utility systems</w:t>
      </w:r>
    </w:p>
    <w:p>
      <w:pPr>
        <w:pStyle w:val="ListBullet"/>
      </w:pPr>
      <w:r>
        <w:t>Civil and infrastructure requirements</w:t>
      </w:r>
    </w:p>
    <w:p>
      <w:pPr>
        <w:pStyle w:val="ListBullet"/>
      </w:pPr>
      <w:r>
        <w:t>Expansion strategy</w:t>
      </w:r>
    </w:p>
    <w:p>
      <w:pPr>
        <w:pStyle w:val="ListBullet"/>
      </w:pPr>
      <w:r>
        <w:t>Project implementation schedule</w:t>
      </w:r>
    </w:p>
    <w:p>
      <w:pPr>
        <w:spacing w:after="120"/>
      </w:pPr>
      <w:r>
        <w:rPr>
          <w:i w:val="0"/>
        </w:rPr>
        <w:t>Laxmi En-Fab Pvt. Ltd.’s AAC plant engineering team can discuss these project inputs so that the investor and appointed professional adviser have a clearer technical basis for feasibility and policy evaluation.</w:t>
      </w:r>
    </w:p>
    <w:p>
      <w:pPr>
        <w:spacing w:after="120"/>
      </w:pPr>
      <w:r>
        <w:rPr>
          <w:i/>
        </w:rPr>
        <w:t>Final tax, legal and subsidy eligibility should be confirmed by the relevant government authority and a qualified professional.</w:t>
      </w:r>
    </w:p>
    <w:p>
      <w:pPr>
        <w:pStyle w:val="Heading1"/>
      </w:pPr>
      <w:r>
        <w:t>Frequently Asked Questions</w:t>
      </w:r>
    </w:p>
    <w:p>
      <w:pPr>
        <w:pStyle w:val="Heading2"/>
      </w:pPr>
      <w:r>
        <w:t>Is there a dedicated central-government subsidy for every AAC block plant?</w:t>
      </w:r>
    </w:p>
    <w:p>
      <w:pPr>
        <w:spacing w:after="120"/>
      </w:pPr>
      <w:r>
        <w:rPr>
          <w:i w:val="0"/>
        </w:rPr>
        <w:t>No universal AAC-specific central subsidy was identified in the policies reviewed for this guide. Eligible projects may receive assistance through current schemes applicable to their category, activity and location.</w:t>
      </w:r>
    </w:p>
    <w:p>
      <w:pPr>
        <w:pStyle w:val="Heading2"/>
      </w:pPr>
      <w:r>
        <w:t>Is an AAC plant automatically eligible because it uses fly ash?</w:t>
      </w:r>
    </w:p>
    <w:p>
      <w:pPr>
        <w:spacing w:after="120"/>
      </w:pPr>
      <w:r>
        <w:rPr>
          <w:i w:val="0"/>
        </w:rPr>
        <w:t>No. Many Indian AAC formulations use fly ash, but use of an industrial by-product does not automatically create subsidy eligibility.</w:t>
      </w:r>
    </w:p>
    <w:p>
      <w:pPr>
        <w:pStyle w:val="Heading2"/>
      </w:pPr>
      <w:r>
        <w:t>Does Udyam registration guarantee an MSME subsidy?</w:t>
      </w:r>
    </w:p>
    <w:p>
      <w:pPr>
        <w:spacing w:after="120"/>
      </w:pPr>
      <w:r>
        <w:rPr>
          <w:i w:val="0"/>
        </w:rPr>
        <w:t>No. Each incentive scheme has separate eligibility, investment, location and application conditions.</w:t>
      </w:r>
    </w:p>
    <w:p>
      <w:pPr>
        <w:pStyle w:val="Heading2"/>
      </w:pPr>
      <w:r>
        <w:t>Is SGST reimbursement calculated on AAC block sales turnover?</w:t>
      </w:r>
    </w:p>
    <w:p>
      <w:pPr>
        <w:spacing w:after="120"/>
      </w:pPr>
      <w:r>
        <w:rPr>
          <w:i w:val="0"/>
        </w:rPr>
        <w:t>Not necessarily. It may be linked to eligible SGST deposited after prescribed adjustments and restricted by annual or overall limits.</w:t>
      </w:r>
    </w:p>
    <w:p>
      <w:pPr>
        <w:pStyle w:val="Heading2"/>
      </w:pPr>
      <w:r>
        <w:t>Are interstate sales eligible for an SGST-linked incentive?</w:t>
      </w:r>
    </w:p>
    <w:p>
      <w:pPr>
        <w:spacing w:after="120"/>
      </w:pPr>
      <w:r>
        <w:rPr>
          <w:i w:val="0"/>
        </w:rPr>
        <w:t>Eligibility varies by policy. The proposed intrastate and interstate sales mix must be considered during calculation.</w:t>
      </w:r>
    </w:p>
    <w:p>
      <w:pPr>
        <w:pStyle w:val="Heading2"/>
      </w:pPr>
      <w:r>
        <w:t>Can an existing AAC plant receive incentives for expansion?</w:t>
      </w:r>
    </w:p>
    <w:p>
      <w:pPr>
        <w:spacing w:after="120"/>
      </w:pPr>
      <w:r>
        <w:rPr>
          <w:i w:val="0"/>
        </w:rPr>
        <w:t>Possibly. Some policies cover expansion, diversification or modernisation; others apply only to new units.</w:t>
      </w:r>
    </w:p>
    <w:p>
      <w:pPr>
        <w:pStyle w:val="Heading2"/>
      </w:pPr>
      <w:r>
        <w:t>Can capital subsidy and interest subsidy be claimed together?</w:t>
      </w:r>
    </w:p>
    <w:p>
      <w:pPr>
        <w:spacing w:after="120"/>
      </w:pPr>
      <w:r>
        <w:rPr>
          <w:i w:val="0"/>
        </w:rPr>
        <w:t>It depends on the scheme. Some benefits can be combined; others require a choice or impose a combined ceiling.</w:t>
      </w:r>
    </w:p>
    <w:p>
      <w:pPr>
        <w:pStyle w:val="Heading2"/>
      </w:pPr>
      <w:r>
        <w:t>Should the subsidy be deducted from the initial project cost?</w:t>
      </w:r>
    </w:p>
    <w:p>
      <w:pPr>
        <w:spacing w:after="120"/>
      </w:pPr>
      <w:r>
        <w:rPr>
          <w:i w:val="0"/>
        </w:rPr>
        <w:t>Not automatically. Many benefits are received only after investment, production, tax payment or compliance.</w:t>
      </w:r>
    </w:p>
    <w:p>
      <w:pPr>
        <w:pStyle w:val="Heading2"/>
      </w:pPr>
      <w:r>
        <w:t>Who gives final confirmation of eligibility?</w:t>
      </w:r>
    </w:p>
    <w:p>
      <w:pPr>
        <w:spacing w:after="120"/>
      </w:pPr>
      <w:r>
        <w:rPr>
          <w:i w:val="0"/>
        </w:rPr>
        <w:t>The competent authority determines eligibility. A qualified subsidy, tax or legal professional should verify the interpretation before expenditure is committed.</w:t>
      </w:r>
    </w:p>
    <w:p>
      <w:pPr>
        <w:pStyle w:val="Heading1"/>
      </w:pPr>
      <w:r>
        <w:t>Plan the Project Before Calculating the Incentive</w:t>
      </w:r>
    </w:p>
    <w:p>
      <w:pPr>
        <w:spacing w:after="120"/>
      </w:pPr>
      <w:r>
        <w:rPr>
          <w:i w:val="0"/>
        </w:rPr>
        <w:t>The right question is not simply: “How much subsidy is available for an AAC plant?”</w:t>
      </w:r>
    </w:p>
    <w:tbl>
      <w:tblPr>
        <w:tblW w:type="auto" w:w="0"/>
        <w:jc w:val="center"/>
        <w:tblLayout w:type="fixed"/>
        <w:tblLook w:firstColumn="1" w:firstRow="1" w:lastColumn="0" w:lastRow="0" w:noHBand="0" w:noVBand="1" w:val="04A0"/>
      </w:tblPr>
      <w:tblGrid>
        <w:gridCol w:w="9648"/>
      </w:tblGrid>
      <w:tr>
        <w:tc>
          <w:tcPr>
            <w:tcW w:type="dxa" w:w="9878"/>
            <w:shd w:fill="EEF2F5"/>
            <w:tcMar>
              <w:top w:w="160" w:type="dxa"/>
              <w:start w:w="180" w:type="dxa"/>
              <w:bottom w:w="160" w:type="dxa"/>
              <w:end w:w="180" w:type="dxa"/>
            </w:tcMar>
          </w:tcPr>
          <w:p>
            <w:pPr>
              <w:spacing w:after="0" w:line="276" w:lineRule="auto"/>
            </w:pPr>
            <w:r>
              <w:rPr>
                <w:b/>
                <w:color w:val="0C4F80"/>
              </w:rPr>
              <w:t xml:space="preserve">A MORE USEFUL QUESTION  </w:t>
            </w:r>
            <w:r>
              <w:t>Which verified incentives apply to this specific AAC project, at this location, with this investment structure and implementation schedule?</w:t>
            </w:r>
          </w:p>
        </w:tc>
      </w:tr>
    </w:tbl>
    <w:p>
      <w:pPr>
        <w:spacing w:after="20"/>
      </w:pPr>
    </w:p>
    <w:p>
      <w:pPr>
        <w:spacing w:after="120"/>
      </w:pPr>
      <w:r>
        <w:rPr>
          <w:i w:val="0"/>
        </w:rPr>
        <w:t>Plant capacity, engineering scope, market location, financing and government incentives should be evaluated together. A technically suitable and commercially viable AAC project must remain workable even if an expected reimbursement is delayed or reduced.</w:t>
      </w:r>
    </w:p>
    <w:p>
      <w:pPr>
        <w:pStyle w:val="Heading2"/>
      </w:pPr>
      <w:r>
        <w:t>Request an AAC Project Planning Discussion</w:t>
      </w:r>
    </w:p>
    <w:p>
      <w:pPr>
        <w:spacing w:after="120"/>
      </w:pPr>
      <w:r>
        <w:rPr>
          <w:i w:val="0"/>
        </w:rPr>
        <w:t>Discuss your proposed state, plant capacity, product mix, automation requirement and investment stage with Laxmi En-Fab’s AAC plant engineering team.</w:t>
      </w:r>
    </w:p>
    <w:p>
      <w:pPr>
        <w:pStyle w:val="Heading2"/>
      </w:pPr>
      <w:r>
        <w:t>Download the Pre-Investment Subsidy Checklist</w:t>
      </w:r>
    </w:p>
    <w:p>
      <w:pPr>
        <w:spacing w:after="120"/>
      </w:pPr>
      <w:r>
        <w:rPr>
          <w:i w:val="0"/>
        </w:rPr>
        <w:t>Review the essential technical, financial and policy information required before land, machinery and project-finance decisions.</w:t>
      </w:r>
    </w:p>
    <w:p>
      <w:pPr>
        <w:pStyle w:val="Heading1"/>
      </w:pPr>
      <w:r>
        <w:t>Editorial and Compliance Note</w:t>
      </w:r>
    </w:p>
    <w:p>
      <w:pPr>
        <w:spacing w:after="120"/>
      </w:pPr>
      <w:r>
        <w:rPr>
          <w:i w:val="0"/>
        </w:rPr>
        <w:t>This page provides general information for preliminary project planning. Industrial policies, tax provisions, incentive periods and eligibility conditions may change. Nothing on this page constitutes legal, tax, financial or government-approval advice. Investors should obtain current written confirmation from the applicable authority and qualified professional.</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880"/>
            <w:shd w:fill="0B1727"/>
            <w:tcMar>
              <w:top w:w="90" w:type="dxa"/>
              <w:start w:w="120" w:type="dxa"/>
              <w:bottom w:w="90" w:type="dxa"/>
              <w:end w:w="120" w:type="dxa"/>
            </w:tcMar>
            <w:vAlign w:val="center"/>
          </w:tcPr>
          <w:p>
            <w:pPr>
              <w:spacing w:after="0"/>
            </w:pPr>
            <w:r>
              <w:rPr>
                <w:b/>
                <w:color w:val="FFFFFF"/>
                <w:sz w:val="18"/>
              </w:rPr>
              <w:t>Publication field</w:t>
            </w:r>
          </w:p>
        </w:tc>
        <w:tc>
          <w:tcPr>
            <w:tcW w:type="dxa" w:w="6768"/>
            <w:shd w:fill="0B1727"/>
            <w:tcMar>
              <w:top w:w="90" w:type="dxa"/>
              <w:start w:w="120" w:type="dxa"/>
              <w:bottom w:w="90" w:type="dxa"/>
              <w:end w:w="120" w:type="dxa"/>
            </w:tcMar>
            <w:vAlign w:val="center"/>
          </w:tcPr>
          <w:p>
            <w:pPr>
              <w:spacing w:after="0"/>
            </w:pPr>
            <w:r>
              <w:rPr>
                <w:b/>
                <w:color w:val="FFFFFF"/>
                <w:sz w:val="18"/>
              </w:rPr>
              <w:t>Entry</w:t>
            </w:r>
          </w:p>
        </w:tc>
      </w:tr>
      <w:tr>
        <w:tc>
          <w:tcPr>
            <w:tcW w:type="dxa" w:w="2880"/>
            <w:tcMar>
              <w:top w:w="90" w:type="dxa"/>
              <w:start w:w="120" w:type="dxa"/>
              <w:bottom w:w="90" w:type="dxa"/>
              <w:end w:w="120" w:type="dxa"/>
            </w:tcMar>
            <w:vAlign w:val="center"/>
          </w:tcPr>
          <w:p>
            <w:pPr>
              <w:spacing w:after="0" w:line="259" w:lineRule="auto"/>
            </w:pPr>
            <w:r>
              <w:rPr>
                <w:color w:val="0B1727"/>
                <w:sz w:val="17"/>
              </w:rPr>
              <w:t>Published</w:t>
            </w:r>
          </w:p>
        </w:tc>
        <w:tc>
          <w:tcPr>
            <w:tcW w:type="dxa" w:w="6768"/>
            <w:tcMar>
              <w:top w:w="90" w:type="dxa"/>
              <w:start w:w="120" w:type="dxa"/>
              <w:bottom w:w="90" w:type="dxa"/>
              <w:end w:w="120" w:type="dxa"/>
            </w:tcMar>
            <w:vAlign w:val="center"/>
          </w:tcPr>
          <w:p>
            <w:pPr>
              <w:spacing w:after="0" w:line="259" w:lineRule="auto"/>
            </w:pPr>
            <w:r>
              <w:rPr>
                <w:color w:val="0B1727"/>
                <w:sz w:val="17"/>
              </w:rPr>
              <w:t>[Insert publication date]</w:t>
            </w:r>
          </w:p>
        </w:tc>
      </w:tr>
      <w:tr>
        <w:tc>
          <w:tcPr>
            <w:tcW w:type="dxa" w:w="2880"/>
            <w:tcMar>
              <w:top w:w="90" w:type="dxa"/>
              <w:start w:w="120" w:type="dxa"/>
              <w:bottom w:w="90" w:type="dxa"/>
              <w:end w:w="120" w:type="dxa"/>
            </w:tcMar>
            <w:vAlign w:val="center"/>
            <w:shd w:fill="F5F7F8"/>
          </w:tcPr>
          <w:p>
            <w:pPr>
              <w:spacing w:after="0" w:line="259" w:lineRule="auto"/>
            </w:pPr>
            <w:r>
              <w:rPr>
                <w:color w:val="0B1727"/>
                <w:sz w:val="17"/>
              </w:rPr>
              <w:t>Last policy review</w:t>
            </w:r>
          </w:p>
        </w:tc>
        <w:tc>
          <w:tcPr>
            <w:tcW w:type="dxa" w:w="6768"/>
            <w:tcMar>
              <w:top w:w="90" w:type="dxa"/>
              <w:start w:w="120" w:type="dxa"/>
              <w:bottom w:w="90" w:type="dxa"/>
              <w:end w:w="120" w:type="dxa"/>
            </w:tcMar>
            <w:vAlign w:val="center"/>
            <w:shd w:fill="F5F7F8"/>
          </w:tcPr>
          <w:p>
            <w:pPr>
              <w:spacing w:after="0" w:line="259" w:lineRule="auto"/>
            </w:pPr>
            <w:r>
              <w:rPr>
                <w:color w:val="0B1727"/>
                <w:sz w:val="17"/>
              </w:rPr>
              <w:t>15 August 2026</w:t>
            </w:r>
          </w:p>
        </w:tc>
      </w:tr>
      <w:tr>
        <w:tc>
          <w:tcPr>
            <w:tcW w:type="dxa" w:w="2880"/>
            <w:tcMar>
              <w:top w:w="90" w:type="dxa"/>
              <w:start w:w="120" w:type="dxa"/>
              <w:bottom w:w="90" w:type="dxa"/>
              <w:end w:w="120" w:type="dxa"/>
            </w:tcMar>
            <w:vAlign w:val="center"/>
          </w:tcPr>
          <w:p>
            <w:pPr>
              <w:spacing w:after="0" w:line="259" w:lineRule="auto"/>
            </w:pPr>
            <w:r>
              <w:rPr>
                <w:color w:val="0B1727"/>
                <w:sz w:val="17"/>
              </w:rPr>
              <w:t>Technical reviewer</w:t>
            </w:r>
          </w:p>
        </w:tc>
        <w:tc>
          <w:tcPr>
            <w:tcW w:type="dxa" w:w="6768"/>
            <w:tcMar>
              <w:top w:w="90" w:type="dxa"/>
              <w:start w:w="120" w:type="dxa"/>
              <w:bottom w:w="90" w:type="dxa"/>
              <w:end w:w="120" w:type="dxa"/>
            </w:tcMar>
            <w:vAlign w:val="center"/>
          </w:tcPr>
          <w:p>
            <w:pPr>
              <w:spacing w:after="0" w:line="259" w:lineRule="auto"/>
            </w:pPr>
            <w:r>
              <w:rPr>
                <w:color w:val="0B1727"/>
                <w:sz w:val="17"/>
              </w:rPr>
              <w:t>[Name and designation required]</w:t>
            </w:r>
          </w:p>
        </w:tc>
      </w:tr>
      <w:tr>
        <w:tc>
          <w:tcPr>
            <w:tcW w:type="dxa" w:w="2880"/>
            <w:tcMar>
              <w:top w:w="90" w:type="dxa"/>
              <w:start w:w="120" w:type="dxa"/>
              <w:bottom w:w="90" w:type="dxa"/>
              <w:end w:w="120" w:type="dxa"/>
            </w:tcMar>
            <w:vAlign w:val="center"/>
            <w:shd w:fill="F5F7F8"/>
          </w:tcPr>
          <w:p>
            <w:pPr>
              <w:spacing w:after="0" w:line="259" w:lineRule="auto"/>
            </w:pPr>
            <w:r>
              <w:rPr>
                <w:color w:val="0B1727"/>
                <w:sz w:val="17"/>
              </w:rPr>
              <w:t>Policy/financial reviewer</w:t>
            </w:r>
          </w:p>
        </w:tc>
        <w:tc>
          <w:tcPr>
            <w:tcW w:type="dxa" w:w="6768"/>
            <w:tcMar>
              <w:top w:w="90" w:type="dxa"/>
              <w:start w:w="120" w:type="dxa"/>
              <w:bottom w:w="90" w:type="dxa"/>
              <w:end w:w="120" w:type="dxa"/>
            </w:tcMar>
            <w:vAlign w:val="center"/>
            <w:shd w:fill="F5F7F8"/>
          </w:tcPr>
          <w:p>
            <w:pPr>
              <w:spacing w:after="0" w:line="259" w:lineRule="auto"/>
            </w:pPr>
            <w:r>
              <w:rPr>
                <w:color w:val="0B1727"/>
                <w:sz w:val="17"/>
              </w:rPr>
              <w:t>[Name and qualification required]</w:t>
            </w:r>
          </w:p>
        </w:tc>
      </w:tr>
    </w:tbl>
    <w:p>
      <w:pPr>
        <w:spacing w:after="20"/>
      </w:pPr>
    </w:p>
    <w:sectPr w:rsidR="00FC693F" w:rsidRPr="0006063C" w:rsidSect="00034616">
      <w:headerReference w:type="default" r:id="rId9"/>
      <w:footerReference w:type="default" r:id="rId10"/>
      <w:pgSz w:w="12240" w:h="15840"/>
      <w:pgMar w:top="1123"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AAC Block Plant Subsidies in India  •  Policy review: 15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C4F80"/>
        <w:sz w:val="16"/>
      </w:rPr>
      <w:t>LAXMI EN-FAB PVT. LTD.  |  AAC INVESTOR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0B17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B1727"/>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C4F8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B17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461" w:hanging="23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461" w:hanging="23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smeonline.tn.gov.in/incentives/html_cye_CS.php" TargetMode="External"/><Relationship Id="rId12" Type="http://schemas.openxmlformats.org/officeDocument/2006/relationships/hyperlink" Target="https://pbindustries.gov.in/static/why_punjab%3BKey%3DFiscal_Incentives_MSME_units" TargetMode="External"/><Relationship Id="rId13" Type="http://schemas.openxmlformats.org/officeDocument/2006/relationships/hyperlink" Target="https://nsearchives.nseindia.com/corporate/BIGBLOC_12042023111637_Annoncemen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Block Plant Subsidies in India: Eligibility and Planning Guide</dc:title>
  <dc:subject>Publication-ready webpage content for Laxmi En-Fab Pvt. Ltd.</dc:subject>
  <dc:creator>Laxmi En-Fab Pvt. Ltd.</dc:creator>
  <cp:keywords>AAC block plant subsidy India, SGST reimbursement, AAC plant incentives</cp:keywords>
  <dc:description>generated by python-docx</dc:description>
  <cp:lastModifiedBy/>
  <cp:revision>1</cp:revision>
  <dcterms:created xsi:type="dcterms:W3CDTF">2013-12-23T23:15:00Z</dcterms:created>
  <dcterms:modified xsi:type="dcterms:W3CDTF">2013-12-23T23:15:00Z</dcterms:modified>
  <cp:category/>
</cp:coreProperties>
</file>