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b/>
          <w:color w:val="0C4F80"/>
          <w:sz w:val="18"/>
        </w:rPr>
        <w:t>AAC PLANT BUYER GUIDE</w:t>
      </w:r>
    </w:p>
    <w:p>
      <w:pPr>
        <w:spacing w:after="160"/>
      </w:pPr>
      <w:r>
        <w:rPr>
          <w:rFonts w:ascii="Aptos Display" w:hAnsi="Aptos Display"/>
          <w:b/>
          <w:color w:val="0B1727"/>
          <w:sz w:val="54"/>
        </w:rPr>
        <w:t>How to Compare AAC Plant Suppliers Before Finalizing</w:t>
      </w:r>
    </w:p>
    <w:p>
      <w:pPr>
        <w:spacing w:after="300"/>
      </w:pPr>
      <w:r>
        <w:rPr>
          <w:color w:val="536273"/>
          <w:sz w:val="24"/>
        </w:rPr>
        <w:t>A practical engineering due-diligence framework for Indian investors, technical teams and purchase teams.</w:t>
      </w:r>
    </w:p>
    <w:tbl>
      <w:tblPr>
        <w:tblW w:type="auto" w:w="0"/>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648"/>
      </w:tblGrid>
      <w:tr>
        <w:tc>
          <w:tcPr>
            <w:tcW w:type="dxa" w:w="9878"/>
            <w:shd w:fill="EEF2F5"/>
            <w:vAlign w:val="center"/>
          </w:tcPr>
          <w:p>
            <w:pPr>
              <w:spacing w:after="140" w:before="140"/>
            </w:pPr>
            <w:r/>
            <w:r>
              <w:rPr>
                <w:rFonts w:ascii="Aptos" w:hAnsi="Aptos"/>
                <w:b w:val="0"/>
                <w:color w:val="0B1727"/>
                <w:sz w:val="18"/>
              </w:rPr>
            </w:r>
            <w:r>
              <w:rPr>
                <w:b/>
                <w:color w:val="0C4F80"/>
                <w:sz w:val="20"/>
              </w:rPr>
              <w:t xml:space="preserve">DIRECT ANSWER  </w:t>
            </w:r>
            <w:r>
              <w:rPr>
                <w:color w:val="0B1727"/>
                <w:sz w:val="20"/>
              </w:rPr>
              <w:t>Compare suppliers on a common basis: production assumptions, equipment scope, automation boundaries, utilities, manpower, product capability, manufacturing evidence, operating references, commissioning responsibility, performance acceptance, service support and expansion readiness. A quotation is comparable only after these factors—and all exclusions—are made visible.</w:t>
            </w:r>
          </w:p>
        </w:tc>
      </w:tr>
    </w:tbl>
    <w:p>
      <w:pPr>
        <w:pStyle w:val="Heading1"/>
      </w:pPr>
      <w:r>
        <w:t>Do not compare quotations until you compare what is behind them</w:t>
      </w:r>
    </w:p>
    <w:p>
      <w:r>
        <w:t>An AAC block or panel plant is an integrated production system, not a collection of independent machines. A lower initial quotation may exclude essential equipment, automation, utility interfaces, finished-product handling, installation services, training or performance testing. Conversely, a higher quotation is not automatically better unless its added scope and performance obligations are clear.</w:t>
      </w:r>
    </w:p>
    <w:p>
      <w:r>
        <w:t>The purpose of technical due diligence is therefore not to identify the supplier with the longest equipment list. It is to determine which proposal is complete, technically suitable, verifiable and contractually accountable for your project conditions.</w:t>
      </w:r>
    </w:p>
    <w:p>
      <w:pPr>
        <w:pStyle w:val="Heading1"/>
      </w:pPr>
      <w:r>
        <w:t>The 12 factors every AAC plant buyer should compare</w:t>
      </w:r>
    </w:p>
    <w:tbl>
      <w:tblPr>
        <w:tblW w:type="auto" w:w="0"/>
        <w:jc w:val="center"/>
        <w:tblLayout w:type="fixed"/>
        <w:tblLook w:firstColumn="1" w:firstRow="1" w:lastColumn="0" w:lastRow="0" w:noHBand="0" w:noVBand="1" w:val="04A0"/>
        <w:tblBorders>
          <w:top w:val="single" w:sz="6" w:color="D7E0E7"/>
          <w:left w:val="single" w:sz="6" w:color="D7E0E7"/>
          <w:bottom w:val="single" w:sz="6" w:color="D7E0E7"/>
          <w:right w:val="single" w:sz="6" w:color="D7E0E7"/>
          <w:insideH w:val="single" w:sz="6" w:color="D7E0E7"/>
          <w:insideV w:val="single" w:sz="6" w:color="D7E0E7"/>
        </w:tblBorders>
      </w:tblPr>
      <w:tblGrid>
        <w:gridCol w:w="2376"/>
        <w:gridCol w:w="7272"/>
      </w:tblGrid>
      <w:tr>
        <w:tc>
          <w:tcPr>
            <w:tcW w:type="dxa" w:w="4939"/>
            <w:vAlign w:val="center"/>
            <w:shd w:fill="0C4F80"/>
          </w:tcPr>
          <w:p>
            <w:pPr>
              <w:spacing w:after="40" w:before="40"/>
            </w:pPr>
            <w:r/>
            <w:r>
              <w:rPr>
                <w:rFonts w:ascii="Aptos" w:hAnsi="Aptos"/>
                <w:b/>
                <w:color w:val="FFFFFF"/>
                <w:sz w:val="18"/>
              </w:rPr>
              <w:t>Comparison factor</w:t>
            </w:r>
          </w:p>
        </w:tc>
        <w:tc>
          <w:tcPr>
            <w:tcW w:type="dxa" w:w="4939"/>
            <w:vAlign w:val="center"/>
            <w:shd w:fill="0C4F80"/>
          </w:tcPr>
          <w:p>
            <w:pPr>
              <w:spacing w:after="40" w:before="40"/>
            </w:pPr>
            <w:r/>
            <w:r>
              <w:rPr>
                <w:rFonts w:ascii="Aptos" w:hAnsi="Aptos"/>
                <w:b/>
                <w:color w:val="FFFFFF"/>
                <w:sz w:val="18"/>
              </w:rPr>
              <w:t>What must be made explicit</w:t>
            </w:r>
          </w:p>
        </w:tc>
      </w:tr>
      <w:tr>
        <w:tc>
          <w:tcPr>
            <w:tcW w:type="dxa" w:w="2376"/>
            <w:vAlign w:val="center"/>
            <w:shd w:fill="F5F7F8"/>
          </w:tcPr>
          <w:p>
            <w:pPr>
              <w:spacing w:after="40" w:before="40"/>
            </w:pPr>
            <w:r/>
            <w:r>
              <w:rPr>
                <w:rFonts w:ascii="Aptos" w:hAnsi="Aptos"/>
                <w:b/>
                <w:color w:val="0B1727"/>
                <w:sz w:val="18"/>
              </w:rPr>
              <w:t>1. Production basis</w:t>
            </w:r>
          </w:p>
        </w:tc>
        <w:tc>
          <w:tcPr>
            <w:tcW w:type="dxa" w:w="7272"/>
            <w:vAlign w:val="center"/>
          </w:tcPr>
          <w:p>
            <w:pPr>
              <w:spacing w:after="40" w:before="40"/>
            </w:pPr>
            <w:r/>
            <w:r>
              <w:rPr>
                <w:rFonts w:ascii="Aptos" w:hAnsi="Aptos"/>
                <w:b w:val="0"/>
                <w:color w:val="0B1727"/>
                <w:sz w:val="18"/>
              </w:rPr>
              <w:t>Mould volume, batches, operating hours, product density, product mix and saleable output.</w:t>
            </w:r>
          </w:p>
        </w:tc>
      </w:tr>
      <w:tr>
        <w:tc>
          <w:tcPr>
            <w:tcW w:type="dxa" w:w="2376"/>
            <w:vAlign w:val="center"/>
            <w:shd w:fill="F5F7F8"/>
          </w:tcPr>
          <w:p>
            <w:pPr>
              <w:spacing w:after="40" w:before="40"/>
            </w:pPr>
            <w:r/>
            <w:r>
              <w:rPr>
                <w:rFonts w:ascii="Aptos" w:hAnsi="Aptos"/>
                <w:b/>
                <w:color w:val="0B1727"/>
                <w:sz w:val="18"/>
              </w:rPr>
              <w:t>2. Equipment scope</w:t>
            </w:r>
          </w:p>
        </w:tc>
        <w:tc>
          <w:tcPr>
            <w:tcW w:type="dxa" w:w="7272"/>
            <w:vAlign w:val="center"/>
          </w:tcPr>
          <w:p>
            <w:pPr>
              <w:spacing w:after="40" w:before="40"/>
            </w:pPr>
            <w:r/>
            <w:r>
              <w:rPr>
                <w:rFonts w:ascii="Aptos" w:hAnsi="Aptos"/>
                <w:b w:val="0"/>
                <w:color w:val="0B1727"/>
                <w:sz w:val="18"/>
              </w:rPr>
              <w:t>Included machinery, auxiliaries, controls, handling systems and clear battery limits.</w:t>
            </w:r>
          </w:p>
        </w:tc>
      </w:tr>
      <w:tr>
        <w:tc>
          <w:tcPr>
            <w:tcW w:type="dxa" w:w="2376"/>
            <w:vAlign w:val="center"/>
            <w:shd w:fill="F5F7F8"/>
          </w:tcPr>
          <w:p>
            <w:pPr>
              <w:spacing w:after="40" w:before="40"/>
            </w:pPr>
            <w:r/>
            <w:r>
              <w:rPr>
                <w:rFonts w:ascii="Aptos" w:hAnsi="Aptos"/>
                <w:b/>
                <w:color w:val="0B1727"/>
                <w:sz w:val="18"/>
              </w:rPr>
              <w:t>3. Automation boundary</w:t>
            </w:r>
          </w:p>
        </w:tc>
        <w:tc>
          <w:tcPr>
            <w:tcW w:type="dxa" w:w="7272"/>
            <w:vAlign w:val="center"/>
          </w:tcPr>
          <w:p>
            <w:pPr>
              <w:spacing w:after="40" w:before="40"/>
            </w:pPr>
            <w:r/>
            <w:r>
              <w:rPr>
                <w:rFonts w:ascii="Aptos" w:hAnsi="Aptos"/>
                <w:b w:val="0"/>
                <w:color w:val="0B1727"/>
                <w:sz w:val="18"/>
              </w:rPr>
              <w:t>Exactly where manual intervention remains during normal operation and fault recovery.</w:t>
            </w:r>
          </w:p>
        </w:tc>
      </w:tr>
      <w:tr>
        <w:tc>
          <w:tcPr>
            <w:tcW w:type="dxa" w:w="2376"/>
            <w:vAlign w:val="center"/>
            <w:shd w:fill="F5F7F8"/>
          </w:tcPr>
          <w:p>
            <w:pPr>
              <w:spacing w:after="40" w:before="40"/>
            </w:pPr>
            <w:r/>
            <w:r>
              <w:rPr>
                <w:rFonts w:ascii="Aptos" w:hAnsi="Aptos"/>
                <w:b/>
                <w:color w:val="0B1727"/>
                <w:sz w:val="18"/>
              </w:rPr>
              <w:t>4. Utilities</w:t>
            </w:r>
          </w:p>
        </w:tc>
        <w:tc>
          <w:tcPr>
            <w:tcW w:type="dxa" w:w="7272"/>
            <w:vAlign w:val="center"/>
          </w:tcPr>
          <w:p>
            <w:pPr>
              <w:spacing w:after="40" w:before="40"/>
            </w:pPr>
            <w:r/>
            <w:r>
              <w:rPr>
                <w:rFonts w:ascii="Aptos" w:hAnsi="Aptos"/>
                <w:b w:val="0"/>
                <w:color w:val="0B1727"/>
                <w:sz w:val="18"/>
              </w:rPr>
              <w:t>Power, steam and water assumptions expressed on the same production basis.</w:t>
            </w:r>
          </w:p>
        </w:tc>
      </w:tr>
      <w:tr>
        <w:tc>
          <w:tcPr>
            <w:tcW w:type="dxa" w:w="2376"/>
            <w:vAlign w:val="center"/>
            <w:shd w:fill="F5F7F8"/>
          </w:tcPr>
          <w:p>
            <w:pPr>
              <w:spacing w:after="40" w:before="40"/>
            </w:pPr>
            <w:r/>
            <w:r>
              <w:rPr>
                <w:rFonts w:ascii="Aptos" w:hAnsi="Aptos"/>
                <w:b/>
                <w:color w:val="0B1727"/>
                <w:sz w:val="18"/>
              </w:rPr>
              <w:t>5. Manpower</w:t>
            </w:r>
          </w:p>
        </w:tc>
        <w:tc>
          <w:tcPr>
            <w:tcW w:type="dxa" w:w="7272"/>
            <w:vAlign w:val="center"/>
          </w:tcPr>
          <w:p>
            <w:pPr>
              <w:spacing w:after="40" w:before="40"/>
            </w:pPr>
            <w:r/>
            <w:r>
              <w:rPr>
                <w:rFonts w:ascii="Aptos" w:hAnsi="Aptos"/>
                <w:b w:val="0"/>
                <w:color w:val="0B1727"/>
                <w:sz w:val="18"/>
              </w:rPr>
              <w:t>Operators, helpers, maintenance staff, instrumentation support and supervision per shift.</w:t>
            </w:r>
          </w:p>
        </w:tc>
      </w:tr>
      <w:tr>
        <w:tc>
          <w:tcPr>
            <w:tcW w:type="dxa" w:w="2376"/>
            <w:vAlign w:val="center"/>
            <w:shd w:fill="F5F7F8"/>
          </w:tcPr>
          <w:p>
            <w:pPr>
              <w:spacing w:after="40" w:before="40"/>
            </w:pPr>
            <w:r/>
            <w:r>
              <w:rPr>
                <w:rFonts w:ascii="Aptos" w:hAnsi="Aptos"/>
                <w:b/>
                <w:color w:val="0B1727"/>
                <w:sz w:val="18"/>
              </w:rPr>
              <w:t>6. Product capability</w:t>
            </w:r>
          </w:p>
        </w:tc>
        <w:tc>
          <w:tcPr>
            <w:tcW w:type="dxa" w:w="7272"/>
            <w:vAlign w:val="center"/>
          </w:tcPr>
          <w:p>
            <w:pPr>
              <w:spacing w:after="40" w:before="40"/>
            </w:pPr>
            <w:r/>
            <w:r>
              <w:rPr>
                <w:rFonts w:ascii="Aptos" w:hAnsi="Aptos"/>
                <w:b w:val="0"/>
                <w:color w:val="0B1727"/>
                <w:sz w:val="18"/>
              </w:rPr>
              <w:t>Blocks, panels or both; sizes, density range and quality-control requirements.</w:t>
            </w:r>
          </w:p>
        </w:tc>
      </w:tr>
      <w:tr>
        <w:tc>
          <w:tcPr>
            <w:tcW w:type="dxa" w:w="2376"/>
            <w:vAlign w:val="center"/>
            <w:shd w:fill="F5F7F8"/>
          </w:tcPr>
          <w:p>
            <w:pPr>
              <w:spacing w:after="40" w:before="40"/>
            </w:pPr>
            <w:r/>
            <w:r>
              <w:rPr>
                <w:rFonts w:ascii="Aptos" w:hAnsi="Aptos"/>
                <w:b/>
                <w:color w:val="0B1727"/>
                <w:sz w:val="18"/>
              </w:rPr>
              <w:t>7. Manufacturing evidence</w:t>
            </w:r>
          </w:p>
        </w:tc>
        <w:tc>
          <w:tcPr>
            <w:tcW w:type="dxa" w:w="7272"/>
            <w:vAlign w:val="center"/>
          </w:tcPr>
          <w:p>
            <w:pPr>
              <w:spacing w:after="40" w:before="40"/>
            </w:pPr>
            <w:r/>
            <w:r>
              <w:rPr>
                <w:rFonts w:ascii="Aptos" w:hAnsi="Aptos"/>
                <w:b w:val="0"/>
                <w:color w:val="0B1727"/>
                <w:sz w:val="18"/>
              </w:rPr>
              <w:t>What is designed, fabricated, machined, assembled and tested by the supplier.</w:t>
            </w:r>
          </w:p>
        </w:tc>
      </w:tr>
      <w:tr>
        <w:tc>
          <w:tcPr>
            <w:tcW w:type="dxa" w:w="2376"/>
            <w:vAlign w:val="center"/>
            <w:shd w:fill="F5F7F8"/>
          </w:tcPr>
          <w:p>
            <w:pPr>
              <w:spacing w:after="40" w:before="40"/>
            </w:pPr>
            <w:r/>
            <w:r>
              <w:rPr>
                <w:rFonts w:ascii="Aptos" w:hAnsi="Aptos"/>
                <w:b/>
                <w:color w:val="0B1727"/>
                <w:sz w:val="18"/>
              </w:rPr>
              <w:t>8. Running-plant evidence</w:t>
            </w:r>
          </w:p>
        </w:tc>
        <w:tc>
          <w:tcPr>
            <w:tcW w:type="dxa" w:w="7272"/>
            <w:vAlign w:val="center"/>
          </w:tcPr>
          <w:p>
            <w:pPr>
              <w:spacing w:after="40" w:before="40"/>
            </w:pPr>
            <w:r/>
            <w:r>
              <w:rPr>
                <w:rFonts w:ascii="Aptos" w:hAnsi="Aptos"/>
                <w:b w:val="0"/>
                <w:color w:val="0B1727"/>
                <w:sz w:val="18"/>
              </w:rPr>
              <w:t>Comparable operating references and recorded production—not only visual operation.</w:t>
            </w:r>
          </w:p>
        </w:tc>
      </w:tr>
      <w:tr>
        <w:tc>
          <w:tcPr>
            <w:tcW w:type="dxa" w:w="2376"/>
            <w:vAlign w:val="center"/>
            <w:shd w:fill="F5F7F8"/>
          </w:tcPr>
          <w:p>
            <w:pPr>
              <w:spacing w:after="40" w:before="40"/>
            </w:pPr>
            <w:r/>
            <w:r>
              <w:rPr>
                <w:rFonts w:ascii="Aptos" w:hAnsi="Aptos"/>
                <w:b/>
                <w:color w:val="0B1727"/>
                <w:sz w:val="18"/>
              </w:rPr>
              <w:t>9. Project responsibility</w:t>
            </w:r>
          </w:p>
        </w:tc>
        <w:tc>
          <w:tcPr>
            <w:tcW w:type="dxa" w:w="7272"/>
            <w:vAlign w:val="center"/>
          </w:tcPr>
          <w:p>
            <w:pPr>
              <w:spacing w:after="40" w:before="40"/>
            </w:pPr>
            <w:r/>
            <w:r>
              <w:rPr>
                <w:rFonts w:ascii="Aptos" w:hAnsi="Aptos"/>
                <w:b w:val="0"/>
                <w:color w:val="0B1727"/>
                <w:sz w:val="18"/>
              </w:rPr>
              <w:t>Ownership of design, erection, integration, commissioning, training and stabilization.</w:t>
            </w:r>
          </w:p>
        </w:tc>
      </w:tr>
      <w:tr>
        <w:tc>
          <w:tcPr>
            <w:tcW w:type="dxa" w:w="2376"/>
            <w:vAlign w:val="center"/>
            <w:shd w:fill="F5F7F8"/>
          </w:tcPr>
          <w:p>
            <w:pPr>
              <w:spacing w:after="40" w:before="40"/>
            </w:pPr>
            <w:r/>
            <w:r>
              <w:rPr>
                <w:rFonts w:ascii="Aptos" w:hAnsi="Aptos"/>
                <w:b/>
                <w:color w:val="0B1727"/>
                <w:sz w:val="18"/>
              </w:rPr>
              <w:t>10. Performance acceptance</w:t>
            </w:r>
          </w:p>
        </w:tc>
        <w:tc>
          <w:tcPr>
            <w:tcW w:type="dxa" w:w="7272"/>
            <w:vAlign w:val="center"/>
          </w:tcPr>
          <w:p>
            <w:pPr>
              <w:spacing w:after="40" w:before="40"/>
            </w:pPr>
            <w:r/>
            <w:r>
              <w:rPr>
                <w:rFonts w:ascii="Aptos" w:hAnsi="Aptos"/>
                <w:b w:val="0"/>
                <w:color w:val="0B1727"/>
                <w:sz w:val="18"/>
              </w:rPr>
              <w:t>Defined test period, inputs, exclusions, measurements and acceptance criteria.</w:t>
            </w:r>
          </w:p>
        </w:tc>
      </w:tr>
      <w:tr>
        <w:tc>
          <w:tcPr>
            <w:tcW w:type="dxa" w:w="2376"/>
            <w:vAlign w:val="center"/>
            <w:shd w:fill="F5F7F8"/>
          </w:tcPr>
          <w:p>
            <w:pPr>
              <w:spacing w:after="40" w:before="40"/>
            </w:pPr>
            <w:r/>
            <w:r>
              <w:rPr>
                <w:rFonts w:ascii="Aptos" w:hAnsi="Aptos"/>
                <w:b/>
                <w:color w:val="0B1727"/>
                <w:sz w:val="18"/>
              </w:rPr>
              <w:t>11. Service and spares</w:t>
            </w:r>
          </w:p>
        </w:tc>
        <w:tc>
          <w:tcPr>
            <w:tcW w:type="dxa" w:w="7272"/>
            <w:vAlign w:val="center"/>
          </w:tcPr>
          <w:p>
            <w:pPr>
              <w:spacing w:after="40" w:before="40"/>
            </w:pPr>
            <w:r/>
            <w:r>
              <w:rPr>
                <w:rFonts w:ascii="Aptos" w:hAnsi="Aptos"/>
                <w:b w:val="0"/>
                <w:color w:val="0B1727"/>
                <w:sz w:val="18"/>
              </w:rPr>
              <w:t>Warranty basis, response process, spare-part availability and maintenance support.</w:t>
            </w:r>
          </w:p>
        </w:tc>
      </w:tr>
      <w:tr>
        <w:tc>
          <w:tcPr>
            <w:tcW w:type="dxa" w:w="2376"/>
            <w:vAlign w:val="center"/>
            <w:shd w:fill="F5F7F8"/>
          </w:tcPr>
          <w:p>
            <w:pPr>
              <w:spacing w:after="40" w:before="40"/>
            </w:pPr>
            <w:r/>
            <w:r>
              <w:rPr>
                <w:rFonts w:ascii="Aptos" w:hAnsi="Aptos"/>
                <w:b/>
                <w:color w:val="0B1727"/>
                <w:sz w:val="18"/>
              </w:rPr>
              <w:t>12. Expansion readiness</w:t>
            </w:r>
          </w:p>
        </w:tc>
        <w:tc>
          <w:tcPr>
            <w:tcW w:type="dxa" w:w="7272"/>
            <w:vAlign w:val="center"/>
          </w:tcPr>
          <w:p>
            <w:pPr>
              <w:spacing w:after="40" w:before="40"/>
            </w:pPr>
            <w:r/>
            <w:r>
              <w:rPr>
                <w:rFonts w:ascii="Aptos" w:hAnsi="Aptos"/>
                <w:b w:val="0"/>
                <w:color w:val="0B1727"/>
                <w:sz w:val="18"/>
              </w:rPr>
              <w:t>Future capacity increase, panel integration and constraints in the proposed layout.</w:t>
            </w:r>
          </w:p>
        </w:tc>
      </w:tr>
    </w:tbl>
    <w:p>
      <w:pPr>
        <w:pStyle w:val="Heading1"/>
      </w:pPr>
      <w:r>
        <w:t>1. Establish one common comparison basis</w:t>
      </w:r>
    </w:p>
    <w:p>
      <w:r>
        <w:t>Before comparing price, ask every shortlisted supplier to respond to the same project brief. At minimum, record:</w:t>
      </w:r>
    </w:p>
    <w:p>
      <w:pPr>
        <w:pStyle w:val="ListBullet"/>
        <w:spacing w:after="60"/>
        <w:ind w:left="317" w:hanging="259"/>
      </w:pPr>
      <w:r>
        <w:t>Required saleable production in m³/day—not only nominal or installed capacity.</w:t>
      </w:r>
    </w:p>
    <w:p>
      <w:pPr>
        <w:pStyle w:val="ListBullet"/>
        <w:spacing w:after="60"/>
        <w:ind w:left="317" w:hanging="259"/>
      </w:pPr>
      <w:r>
        <w:t>Operating hours and shifts used for the calculation.</w:t>
      </w:r>
    </w:p>
    <w:p>
      <w:pPr>
        <w:pStyle w:val="ListBullet"/>
        <w:spacing w:after="60"/>
        <w:ind w:left="317" w:hanging="259"/>
      </w:pPr>
      <w:r>
        <w:t>Raw-material route and relevant material characteristics.</w:t>
      </w:r>
    </w:p>
    <w:p>
      <w:pPr>
        <w:pStyle w:val="ListBullet"/>
        <w:spacing w:after="60"/>
        <w:ind w:left="317" w:hanging="259"/>
      </w:pPr>
      <w:r>
        <w:t>Block and panel product mix, dimensions and target density range.</w:t>
      </w:r>
    </w:p>
    <w:p>
      <w:pPr>
        <w:pStyle w:val="ListBullet"/>
        <w:spacing w:after="60"/>
        <w:ind w:left="317" w:hanging="259"/>
      </w:pPr>
      <w:r>
        <w:t>Planned operating days, maintenance allowance and excluded downtime.</w:t>
      </w:r>
    </w:p>
    <w:p>
      <w:pPr>
        <w:pStyle w:val="ListBullet"/>
        <w:spacing w:after="60"/>
        <w:ind w:left="317" w:hanging="259"/>
      </w:pPr>
      <w:r>
        <w:t>Scope split among supplier, buyer, civil contractor, boiler vendor and electrical contractor.</w:t>
      </w:r>
    </w:p>
    <w:tbl>
      <w:tblPr>
        <w:tblW w:type="auto" w:w="0"/>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648"/>
      </w:tblGrid>
      <w:tr>
        <w:tc>
          <w:tcPr>
            <w:tcW w:type="dxa" w:w="9878"/>
            <w:shd w:fill="EEF2F5"/>
            <w:vAlign w:val="center"/>
          </w:tcPr>
          <w:p>
            <w:pPr>
              <w:spacing w:after="140" w:before="140"/>
            </w:pPr>
            <w:r/>
            <w:r>
              <w:rPr>
                <w:rFonts w:ascii="Aptos" w:hAnsi="Aptos"/>
                <w:b w:val="0"/>
                <w:color w:val="0B1727"/>
                <w:sz w:val="18"/>
              </w:rPr>
            </w:r>
            <w:r>
              <w:rPr>
                <w:b/>
                <w:color w:val="0C4F80"/>
                <w:sz w:val="20"/>
              </w:rPr>
              <w:t xml:space="preserve">COMPARISON RULE  </w:t>
            </w:r>
            <w:r>
              <w:rPr>
                <w:color w:val="0B1727"/>
                <w:sz w:val="20"/>
              </w:rPr>
              <w:t>If two capacity or utility figures use different assumptions, they are not yet comparable.</w:t>
            </w:r>
          </w:p>
        </w:tc>
      </w:tr>
    </w:tbl>
    <w:p>
      <w:pPr>
        <w:pStyle w:val="Heading1"/>
      </w:pPr>
      <w:r>
        <w:t>2. Verify how the promised capacity is calculated</w:t>
      </w:r>
    </w:p>
    <w:p>
      <w:r>
        <w:t>A daily capacity figure should be supported by a production calculation. Ask the supplier to show the mould volume, realistic batches per hour, operating hours, pre-curing constraints, cutting cycle, autoclave loading pattern, autoclave cycle, handling bottlenecks and expected saleable-output basis.</w:t>
      </w:r>
    </w:p>
    <w:p>
      <w:r>
        <w:t>Capacity should also be checked against the complete line. Increasing the speed of one machine does not increase plant output if material preparation, pre-curing, cutting, autoclaving or finished-product handling remains the limiting section.</w:t>
      </w:r>
    </w:p>
    <w:p>
      <w:pPr>
        <w:pStyle w:val="Heading1"/>
      </w:pPr>
      <w:r>
        <w:t>3. Normalize the equipment and service scope</w:t>
      </w:r>
    </w:p>
    <w:p>
      <w:r>
        <w:t>Place every offer into a scope-responsibility matrix. For each plant section, mark whether design, supply, erection, cabling, piping, integration, commissioning, training and performance testing are included, excluded or assigned to another party.</w:t>
      </w:r>
    </w:p>
    <w:tbl>
      <w:tblPr>
        <w:tblW w:type="auto" w:w="0"/>
        <w:tblLayout w:type="fixed"/>
        <w:tblLook w:firstColumn="1" w:firstRow="1" w:lastColumn="0" w:lastRow="0" w:noHBand="0" w:noVBand="1" w:val="04A0"/>
        <w:tblBorders>
          <w:top w:val="single" w:sz="6" w:color="D7E0E7"/>
          <w:left w:val="single" w:sz="6" w:color="D7E0E7"/>
          <w:bottom w:val="single" w:sz="6" w:color="D7E0E7"/>
          <w:right w:val="single" w:sz="6" w:color="D7E0E7"/>
          <w:insideH w:val="single" w:sz="6" w:color="D7E0E7"/>
          <w:insideV w:val="single" w:sz="6" w:color="D7E0E7"/>
        </w:tblBorders>
      </w:tblPr>
      <w:tblGrid>
        <w:gridCol w:w="2880"/>
        <w:gridCol w:w="6768"/>
      </w:tblGrid>
      <w:tr>
        <w:tc>
          <w:tcPr>
            <w:tcW w:type="dxa" w:w="4939"/>
            <w:vAlign w:val="center"/>
            <w:shd w:fill="0C4F80"/>
          </w:tcPr>
          <w:p>
            <w:pPr>
              <w:spacing w:after="40" w:before="40"/>
            </w:pPr>
            <w:r/>
            <w:r>
              <w:rPr>
                <w:rFonts w:ascii="Aptos" w:hAnsi="Aptos"/>
                <w:b/>
                <w:color w:val="FFFFFF"/>
                <w:sz w:val="18"/>
              </w:rPr>
              <w:t>Plant section</w:t>
            </w:r>
          </w:p>
        </w:tc>
        <w:tc>
          <w:tcPr>
            <w:tcW w:type="dxa" w:w="4939"/>
            <w:vAlign w:val="center"/>
            <w:shd w:fill="0C4F80"/>
          </w:tcPr>
          <w:p>
            <w:pPr>
              <w:spacing w:after="40" w:before="40"/>
            </w:pPr>
            <w:r/>
            <w:r>
              <w:rPr>
                <w:rFonts w:ascii="Aptos" w:hAnsi="Aptos"/>
                <w:b/>
                <w:color w:val="FFFFFF"/>
                <w:sz w:val="18"/>
              </w:rPr>
              <w:t>Clarify the complete boundary</w:t>
            </w:r>
          </w:p>
        </w:tc>
      </w:tr>
      <w:tr>
        <w:tc>
          <w:tcPr>
            <w:tcW w:type="dxa" w:w="2880"/>
            <w:vAlign w:val="center"/>
          </w:tcPr>
          <w:p>
            <w:pPr>
              <w:spacing w:after="40" w:before="40"/>
            </w:pPr>
            <w:r/>
            <w:r>
              <w:rPr>
                <w:rFonts w:ascii="Aptos" w:hAnsi="Aptos"/>
                <w:b/>
                <w:color w:val="0B1727"/>
                <w:sz w:val="18"/>
              </w:rPr>
              <w:t>Raw-material preparation</w:t>
            </w:r>
          </w:p>
        </w:tc>
        <w:tc>
          <w:tcPr>
            <w:tcW w:type="dxa" w:w="6768"/>
            <w:vAlign w:val="center"/>
          </w:tcPr>
          <w:p>
            <w:pPr>
              <w:spacing w:after="40" w:before="40"/>
            </w:pPr>
            <w:r/>
            <w:r>
              <w:rPr>
                <w:rFonts w:ascii="Aptos" w:hAnsi="Aptos"/>
                <w:b w:val="0"/>
                <w:color w:val="0B1727"/>
                <w:sz w:val="18"/>
              </w:rPr>
              <w:t>Crushing, grinding, storage, conveying and slurry handling</w:t>
            </w:r>
          </w:p>
        </w:tc>
      </w:tr>
      <w:tr>
        <w:tc>
          <w:tcPr>
            <w:tcW w:type="dxa" w:w="2880"/>
            <w:vAlign w:val="center"/>
          </w:tcPr>
          <w:p>
            <w:pPr>
              <w:spacing w:after="40" w:before="40"/>
            </w:pPr>
            <w:r/>
            <w:r>
              <w:rPr>
                <w:rFonts w:ascii="Aptos" w:hAnsi="Aptos"/>
                <w:b/>
                <w:color w:val="0B1727"/>
                <w:sz w:val="18"/>
              </w:rPr>
              <w:t>Batching and mixing</w:t>
            </w:r>
          </w:p>
        </w:tc>
        <w:tc>
          <w:tcPr>
            <w:tcW w:type="dxa" w:w="6768"/>
            <w:vAlign w:val="center"/>
          </w:tcPr>
          <w:p>
            <w:pPr>
              <w:spacing w:after="40" w:before="40"/>
            </w:pPr>
            <w:r/>
            <w:r>
              <w:rPr>
                <w:rFonts w:ascii="Aptos" w:hAnsi="Aptos"/>
                <w:b w:val="0"/>
                <w:color w:val="0B1727"/>
                <w:sz w:val="18"/>
              </w:rPr>
              <w:t>Weighing, dosing, mixing, controls and recipe management</w:t>
            </w:r>
          </w:p>
        </w:tc>
      </w:tr>
      <w:tr>
        <w:tc>
          <w:tcPr>
            <w:tcW w:type="dxa" w:w="2880"/>
            <w:vAlign w:val="center"/>
          </w:tcPr>
          <w:p>
            <w:pPr>
              <w:spacing w:after="40" w:before="40"/>
            </w:pPr>
            <w:r/>
            <w:r>
              <w:rPr>
                <w:rFonts w:ascii="Aptos" w:hAnsi="Aptos"/>
                <w:b/>
                <w:color w:val="0B1727"/>
                <w:sz w:val="18"/>
              </w:rPr>
              <w:t>Mould and pre-curing</w:t>
            </w:r>
          </w:p>
        </w:tc>
        <w:tc>
          <w:tcPr>
            <w:tcW w:type="dxa" w:w="6768"/>
            <w:vAlign w:val="center"/>
          </w:tcPr>
          <w:p>
            <w:pPr>
              <w:spacing w:after="40" w:before="40"/>
            </w:pPr>
            <w:r/>
            <w:r>
              <w:rPr>
                <w:rFonts w:ascii="Aptos" w:hAnsi="Aptos"/>
                <w:b w:val="0"/>
                <w:color w:val="0B1727"/>
                <w:sz w:val="18"/>
              </w:rPr>
              <w:t>Mould circulation, oiling, transfer and pre-curing interfaces</w:t>
            </w:r>
          </w:p>
        </w:tc>
      </w:tr>
      <w:tr>
        <w:tc>
          <w:tcPr>
            <w:tcW w:type="dxa" w:w="2880"/>
            <w:vAlign w:val="center"/>
          </w:tcPr>
          <w:p>
            <w:pPr>
              <w:spacing w:after="40" w:before="40"/>
            </w:pPr>
            <w:r/>
            <w:r>
              <w:rPr>
                <w:rFonts w:ascii="Aptos" w:hAnsi="Aptos"/>
                <w:b/>
                <w:color w:val="0B1727"/>
                <w:sz w:val="18"/>
              </w:rPr>
              <w:t>Cutting section</w:t>
            </w:r>
          </w:p>
        </w:tc>
        <w:tc>
          <w:tcPr>
            <w:tcW w:type="dxa" w:w="6768"/>
            <w:vAlign w:val="center"/>
          </w:tcPr>
          <w:p>
            <w:pPr>
              <w:spacing w:after="40" w:before="40"/>
            </w:pPr>
            <w:r/>
            <w:r>
              <w:rPr>
                <w:rFonts w:ascii="Aptos" w:hAnsi="Aptos"/>
                <w:b w:val="0"/>
                <w:color w:val="0B1727"/>
                <w:sz w:val="18"/>
              </w:rPr>
              <w:t>Tilting/demoulding, cutting, waste return and handling</w:t>
            </w:r>
          </w:p>
        </w:tc>
      </w:tr>
      <w:tr>
        <w:tc>
          <w:tcPr>
            <w:tcW w:type="dxa" w:w="2880"/>
            <w:vAlign w:val="center"/>
          </w:tcPr>
          <w:p>
            <w:pPr>
              <w:spacing w:after="40" w:before="40"/>
            </w:pPr>
            <w:r/>
            <w:r>
              <w:rPr>
                <w:rFonts w:ascii="Aptos" w:hAnsi="Aptos"/>
                <w:b/>
                <w:color w:val="0B1727"/>
                <w:sz w:val="18"/>
              </w:rPr>
              <w:t>Autoclave section</w:t>
            </w:r>
          </w:p>
        </w:tc>
        <w:tc>
          <w:tcPr>
            <w:tcW w:type="dxa" w:w="6768"/>
            <w:vAlign w:val="center"/>
          </w:tcPr>
          <w:p>
            <w:pPr>
              <w:spacing w:after="40" w:before="40"/>
            </w:pPr>
            <w:r/>
            <w:r>
              <w:rPr>
                <w:rFonts w:ascii="Aptos" w:hAnsi="Aptos"/>
                <w:b w:val="0"/>
                <w:color w:val="0B1727"/>
                <w:sz w:val="18"/>
              </w:rPr>
              <w:t>Loading, unloading, tracks, steam connections and controls</w:t>
            </w:r>
          </w:p>
        </w:tc>
      </w:tr>
      <w:tr>
        <w:tc>
          <w:tcPr>
            <w:tcW w:type="dxa" w:w="2880"/>
            <w:vAlign w:val="center"/>
          </w:tcPr>
          <w:p>
            <w:pPr>
              <w:spacing w:after="40" w:before="40"/>
            </w:pPr>
            <w:r/>
            <w:r>
              <w:rPr>
                <w:rFonts w:ascii="Aptos" w:hAnsi="Aptos"/>
                <w:b/>
                <w:color w:val="0B1727"/>
                <w:sz w:val="18"/>
              </w:rPr>
              <w:t>Finished-product handling</w:t>
            </w:r>
          </w:p>
        </w:tc>
        <w:tc>
          <w:tcPr>
            <w:tcW w:type="dxa" w:w="6768"/>
            <w:vAlign w:val="center"/>
          </w:tcPr>
          <w:p>
            <w:pPr>
              <w:spacing w:after="40" w:before="40"/>
            </w:pPr>
            <w:r/>
            <w:r>
              <w:rPr>
                <w:rFonts w:ascii="Aptos" w:hAnsi="Aptos"/>
                <w:b w:val="0"/>
                <w:color w:val="0B1727"/>
                <w:sz w:val="18"/>
              </w:rPr>
              <w:t>Separation, cubing, packing, palletizing and dispatch handling</w:t>
            </w:r>
          </w:p>
        </w:tc>
      </w:tr>
      <w:tr>
        <w:tc>
          <w:tcPr>
            <w:tcW w:type="dxa" w:w="2880"/>
            <w:vAlign w:val="center"/>
          </w:tcPr>
          <w:p>
            <w:pPr>
              <w:spacing w:after="40" w:before="40"/>
            </w:pPr>
            <w:r/>
            <w:r>
              <w:rPr>
                <w:rFonts w:ascii="Aptos" w:hAnsi="Aptos"/>
                <w:b/>
                <w:color w:val="0B1727"/>
                <w:sz w:val="18"/>
              </w:rPr>
              <w:t>Utilities and integration</w:t>
            </w:r>
          </w:p>
        </w:tc>
        <w:tc>
          <w:tcPr>
            <w:tcW w:type="dxa" w:w="6768"/>
            <w:vAlign w:val="center"/>
          </w:tcPr>
          <w:p>
            <w:pPr>
              <w:spacing w:after="40" w:before="40"/>
            </w:pPr>
            <w:r/>
            <w:r>
              <w:rPr>
                <w:rFonts w:ascii="Aptos" w:hAnsi="Aptos"/>
                <w:b w:val="0"/>
                <w:color w:val="0B1727"/>
                <w:sz w:val="18"/>
              </w:rPr>
              <w:t>Electrical, compressed air, water, steam, piping and data interfaces</w:t>
            </w:r>
          </w:p>
        </w:tc>
      </w:tr>
    </w:tbl>
    <w:p>
      <w:pPr>
        <w:pStyle w:val="Heading1"/>
      </w:pPr>
      <w:r>
        <w:t>4. Compare automation by function—not by label</w:t>
      </w:r>
    </w:p>
    <w:p>
      <w:r>
        <w:t>Terms such as automatic and fully automatic are not sufficient specifications. Ask each supplier to map the full process and identify where an operator must initiate movement, confirm a sequence, recover a fault, record quality data or manually handle material.</w:t>
      </w:r>
    </w:p>
    <w:p>
      <w:r>
        <w:t>Automation should be judged by its effect on stable operation, manpower distribution, maintenance skill, troubleshooting and production visibility—not by the number of screens or sensors alone.</w:t>
      </w:r>
    </w:p>
    <w:p>
      <w:pPr>
        <w:pStyle w:val="Heading1"/>
      </w:pPr>
      <w:r>
        <w:t>5. Compare utilities and manpower using the same assumptions</w:t>
      </w:r>
    </w:p>
    <w:p>
      <w:r>
        <w:t>Request power, steam and water requirements with explicit units and calculation boundaries. Separate connected load from actual consumption. For manpower, distinguish operators, general labour, mechanical maintenance, electrical/instrumentation support, quality staff and supervisors. Compare these values for the same production, product mix and shift pattern.</w:t>
      </w:r>
    </w:p>
    <w:p>
      <w:r>
        <w:t>Treat savings claims as unverified unless the baseline, operating conditions, measurement period and calculation method are supplied.</w:t>
      </w:r>
    </w:p>
    <w:p>
      <w:pPr>
        <w:pStyle w:val="Heading1"/>
      </w:pPr>
      <w:r>
        <w:t>6. Visit the manufacturing workshop</w:t>
      </w:r>
    </w:p>
    <w:p>
      <w:r>
        <w:t>A workshop visit is one of the most valuable supplier checks because it reveals current manufacturing practices and organizational capability. It should, however, be treated as an evidence review—not as a visual impression of size or housekeeping alone.</w:t>
      </w:r>
    </w:p>
    <w:p>
      <w:pPr>
        <w:pStyle w:val="ListBullet"/>
        <w:spacing w:after="60"/>
        <w:ind w:left="317" w:hanging="259"/>
      </w:pPr>
      <w:r>
        <w:t>Confirm which equipment is manufactured in-house and which is bought out.</w:t>
      </w:r>
    </w:p>
    <w:p>
      <w:pPr>
        <w:pStyle w:val="ListBullet"/>
        <w:spacing w:after="60"/>
        <w:ind w:left="317" w:hanging="259"/>
      </w:pPr>
      <w:r>
        <w:t>Review current project workload and the status of machines under production.</w:t>
      </w:r>
    </w:p>
    <w:p>
      <w:pPr>
        <w:pStyle w:val="ListBullet"/>
        <w:spacing w:after="60"/>
        <w:ind w:left="317" w:hanging="259"/>
      </w:pPr>
      <w:r>
        <w:t>Inspect fabrication, machining, assembly and material-handling capability.</w:t>
      </w:r>
    </w:p>
    <w:p>
      <w:pPr>
        <w:pStyle w:val="ListBullet"/>
        <w:spacing w:after="60"/>
        <w:ind w:left="317" w:hanging="259"/>
      </w:pPr>
      <w:r>
        <w:t>Request evidence of material traceability, welding procedures and inspection stages where applicable.</w:t>
      </w:r>
    </w:p>
    <w:p>
      <w:pPr>
        <w:pStyle w:val="ListBullet"/>
        <w:spacing w:after="60"/>
        <w:ind w:left="317" w:hanging="259"/>
      </w:pPr>
      <w:r>
        <w:t>Review testing facilities, quality records and pre-dispatch inspection practices.</w:t>
      </w:r>
    </w:p>
    <w:p>
      <w:pPr>
        <w:pStyle w:val="ListBullet"/>
        <w:spacing w:after="60"/>
        <w:ind w:left="317" w:hanging="259"/>
      </w:pPr>
      <w:r>
        <w:t>Meet the design, project, commissioning and after-sales personnel who may support your project.</w:t>
      </w:r>
    </w:p>
    <w:p>
      <w:r>
        <w:t>Do not infer financial strength or long-term solvency from workshop appearance. These require separate commercial and financial due diligence.</w:t>
      </w:r>
    </w:p>
    <w:p>
      <w:pPr>
        <w:pStyle w:val="Heading1"/>
      </w:pPr>
      <w:r>
        <w:t>7. Visit relevant running AAC plants</w:t>
      </w:r>
    </w:p>
    <w:p>
      <w:r>
        <w:t>Where practical, inspect more than one relevant operating reference. Select plants that resemble the proposed capacity, raw-material route, automation level, age and product mix. A reference that differs substantially from your proposal may still be informative, but it does not fully validate the proposed configuration.</w:t>
      </w:r>
    </w:p>
    <w:p>
      <w:pPr>
        <w:pStyle w:val="Heading2"/>
      </w:pPr>
      <w:r>
        <w:t>Observe the plant—and verify the records</w:t>
      </w:r>
    </w:p>
    <w:p>
      <w:pPr>
        <w:pStyle w:val="ListBullet"/>
        <w:spacing w:after="60"/>
        <w:ind w:left="317" w:hanging="259"/>
      </w:pPr>
      <w:r>
        <w:t>Recorded production and saleable output over an agreed representative period.</w:t>
      </w:r>
    </w:p>
    <w:p>
      <w:pPr>
        <w:pStyle w:val="ListBullet"/>
        <w:spacing w:after="60"/>
        <w:ind w:left="317" w:hanging="259"/>
      </w:pPr>
      <w:r>
        <w:t>Actual shift pattern, manpower deployment and manual interventions.</w:t>
      </w:r>
    </w:p>
    <w:p>
      <w:pPr>
        <w:pStyle w:val="ListBullet"/>
        <w:spacing w:after="60"/>
        <w:ind w:left="317" w:hanging="259"/>
      </w:pPr>
      <w:r>
        <w:t>Product density, compressive strength and dimensional-quality records.</w:t>
      </w:r>
    </w:p>
    <w:p>
      <w:pPr>
        <w:pStyle w:val="ListBullet"/>
        <w:spacing w:after="60"/>
        <w:ind w:left="317" w:hanging="259"/>
      </w:pPr>
      <w:r>
        <w:t>Downtime causes, recurring maintenance issues and spare-part history.</w:t>
      </w:r>
    </w:p>
    <w:p>
      <w:pPr>
        <w:pStyle w:val="ListBullet"/>
        <w:spacing w:after="60"/>
        <w:ind w:left="317" w:hanging="259"/>
      </w:pPr>
      <w:r>
        <w:t>Steam, power and water records where the owner is willing to share them.</w:t>
      </w:r>
    </w:p>
    <w:p>
      <w:pPr>
        <w:pStyle w:val="ListBullet"/>
        <w:spacing w:after="60"/>
        <w:ind w:left="317" w:hanging="259"/>
      </w:pPr>
      <w:r>
        <w:t>Condition of equipment, housekeeping, operator confidence and fault-recovery practices.</w:t>
      </w:r>
    </w:p>
    <w:p>
      <w:pPr>
        <w:pStyle w:val="Heading2"/>
      </w:pPr>
      <w:r>
        <w:t>Speak directly with the owner and operating team</w:t>
      </w:r>
    </w:p>
    <w:p>
      <w:r>
        <w:t>Ask whether delivery, installation and commissioning responsibilities were fulfilled; how long production stabilization took; which problems required supplier support; how quickly service and spares were provided; and whether the owner would select the same configuration again. Cross-check recollections with records wherever possible.</w:t>
      </w:r>
    </w:p>
    <w:p>
      <w:pPr>
        <w:pStyle w:val="Heading1"/>
      </w:pPr>
      <w:r>
        <w:t>8. Verify the supplier’s actual role in every reference</w:t>
      </w:r>
    </w:p>
    <w:p>
      <w:r>
        <w:t>A project list may combine turnkey projects, individual-machine supply, expansions, modifications, spare parts or maintenance work. These are not equivalent forms of experience. For each relevant reference, verify the year, location, designed capacity, supplied scope, commissioning responsibility and present operating status.</w:t>
      </w:r>
    </w:p>
    <w:tbl>
      <w:tblPr>
        <w:tblW w:type="auto" w:w="0"/>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648"/>
      </w:tblGrid>
      <w:tr>
        <w:tc>
          <w:tcPr>
            <w:tcW w:type="dxa" w:w="9878"/>
            <w:shd w:fill="EEF2F5"/>
            <w:vAlign w:val="center"/>
          </w:tcPr>
          <w:p>
            <w:pPr>
              <w:spacing w:after="140" w:before="140"/>
            </w:pPr>
            <w:r/>
            <w:r>
              <w:rPr>
                <w:rFonts w:ascii="Aptos" w:hAnsi="Aptos"/>
                <w:b w:val="0"/>
                <w:color w:val="0B1727"/>
                <w:sz w:val="18"/>
              </w:rPr>
            </w:r>
            <w:r>
              <w:rPr>
                <w:b/>
                <w:color w:val="0C4F80"/>
                <w:sz w:val="20"/>
              </w:rPr>
              <w:t xml:space="preserve">GOOD EVIDENCE  </w:t>
            </w:r>
            <w:r>
              <w:rPr>
                <w:color w:val="0B1727"/>
                <w:sz w:val="20"/>
              </w:rPr>
              <w:t>Customer confirmation, permission-based plant visits, completion or commissioning records and scope documents are stronger than an unsupported project list or logo display.</w:t>
            </w:r>
          </w:p>
        </w:tc>
      </w:tr>
    </w:tbl>
    <w:p>
      <w:pPr>
        <w:pStyle w:val="Heading1"/>
      </w:pPr>
      <w:r>
        <w:t>9. Define installation, commissioning and performance accountability</w:t>
      </w:r>
    </w:p>
    <w:p>
      <w:r>
        <w:t>An AAC plant requires coordinated mechanical, electrical, automation and process commissioning. The contract should identify who is responsible for erection supervision, electrical integration, trial production, operator training, process stabilization, performance testing and support after handover.</w:t>
      </w:r>
    </w:p>
    <w:p>
      <w:r>
        <w:t>In-house execution can simplify coordination, but outsourced specialists are not automatically unsuitable. The decisive questions are whether resources are named, responsibilities are documented, competence is demonstrated and one party is contractually accountable for each interface.</w:t>
      </w:r>
    </w:p>
    <w:p>
      <w:pPr>
        <w:pStyle w:val="Heading1"/>
      </w:pPr>
      <w:r>
        <w:t>10. Convert technical promises into measurable acceptance terms</w:t>
      </w:r>
    </w:p>
    <w:p>
      <w:r>
        <w:t>Important proposal claims should not remain only in presentations or meeting notes. Record them in the agreed technical specification and acceptance protocol. Define the test duration, raw-material and utility conditions, product being manufactured, allowable exclusions, measurement instruments, calculation method and action required if acceptance is not achieved.</w:t>
      </w:r>
    </w:p>
    <w:p>
      <w:pPr>
        <w:pStyle w:val="Heading1"/>
      </w:pPr>
      <w:r>
        <w:t>11. Compare service, spares and maintainability</w:t>
      </w:r>
    </w:p>
    <w:p>
      <w:pPr>
        <w:pStyle w:val="ListBullet"/>
        <w:spacing w:after="60"/>
        <w:ind w:left="317" w:hanging="259"/>
      </w:pPr>
      <w:r>
        <w:t>Warranty commencement, duration, exclusions and claim process.</w:t>
      </w:r>
    </w:p>
    <w:p>
      <w:pPr>
        <w:pStyle w:val="ListBullet"/>
        <w:spacing w:after="60"/>
        <w:ind w:left="317" w:hanging="259"/>
      </w:pPr>
      <w:r>
        <w:t>Response and escalation process for critical breakdowns.</w:t>
      </w:r>
    </w:p>
    <w:p>
      <w:pPr>
        <w:pStyle w:val="ListBullet"/>
        <w:spacing w:after="60"/>
        <w:ind w:left="317" w:hanging="259"/>
      </w:pPr>
      <w:r>
        <w:t>Recommended commissioning and two-year spare lists.</w:t>
      </w:r>
    </w:p>
    <w:p>
      <w:pPr>
        <w:pStyle w:val="ListBullet"/>
        <w:spacing w:after="60"/>
        <w:ind w:left="317" w:hanging="259"/>
      </w:pPr>
      <w:r>
        <w:t>Imported, proprietary and locally available components.</w:t>
      </w:r>
    </w:p>
    <w:p>
      <w:pPr>
        <w:pStyle w:val="ListBullet"/>
        <w:spacing w:after="60"/>
        <w:ind w:left="317" w:hanging="259"/>
      </w:pPr>
      <w:r>
        <w:t>Maintenance access, lubrication points and replacement procedures.</w:t>
      </w:r>
    </w:p>
    <w:p>
      <w:pPr>
        <w:pStyle w:val="ListBullet"/>
        <w:spacing w:after="60"/>
        <w:ind w:left="317" w:hanging="259"/>
      </w:pPr>
      <w:r>
        <w:t>Operator, mechanical, electrical and instrumentation training scope.</w:t>
      </w:r>
    </w:p>
    <w:p>
      <w:pPr>
        <w:pStyle w:val="ListBullet"/>
        <w:spacing w:after="60"/>
        <w:ind w:left="317" w:hanging="259"/>
      </w:pPr>
      <w:r>
        <w:t>Availability of drawings, manuals, PLC backups and maintenance documentation.</w:t>
      </w:r>
    </w:p>
    <w:p>
      <w:pPr>
        <w:pStyle w:val="Heading1"/>
      </w:pPr>
      <w:r>
        <w:t>12. Review future expansion before freezing the layout</w:t>
      </w:r>
    </w:p>
    <w:p>
      <w:r>
        <w:t>If future capacity growth or AAC panel production is possible, evaluate it before finalizing the layout. Confirm whether additional autoclaves, moulds, pre-curing space, raw-material systems, reinforced-product preparation and finished-product handling can be added without replacing major equipment or disrupting normal production.</w:t>
      </w:r>
    </w:p>
    <w:p>
      <w:pPr>
        <w:pStyle w:val="Heading1"/>
      </w:pPr>
      <w:r>
        <w:t>A practical final comparison matrix</w:t>
      </w:r>
    </w:p>
    <w:tbl>
      <w:tblPr>
        <w:tblW w:type="auto" w:w="0"/>
        <w:tblLayout w:type="fixed"/>
        <w:tblLook w:firstColumn="1" w:firstRow="1" w:lastColumn="0" w:lastRow="0" w:noHBand="0" w:noVBand="1" w:val="04A0"/>
        <w:tblBorders>
          <w:top w:val="single" w:sz="6" w:color="D7E0E7"/>
          <w:left w:val="single" w:sz="6" w:color="D7E0E7"/>
          <w:bottom w:val="single" w:sz="6" w:color="D7E0E7"/>
          <w:right w:val="single" w:sz="6" w:color="D7E0E7"/>
          <w:insideH w:val="single" w:sz="6" w:color="D7E0E7"/>
          <w:insideV w:val="single" w:sz="6" w:color="D7E0E7"/>
        </w:tblBorders>
      </w:tblPr>
      <w:tblGrid>
        <w:gridCol w:w="2232"/>
        <w:gridCol w:w="5976"/>
        <w:gridCol w:w="1440"/>
      </w:tblGrid>
      <w:tr>
        <w:tc>
          <w:tcPr>
            <w:tcW w:type="dxa" w:w="3293"/>
            <w:vAlign w:val="center"/>
            <w:shd w:fill="0C4F80"/>
          </w:tcPr>
          <w:p>
            <w:pPr>
              <w:spacing w:after="40" w:before="40"/>
            </w:pPr>
            <w:r/>
            <w:r>
              <w:rPr>
                <w:rFonts w:ascii="Aptos" w:hAnsi="Aptos"/>
                <w:b/>
                <w:color w:val="FFFFFF"/>
                <w:sz w:val="18"/>
              </w:rPr>
              <w:t>Decision area</w:t>
            </w:r>
          </w:p>
        </w:tc>
        <w:tc>
          <w:tcPr>
            <w:tcW w:type="dxa" w:w="3293"/>
            <w:vAlign w:val="center"/>
            <w:shd w:fill="0C4F80"/>
          </w:tcPr>
          <w:p>
            <w:pPr>
              <w:spacing w:after="40" w:before="40"/>
            </w:pPr>
            <w:r/>
            <w:r>
              <w:rPr>
                <w:rFonts w:ascii="Aptos" w:hAnsi="Aptos"/>
                <w:b/>
                <w:color w:val="FFFFFF"/>
                <w:sz w:val="18"/>
              </w:rPr>
              <w:t>Question to answer</w:t>
            </w:r>
          </w:p>
        </w:tc>
        <w:tc>
          <w:tcPr>
            <w:tcW w:type="dxa" w:w="3293"/>
            <w:vAlign w:val="center"/>
            <w:shd w:fill="0C4F80"/>
          </w:tcPr>
          <w:p>
            <w:pPr>
              <w:spacing w:after="40" w:before="40"/>
            </w:pPr>
            <w:r/>
            <w:r>
              <w:rPr>
                <w:rFonts w:ascii="Aptos" w:hAnsi="Aptos"/>
                <w:b/>
                <w:color w:val="FFFFFF"/>
                <w:sz w:val="18"/>
              </w:rPr>
              <w:t>Score / 5</w:t>
            </w:r>
          </w:p>
        </w:tc>
      </w:tr>
      <w:tr>
        <w:tc>
          <w:tcPr>
            <w:tcW w:type="dxa" w:w="2232"/>
            <w:vAlign w:val="center"/>
          </w:tcPr>
          <w:p>
            <w:pPr>
              <w:spacing w:after="40" w:before="40"/>
            </w:pPr>
            <w:r/>
            <w:r>
              <w:rPr>
                <w:rFonts w:ascii="Aptos" w:hAnsi="Aptos"/>
                <w:b/>
                <w:color w:val="0B1727"/>
                <w:sz w:val="18"/>
              </w:rPr>
              <w:t>Technical fit</w:t>
            </w:r>
          </w:p>
        </w:tc>
        <w:tc>
          <w:tcPr>
            <w:tcW w:type="dxa" w:w="5976"/>
            <w:vAlign w:val="center"/>
          </w:tcPr>
          <w:p>
            <w:pPr>
              <w:spacing w:after="40" w:before="40"/>
            </w:pPr>
            <w:r/>
            <w:r>
              <w:rPr>
                <w:rFonts w:ascii="Aptos" w:hAnsi="Aptos"/>
                <w:b w:val="0"/>
                <w:color w:val="0B1727"/>
                <w:sz w:val="18"/>
              </w:rPr>
              <w:t>Does the configuration suit the required products, raw materials and output?</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Evidence</w:t>
            </w:r>
          </w:p>
        </w:tc>
        <w:tc>
          <w:tcPr>
            <w:tcW w:type="dxa" w:w="5976"/>
            <w:vAlign w:val="center"/>
          </w:tcPr>
          <w:p>
            <w:pPr>
              <w:spacing w:after="40" w:before="40"/>
            </w:pPr>
            <w:r/>
            <w:r>
              <w:rPr>
                <w:rFonts w:ascii="Aptos" w:hAnsi="Aptos"/>
                <w:b w:val="0"/>
                <w:color w:val="0B1727"/>
                <w:sz w:val="18"/>
              </w:rPr>
              <w:t>Which important claims have been verified by documents or relevant operating plants?</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Scope completeness</w:t>
            </w:r>
          </w:p>
        </w:tc>
        <w:tc>
          <w:tcPr>
            <w:tcW w:type="dxa" w:w="5976"/>
            <w:vAlign w:val="center"/>
          </w:tcPr>
          <w:p>
            <w:pPr>
              <w:spacing w:after="40" w:before="40"/>
            </w:pPr>
            <w:r/>
            <w:r>
              <w:rPr>
                <w:rFonts w:ascii="Aptos" w:hAnsi="Aptos"/>
                <w:b w:val="0"/>
                <w:color w:val="0B1727"/>
                <w:sz w:val="18"/>
              </w:rPr>
              <w:t>Are all equipment, services, interfaces and exclusions visible?</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Execution capability</w:t>
            </w:r>
          </w:p>
        </w:tc>
        <w:tc>
          <w:tcPr>
            <w:tcW w:type="dxa" w:w="5976"/>
            <w:vAlign w:val="center"/>
          </w:tcPr>
          <w:p>
            <w:pPr>
              <w:spacing w:after="40" w:before="40"/>
            </w:pPr>
            <w:r/>
            <w:r>
              <w:rPr>
                <w:rFonts w:ascii="Aptos" w:hAnsi="Aptos"/>
                <w:b w:val="0"/>
                <w:color w:val="0B1727"/>
                <w:sz w:val="18"/>
              </w:rPr>
              <w:t>Are design, manufacturing, project and commissioning resources demonstrated?</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Lifecycle responsibility</w:t>
            </w:r>
          </w:p>
        </w:tc>
        <w:tc>
          <w:tcPr>
            <w:tcW w:type="dxa" w:w="5976"/>
            <w:vAlign w:val="center"/>
          </w:tcPr>
          <w:p>
            <w:pPr>
              <w:spacing w:after="40" w:before="40"/>
            </w:pPr>
            <w:r/>
            <w:r>
              <w:rPr>
                <w:rFonts w:ascii="Aptos" w:hAnsi="Aptos"/>
                <w:b w:val="0"/>
                <w:color w:val="0B1727"/>
                <w:sz w:val="18"/>
              </w:rPr>
              <w:t>Are service, spares, training and documentation adequate?</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Contractual clarity</w:t>
            </w:r>
          </w:p>
        </w:tc>
        <w:tc>
          <w:tcPr>
            <w:tcW w:type="dxa" w:w="5976"/>
            <w:vAlign w:val="center"/>
          </w:tcPr>
          <w:p>
            <w:pPr>
              <w:spacing w:after="40" w:before="40"/>
            </w:pPr>
            <w:r/>
            <w:r>
              <w:rPr>
                <w:rFonts w:ascii="Aptos" w:hAnsi="Aptos"/>
                <w:b w:val="0"/>
                <w:color w:val="0B1727"/>
                <w:sz w:val="18"/>
              </w:rPr>
              <w:t>Are performance obligations and acceptance conditions measurable?</w:t>
            </w:r>
          </w:p>
        </w:tc>
        <w:tc>
          <w:tcPr>
            <w:tcW w:type="dxa" w:w="1440"/>
            <w:vAlign w:val="center"/>
          </w:tcPr>
          <w:p>
            <w:pPr>
              <w:spacing w:after="40" w:before="40"/>
            </w:pPr>
            <w:r/>
            <w:r>
              <w:rPr>
                <w:rFonts w:ascii="Aptos" w:hAnsi="Aptos"/>
                <w:b w:val="0"/>
                <w:color w:val="0B1727"/>
                <w:sz w:val="18"/>
              </w:rPr>
            </w:r>
          </w:p>
        </w:tc>
      </w:tr>
      <w:tr>
        <w:tc>
          <w:tcPr>
            <w:tcW w:type="dxa" w:w="2232"/>
            <w:vAlign w:val="center"/>
          </w:tcPr>
          <w:p>
            <w:pPr>
              <w:spacing w:after="40" w:before="40"/>
            </w:pPr>
            <w:r/>
            <w:r>
              <w:rPr>
                <w:rFonts w:ascii="Aptos" w:hAnsi="Aptos"/>
                <w:b/>
                <w:color w:val="0B1727"/>
                <w:sz w:val="18"/>
              </w:rPr>
              <w:t>Future readiness</w:t>
            </w:r>
          </w:p>
        </w:tc>
        <w:tc>
          <w:tcPr>
            <w:tcW w:type="dxa" w:w="5976"/>
            <w:vAlign w:val="center"/>
          </w:tcPr>
          <w:p>
            <w:pPr>
              <w:spacing w:after="40" w:before="40"/>
            </w:pPr>
            <w:r/>
            <w:r>
              <w:rPr>
                <w:rFonts w:ascii="Aptos" w:hAnsi="Aptos"/>
                <w:b w:val="0"/>
                <w:color w:val="0B1727"/>
                <w:sz w:val="18"/>
              </w:rPr>
              <w:t>Can the design support realistic expansion or panel requirements?</w:t>
            </w:r>
          </w:p>
        </w:tc>
        <w:tc>
          <w:tcPr>
            <w:tcW w:type="dxa" w:w="1440"/>
            <w:vAlign w:val="center"/>
          </w:tcPr>
          <w:p>
            <w:pPr>
              <w:spacing w:after="40" w:before="40"/>
            </w:pPr>
            <w:r/>
            <w:r>
              <w:rPr>
                <w:rFonts w:ascii="Aptos" w:hAnsi="Aptos"/>
                <w:b w:val="0"/>
                <w:color w:val="0B1727"/>
                <w:sz w:val="18"/>
              </w:rPr>
            </w:r>
          </w:p>
        </w:tc>
      </w:tr>
    </w:tbl>
    <w:p>
      <w:r>
        <w:t>Do not allow a high total score to hide a critical failure. Unsupported capacity, incomplete safety responsibility, unclear acceptance terms or an essential missing plant section should be treated as a decision gate—not merely a low-scoring item.</w:t>
      </w:r>
    </w:p>
    <w:p>
      <w:pPr>
        <w:pStyle w:val="Heading1"/>
      </w:pPr>
      <w:r>
        <w:t>Common red flags before finalizing</w:t>
      </w:r>
    </w:p>
    <w:p>
      <w:pPr>
        <w:pStyle w:val="ListBullet"/>
        <w:spacing w:after="60"/>
        <w:ind w:left="317" w:hanging="259"/>
      </w:pPr>
      <w:r>
        <w:t>Capacity stated without mould, cycle, operating-hour or saleable-output assumptions.</w:t>
      </w:r>
    </w:p>
    <w:p>
      <w:pPr>
        <w:pStyle w:val="ListBullet"/>
        <w:spacing w:after="60"/>
        <w:ind w:left="317" w:hanging="259"/>
      </w:pPr>
      <w:r>
        <w:t>“Fully automatic” stated without a process-level automation boundary.</w:t>
      </w:r>
    </w:p>
    <w:p>
      <w:pPr>
        <w:pStyle w:val="ListBullet"/>
        <w:spacing w:after="60"/>
        <w:ind w:left="317" w:hanging="259"/>
      </w:pPr>
      <w:r>
        <w:t>Utility or manpower savings stated without a comparable baseline.</w:t>
      </w:r>
    </w:p>
    <w:p>
      <w:pPr>
        <w:pStyle w:val="ListBullet"/>
        <w:spacing w:after="60"/>
        <w:ind w:left="317" w:hanging="259"/>
      </w:pPr>
      <w:r>
        <w:t>Reference projects presented without the supplier’s exact scope.</w:t>
      </w:r>
    </w:p>
    <w:p>
      <w:pPr>
        <w:pStyle w:val="ListBullet"/>
        <w:spacing w:after="60"/>
        <w:ind w:left="317" w:hanging="259"/>
      </w:pPr>
      <w:r>
        <w:t>Important equipment or services described as “buyer scope” without clear interface responsibility.</w:t>
      </w:r>
    </w:p>
    <w:p>
      <w:pPr>
        <w:pStyle w:val="ListBullet"/>
        <w:spacing w:after="60"/>
        <w:ind w:left="317" w:hanging="259"/>
      </w:pPr>
      <w:r>
        <w:t>Commissioning dependent on unnamed or non-contractual resources.</w:t>
      </w:r>
    </w:p>
    <w:p>
      <w:pPr>
        <w:pStyle w:val="ListBullet"/>
        <w:spacing w:after="60"/>
        <w:ind w:left="317" w:hanging="259"/>
      </w:pPr>
      <w:r>
        <w:t>No measurable performance test or acceptance protocol.</w:t>
      </w:r>
    </w:p>
    <w:p>
      <w:pPr>
        <w:pStyle w:val="ListBullet"/>
        <w:spacing w:after="60"/>
        <w:ind w:left="317" w:hanging="259"/>
      </w:pPr>
      <w:r>
        <w:t>Limited access to relevant operating customers or technical personnel.</w:t>
      </w:r>
    </w:p>
    <w:p>
      <w:pPr>
        <w:pStyle w:val="Heading1"/>
      </w:pPr>
      <w:r>
        <w:t>Frequently asked questions</w:t>
      </w:r>
    </w:p>
    <w:p>
      <w:pPr>
        <w:pStyle w:val="Heading2"/>
      </w:pPr>
      <w:r>
        <w:t>Should the lowest-priced AAC plant be rejected?</w:t>
      </w:r>
    </w:p>
    <w:p>
      <w:r>
        <w:t>No. Price should be compared only after scope, assumptions, performance obligations and lifecycle responsibilities are normalized. A lower price may be commercially sound if the proposal remains technically complete and verifiable.</w:t>
      </w:r>
    </w:p>
    <w:p>
      <w:pPr>
        <w:pStyle w:val="Heading2"/>
      </w:pPr>
      <w:r>
        <w:t>Is one running-plant visit sufficient?</w:t>
      </w:r>
    </w:p>
    <w:p>
      <w:r>
        <w:t>A single closely comparable reference can provide useful evidence, but additional references improve confidence where technology, capacity, raw materials, product mix or plant age differ.</w:t>
      </w:r>
    </w:p>
    <w:p>
      <w:pPr>
        <w:pStyle w:val="Heading2"/>
      </w:pPr>
      <w:r>
        <w:t>How can a buyer verify “fully automatic” operation?</w:t>
      </w:r>
    </w:p>
    <w:p>
      <w:r>
        <w:t>Create a process map and record every routine action, manual transfer, operator confirmation, fault-recovery task and quality-data entry. Compare functions rather than labels.</w:t>
      </w:r>
    </w:p>
    <w:p>
      <w:pPr>
        <w:pStyle w:val="Heading2"/>
      </w:pPr>
      <w:r>
        <w:t>What is the most important capacity question?</w:t>
      </w:r>
    </w:p>
    <w:p>
      <w:r>
        <w:t>Ask what assumptions convert mould volume and production cycles into saleable m³/day. Without those assumptions, headline capacities are not directly comparable.</w:t>
      </w:r>
    </w:p>
    <w:p>
      <w:pPr>
        <w:pStyle w:val="Heading2"/>
      </w:pPr>
      <w:r>
        <w:t>Should installation and commissioning remain with the equipment supplier?</w:t>
      </w:r>
    </w:p>
    <w:p>
      <w:r>
        <w:t>Clear accountability is more important than a particular contracting model. Every interface must have a competent, named and contractually responsible party.</w:t>
      </w:r>
    </w:p>
    <w:p>
      <w:pPr>
        <w:pStyle w:val="Heading2"/>
      </w:pPr>
      <w:r>
        <w:t>Which reference plant is most useful?</w:t>
      </w:r>
    </w:p>
    <w:p>
      <w:r>
        <w:t>One that is reasonably close to the proposed technology, capacity, raw-material route, product mix and automation level—and where production records can be reviewed.</w:t>
      </w:r>
    </w:p>
    <w:p>
      <w:pPr>
        <w:pStyle w:val="Heading2"/>
      </w:pPr>
      <w:r>
        <w:t>How should consultants be used?</w:t>
      </w:r>
    </w:p>
    <w:p>
      <w:r>
        <w:t>Consultants can add value in feasibility, specification and independent review. Material recommendations should still be supported by calculations, relevant experience and verifiable evidence.</w:t>
      </w:r>
    </w:p>
    <w:p>
      <w:pPr>
        <w:pStyle w:val="Heading2"/>
      </w:pPr>
      <w:r>
        <w:t>Which Indian product standard should be checked?</w:t>
      </w:r>
    </w:p>
    <w:p>
      <w:r>
        <w:t>For AAC blocks, confirm the current applicability and requirements of IS 2185 (Part 3) with the Bureau of Indian Standards and the project’s quality team. Panel and other product requirements must be checked separately.</w:t>
      </w:r>
    </w:p>
    <w:p>
      <w:pPr>
        <w:pStyle w:val="Heading1"/>
      </w:pPr>
      <w:r>
        <w:t>Make the final decision on evidence—not presentation quality</w:t>
      </w:r>
    </w:p>
    <w:p>
      <w:r>
        <w:t>A few structured verification steps before signing the purchase order can expose scope gaps, unsupported assumptions and unclear responsibilities while they are still negotiable. The strongest supplier is not necessarily the one with the longest proposal or the lowest price. It is the one whose solution fits the project, whose important claims can be verified and whose responsibilities are clearly documented.</w:t>
      </w:r>
    </w:p>
    <w:tbl>
      <w:tblPr>
        <w:tblW w:type="auto" w:w="0"/>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648"/>
      </w:tblGrid>
      <w:tr>
        <w:tc>
          <w:tcPr>
            <w:tcW w:type="dxa" w:w="9878"/>
            <w:shd w:fill="EEF2F5"/>
            <w:vAlign w:val="center"/>
          </w:tcPr>
          <w:p>
            <w:pPr>
              <w:spacing w:after="140" w:before="140"/>
            </w:pPr>
            <w:r/>
            <w:r>
              <w:rPr>
                <w:rFonts w:ascii="Aptos" w:hAnsi="Aptos"/>
                <w:b w:val="0"/>
                <w:color w:val="0B1727"/>
                <w:sz w:val="18"/>
              </w:rPr>
            </w:r>
            <w:r>
              <w:rPr>
                <w:b/>
                <w:color w:val="0C4F80"/>
                <w:sz w:val="20"/>
              </w:rPr>
              <w:t xml:space="preserve">PRIMARY NEXT STEP  </w:t>
            </w:r>
            <w:r>
              <w:rPr>
                <w:color w:val="0B1727"/>
                <w:sz w:val="20"/>
              </w:rPr>
              <w:t>Request a structured scope and technical proposal review. Share your proposed capacity, product mix and supplier scope sheets so that technical assumptions, deviations and questions requiring clarification can be identified before finalization.</w:t>
            </w:r>
          </w:p>
        </w:tc>
      </w:tr>
    </w:tbl>
    <w:p>
      <w:pPr>
        <w:spacing w:before="180" w:after="80"/>
        <w:jc w:val="center"/>
      </w:pPr>
      <w:r>
        <w:rPr>
          <w:b/>
          <w:color w:val="0C4F80"/>
        </w:rPr>
        <w:t>Lower-commitment option: Download the AAC Plant Supplier Comparison Checklist</w:t>
      </w:r>
    </w:p>
    <w:p>
      <w:pPr>
        <w:pStyle w:val="Heading1"/>
      </w:pPr>
      <w:r>
        <w:t>Publication notes for the website team</w:t>
      </w:r>
    </w:p>
    <w:tbl>
      <w:tblPr>
        <w:tblW w:type="auto" w:w="0"/>
        <w:tblLayout w:type="fixed"/>
        <w:tblLook w:firstColumn="1" w:firstRow="1" w:lastColumn="0" w:lastRow="0" w:noHBand="0" w:noVBand="1" w:val="04A0"/>
        <w:tblBorders>
          <w:top w:val="single" w:sz="6" w:color="D7E0E7"/>
          <w:left w:val="single" w:sz="6" w:color="D7E0E7"/>
          <w:bottom w:val="single" w:sz="6" w:color="D7E0E7"/>
          <w:right w:val="single" w:sz="6" w:color="D7E0E7"/>
          <w:insideH w:val="single" w:sz="6" w:color="D7E0E7"/>
          <w:insideV w:val="single" w:sz="6" w:color="D7E0E7"/>
        </w:tblBorders>
      </w:tblPr>
      <w:tblGrid>
        <w:gridCol w:w="2232"/>
        <w:gridCol w:w="7416"/>
      </w:tblGrid>
      <w:tr>
        <w:tc>
          <w:tcPr>
            <w:tcW w:type="dxa" w:w="2232"/>
            <w:vAlign w:val="center"/>
            <w:shd w:fill="F5F7F8"/>
          </w:tcPr>
          <w:p>
            <w:pPr>
              <w:spacing w:after="40" w:before="40"/>
            </w:pPr>
            <w:r/>
            <w:r>
              <w:rPr>
                <w:rFonts w:ascii="Aptos" w:hAnsi="Aptos"/>
                <w:b/>
                <w:color w:val="0B1727"/>
                <w:sz w:val="18"/>
              </w:rPr>
              <w:t>SEO title</w:t>
            </w:r>
          </w:p>
        </w:tc>
        <w:tc>
          <w:tcPr>
            <w:tcW w:type="dxa" w:w="7416"/>
            <w:vAlign w:val="center"/>
          </w:tcPr>
          <w:p>
            <w:pPr>
              <w:spacing w:after="40" w:before="40"/>
            </w:pPr>
            <w:r/>
            <w:r>
              <w:rPr>
                <w:rFonts w:ascii="Aptos" w:hAnsi="Aptos"/>
                <w:b w:val="0"/>
                <w:color w:val="0B1727"/>
                <w:sz w:val="18"/>
              </w:rPr>
              <w:t>How to Choose an AAC Plant Manufacturer in India</w:t>
            </w:r>
          </w:p>
        </w:tc>
      </w:tr>
      <w:tr>
        <w:tc>
          <w:tcPr>
            <w:tcW w:type="dxa" w:w="2232"/>
            <w:vAlign w:val="center"/>
            <w:shd w:fill="F5F7F8"/>
          </w:tcPr>
          <w:p>
            <w:pPr>
              <w:spacing w:after="40" w:before="40"/>
            </w:pPr>
            <w:r/>
            <w:r>
              <w:rPr>
                <w:rFonts w:ascii="Aptos" w:hAnsi="Aptos"/>
                <w:b/>
                <w:color w:val="0B1727"/>
                <w:sz w:val="18"/>
              </w:rPr>
              <w:t>Meta description</w:t>
            </w:r>
          </w:p>
        </w:tc>
        <w:tc>
          <w:tcPr>
            <w:tcW w:type="dxa" w:w="7416"/>
            <w:vAlign w:val="center"/>
          </w:tcPr>
          <w:p>
            <w:pPr>
              <w:spacing w:after="40" w:before="40"/>
            </w:pPr>
            <w:r/>
            <w:r>
              <w:rPr>
                <w:rFonts w:ascii="Aptos" w:hAnsi="Aptos"/>
                <w:b w:val="0"/>
                <w:color w:val="0B1727"/>
                <w:sz w:val="18"/>
              </w:rPr>
              <w:t>Compare AAC plant suppliers by scope, capacity, utilities, automation, running-plant evidence, commissioning support and lifecycle cost.</w:t>
            </w:r>
          </w:p>
        </w:tc>
      </w:tr>
      <w:tr>
        <w:tc>
          <w:tcPr>
            <w:tcW w:type="dxa" w:w="2232"/>
            <w:vAlign w:val="center"/>
            <w:shd w:fill="F5F7F8"/>
          </w:tcPr>
          <w:p>
            <w:pPr>
              <w:spacing w:after="40" w:before="40"/>
            </w:pPr>
            <w:r/>
            <w:r>
              <w:rPr>
                <w:rFonts w:ascii="Aptos" w:hAnsi="Aptos"/>
                <w:b/>
                <w:color w:val="0B1727"/>
                <w:sz w:val="18"/>
              </w:rPr>
              <w:t>Suggested URL</w:t>
            </w:r>
          </w:p>
        </w:tc>
        <w:tc>
          <w:tcPr>
            <w:tcW w:type="dxa" w:w="7416"/>
            <w:vAlign w:val="center"/>
          </w:tcPr>
          <w:p>
            <w:pPr>
              <w:spacing w:after="40" w:before="40"/>
            </w:pPr>
            <w:r/>
            <w:r>
              <w:rPr>
                <w:rFonts w:ascii="Aptos" w:hAnsi="Aptos"/>
                <w:b w:val="0"/>
                <w:color w:val="0B1727"/>
                <w:sz w:val="18"/>
              </w:rPr>
              <w:t>/how-to-choose-aac-plant-manufacturer/</w:t>
            </w:r>
          </w:p>
        </w:tc>
      </w:tr>
      <w:tr>
        <w:tc>
          <w:tcPr>
            <w:tcW w:type="dxa" w:w="2232"/>
            <w:vAlign w:val="center"/>
            <w:shd w:fill="F5F7F8"/>
          </w:tcPr>
          <w:p>
            <w:pPr>
              <w:spacing w:after="40" w:before="40"/>
            </w:pPr>
            <w:r/>
            <w:r>
              <w:rPr>
                <w:rFonts w:ascii="Aptos" w:hAnsi="Aptos"/>
                <w:b/>
                <w:color w:val="0B1727"/>
                <w:sz w:val="18"/>
              </w:rPr>
              <w:t>Breadcrumb</w:t>
            </w:r>
          </w:p>
        </w:tc>
        <w:tc>
          <w:tcPr>
            <w:tcW w:type="dxa" w:w="7416"/>
            <w:vAlign w:val="center"/>
          </w:tcPr>
          <w:p>
            <w:pPr>
              <w:spacing w:after="40" w:before="40"/>
            </w:pPr>
            <w:r/>
            <w:r>
              <w:rPr>
                <w:rFonts w:ascii="Aptos" w:hAnsi="Aptos"/>
                <w:b w:val="0"/>
                <w:color w:val="0B1727"/>
                <w:sz w:val="18"/>
              </w:rPr>
              <w:t>Home &gt; AAC Investor Academy &gt; Supplier Selection &gt; Compare AAC Plant Suppliers</w:t>
            </w:r>
          </w:p>
        </w:tc>
      </w:tr>
      <w:tr>
        <w:tc>
          <w:tcPr>
            <w:tcW w:type="dxa" w:w="2232"/>
            <w:vAlign w:val="center"/>
            <w:shd w:fill="F5F7F8"/>
          </w:tcPr>
          <w:p>
            <w:pPr>
              <w:spacing w:after="40" w:before="40"/>
            </w:pPr>
            <w:r/>
            <w:r>
              <w:rPr>
                <w:rFonts w:ascii="Aptos" w:hAnsi="Aptos"/>
                <w:b/>
                <w:color w:val="0B1727"/>
                <w:sz w:val="18"/>
              </w:rPr>
              <w:t>Primary CTA</w:t>
            </w:r>
          </w:p>
        </w:tc>
        <w:tc>
          <w:tcPr>
            <w:tcW w:type="dxa" w:w="7416"/>
            <w:vAlign w:val="center"/>
          </w:tcPr>
          <w:p>
            <w:pPr>
              <w:spacing w:after="40" w:before="40"/>
            </w:pPr>
            <w:r/>
            <w:r>
              <w:rPr>
                <w:rFonts w:ascii="Aptos" w:hAnsi="Aptos"/>
                <w:b w:val="0"/>
                <w:color w:val="0B1727"/>
                <w:sz w:val="18"/>
              </w:rPr>
              <w:t>Request a Scope and Technical Proposal Review</w:t>
            </w:r>
          </w:p>
        </w:tc>
      </w:tr>
      <w:tr>
        <w:tc>
          <w:tcPr>
            <w:tcW w:type="dxa" w:w="2232"/>
            <w:vAlign w:val="center"/>
            <w:shd w:fill="F5F7F8"/>
          </w:tcPr>
          <w:p>
            <w:pPr>
              <w:spacing w:after="40" w:before="40"/>
            </w:pPr>
            <w:r/>
            <w:r>
              <w:rPr>
                <w:rFonts w:ascii="Aptos" w:hAnsi="Aptos"/>
                <w:b/>
                <w:color w:val="0B1727"/>
                <w:sz w:val="18"/>
              </w:rPr>
              <w:t>Secondary CTA</w:t>
            </w:r>
          </w:p>
        </w:tc>
        <w:tc>
          <w:tcPr>
            <w:tcW w:type="dxa" w:w="7416"/>
            <w:vAlign w:val="center"/>
          </w:tcPr>
          <w:p>
            <w:pPr>
              <w:spacing w:after="40" w:before="40"/>
            </w:pPr>
            <w:r/>
            <w:r>
              <w:rPr>
                <w:rFonts w:ascii="Aptos" w:hAnsi="Aptos"/>
                <w:b w:val="0"/>
                <w:color w:val="0B1727"/>
                <w:sz w:val="18"/>
              </w:rPr>
              <w:t>Download the AAC Plant Supplier Comparison Checklist</w:t>
            </w:r>
          </w:p>
        </w:tc>
      </w:tr>
    </w:tbl>
    <w:p>
      <w:pPr>
        <w:pStyle w:val="Heading2"/>
      </w:pPr>
      <w:r>
        <w:t>Editorial verification before publishing</w:t>
      </w:r>
    </w:p>
    <w:p>
      <w:pPr>
        <w:pStyle w:val="ListBullet"/>
        <w:spacing w:after="60"/>
        <w:ind w:left="317" w:hanging="259"/>
      </w:pPr>
      <w:r>
        <w:t>Insert the named author, technical reviewer, publication date and last-updated date.</w:t>
      </w:r>
    </w:p>
    <w:p>
      <w:pPr>
        <w:pStyle w:val="ListBullet"/>
        <w:spacing w:after="60"/>
        <w:ind w:left="317" w:hanging="259"/>
      </w:pPr>
      <w:r>
        <w:t>Confirm that Laxmi En-Fab formally provides the proposed technical proposal review service.</w:t>
      </w:r>
    </w:p>
    <w:p>
      <w:pPr>
        <w:pStyle w:val="ListBullet"/>
        <w:spacing w:after="60"/>
        <w:ind w:left="317" w:hanging="259"/>
      </w:pPr>
      <w:r>
        <w:t>Add only verified workshop photographs and reference projects with permission and exact scope.</w:t>
      </w:r>
    </w:p>
    <w:p>
      <w:pPr>
        <w:pStyle w:val="ListBullet"/>
        <w:spacing w:after="60"/>
        <w:ind w:left="317" w:hanging="259"/>
      </w:pPr>
      <w:r>
        <w:t>Link “IS 2185 (Part 3)” to the current Bureau of Indian Standards record and recheck its status on publication day.</w:t>
      </w:r>
    </w:p>
    <w:p>
      <w:pPr>
        <w:pStyle w:val="ListBullet"/>
        <w:spacing w:after="60"/>
        <w:ind w:left="317" w:hanging="259"/>
      </w:pPr>
      <w:r>
        <w:t>Add internal links to capacity, automation, utility, layout, manpower, project cost and commissioning pages when available.</w:t>
      </w:r>
    </w:p>
    <w:p>
      <w:r>
        <w:t>Authoritative reference: Bureau of Indian Standards, IS 2185 (Part 3), Concrete Masonry Units—Autoclaved Cellular Aerated Concrete Blocks. Confirm current edition/review status and applicability before publication.</w:t>
      </w:r>
    </w:p>
    <w:sectPr w:rsidR="00FC693F" w:rsidRPr="0006063C" w:rsidSect="00034616">
      <w:headerReference w:type="default" r:id="rId9"/>
      <w:footerReference w:type="default" r:id="rId10"/>
      <w:pgSz w:w="12240" w:h="15840"/>
      <w:pgMar w:top="1123" w:right="1181" w:bottom="1037"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273"/>
        <w:sz w:val="16"/>
      </w:rPr>
      <w:t>Engineering-led guidance for informed AAC plant investment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0C4F80"/>
        <w:sz w:val="16"/>
      </w:rPr>
      <w:t>LAXMI EN-FAB PVT. LTD.  /  AAC INVESTOR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0B1727"/>
      <w:sz w:val="4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C4F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