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C4F80"/>
          <w:sz w:val="18"/>
        </w:rPr>
        <w:t>PUBLICATION-READY WEBPAGE COPY</w:t>
      </w:r>
    </w:p>
    <w:p>
      <w:pPr>
        <w:spacing w:after="100"/>
      </w:pPr>
      <w:r>
        <w:rPr>
          <w:rFonts w:ascii="Arial" w:hAnsi="Arial"/>
          <w:b/>
          <w:color w:val="0B1727"/>
          <w:sz w:val="54"/>
        </w:rPr>
        <w:t>AAC Plant Automation Upgrade</w:t>
      </w:r>
    </w:p>
    <w:p>
      <w:pPr>
        <w:spacing w:after="280"/>
      </w:pPr>
      <w:r>
        <w:rPr>
          <w:rFonts w:ascii="Arial" w:hAnsi="Arial"/>
          <w:color w:val="104F7D"/>
          <w:sz w:val="25"/>
        </w:rPr>
        <w:t>Audit the bottleneck. Automate the right process. Improve measurable plant performance.</w:t>
      </w:r>
    </w:p>
    <w:p>
      <w:pPr>
        <w:spacing w:after="60"/>
      </w:pPr>
      <w:r>
        <w:rPr>
          <w:b/>
          <w:color w:val="0C4F80"/>
        </w:rPr>
        <w:t xml:space="preserve">SEO title: </w:t>
      </w:r>
      <w:r>
        <w:t>AAC Plant Automation Upgrade &amp; Retrofit | Laxmi</w:t>
      </w:r>
    </w:p>
    <w:p>
      <w:pPr>
        <w:spacing w:after="60"/>
      </w:pPr>
      <w:r>
        <w:rPr>
          <w:b/>
          <w:color w:val="0C4F80"/>
        </w:rPr>
        <w:t xml:space="preserve">Meta description: </w:t>
      </w:r>
      <w:r>
        <w:t>Upgrade an existing AAC plant after a technical audit. Compare selective, hybrid and full automation, retrofit scope, risks, downtime and payback factors.</w:t>
      </w:r>
    </w:p>
    <w:p>
      <w:pPr>
        <w:spacing w:after="60"/>
      </w:pPr>
      <w:r>
        <w:rPr>
          <w:b/>
          <w:color w:val="0C4F80"/>
        </w:rPr>
        <w:t xml:space="preserve">URL: </w:t>
      </w:r>
      <w:r>
        <w:t>/aac-plant-automation-upgrade/</w:t>
      </w:r>
    </w:p>
    <w:p>
      <w:pPr>
        <w:spacing w:after="60"/>
      </w:pPr>
      <w:r>
        <w:rPr>
          <w:b/>
          <w:color w:val="0C4F80"/>
        </w:rPr>
        <w:t xml:space="preserve">Primary keyword: </w:t>
      </w:r>
      <w:r>
        <w:t>AAC plant automation upgrade</w:t>
      </w:r>
    </w:p>
    <w:p>
      <w:pPr>
        <w:spacing w:after="40"/>
      </w:pPr>
    </w:p>
    <w:p>
      <w:pPr>
        <w:pStyle w:val="Heading1"/>
      </w:pPr>
      <w:r>
        <w:t>AAC Plant Automation Upgrade for Existing Plants</w:t>
      </w:r>
    </w:p>
    <w:p>
      <w:r>
        <w:rPr>
          <w:b/>
        </w:rPr>
        <w:t xml:space="preserve">An AAC plant automation upgrade </w:t>
      </w:r>
      <w:r>
        <w:t>modernises selected mechanical, electrical and control operations in an existing production line. The right scope may be selective, hybrid or full-line automation. It should be chosen only after measuring the plant’s bottlenecks, equipment condition, layout constraints, operating losses, shutdown limits and commercial objective.</w:t>
      </w:r>
    </w:p>
    <w:tbl>
      <w:tblPr>
        <w:tblW w:type="auto" w:w="0"/>
        <w:tblLayout w:type="fixed"/>
        <w:tblLook w:firstColumn="1" w:firstRow="1" w:lastColumn="0" w:lastRow="0" w:noHBand="0" w:noVBand="1" w:val="04A0"/>
      </w:tblPr>
      <w:tblGrid>
        <w:gridCol w:w="9677"/>
      </w:tblGrid>
      <w:tr>
        <w:trPr>
          <w:cantSplit/>
        </w:trPr>
        <w:tc>
          <w:tcPr>
            <w:tcW w:type="dxa" w:w="9878"/>
            <w:shd w:fill="EEF2F5"/>
            <w:tcMar>
              <w:top w:w="160" w:type="dxa"/>
              <w:start w:w="180" w:type="dxa"/>
              <w:bottom w:w="160" w:type="dxa"/>
              <w:end w:w="180" w:type="dxa"/>
            </w:tcMar>
          </w:tcPr>
          <w:p>
            <w:pPr>
              <w:spacing w:after="60"/>
            </w:pPr>
            <w:r/>
            <w:r>
              <w:rPr>
                <w:rFonts w:ascii="Arial" w:hAnsi="Arial"/>
                <w:b/>
                <w:color w:val="0C4F80"/>
                <w:sz w:val="22"/>
              </w:rPr>
              <w:t>Automation is not the objective. Better plant performance is.</w:t>
            </w:r>
          </w:p>
          <w:p>
            <w:pPr>
              <w:spacing w:after="0" w:line="269" w:lineRule="auto"/>
            </w:pPr>
            <w:r>
              <w:rPr>
                <w:rFonts w:ascii="Arial" w:hAnsi="Arial"/>
                <w:color w:val="0B1727"/>
                <w:sz w:val="20"/>
              </w:rPr>
              <w:t>A plant should not be converted to higher automation simply to use fewer operators. The real objective is to improve production coordination, consistency, safety, traceability and saleable output while maintaining a practical balance between labour availability, technical skill, maintenance complexity and investment.</w:t>
            </w:r>
          </w:p>
        </w:tc>
      </w:tr>
    </w:tbl>
    <w:p>
      <w:pPr>
        <w:spacing w:after="0"/>
      </w:pPr>
    </w:p>
    <w:p>
      <w:pPr>
        <w:pStyle w:val="Heading2"/>
      </w:pPr>
      <w:r>
        <w:t>When Should an Existing AAC Plant Be Upgraded?</w:t>
      </w:r>
    </w:p>
    <w:p>
      <w:r>
        <w:t>An upgrade may be worth evaluating when the plant regularly experiences one or more of the following:</w:t>
      </w:r>
    </w:p>
    <w:p>
      <w:pPr>
        <w:pStyle w:val="ListBullet"/>
      </w:pPr>
      <w:r>
        <w:t>Manual handling delays or dependence on a few experienced operators</w:t>
      </w:r>
    </w:p>
    <w:p>
      <w:pPr>
        <w:pStyle w:val="ListBullet"/>
      </w:pPr>
      <w:r>
        <w:t>Inconsistent batching, pouring or mould-cycle timing</w:t>
      </w:r>
    </w:p>
    <w:p>
      <w:pPr>
        <w:pStyle w:val="ListBullet"/>
      </w:pPr>
      <w:r>
        <w:t>Frequent waiting between machines or production sections</w:t>
      </w:r>
    </w:p>
    <w:p>
      <w:pPr>
        <w:pStyle w:val="ListBullet"/>
      </w:pPr>
      <w:r>
        <w:t>A mismatch between installed equipment capacity and actual saleable production</w:t>
      </w:r>
    </w:p>
    <w:p>
      <w:pPr>
        <w:pStyle w:val="ListBullet"/>
      </w:pPr>
      <w:r>
        <w:t>Repeated handling damage, dimensional variation or avoidable rejection</w:t>
      </w:r>
    </w:p>
    <w:p>
      <w:pPr>
        <w:pStyle w:val="ListBullet"/>
      </w:pPr>
      <w:r>
        <w:t>Limited production records, alarm history or process traceability</w:t>
      </w:r>
    </w:p>
    <w:p>
      <w:pPr>
        <w:pStyle w:val="ListBullet"/>
      </w:pPr>
      <w:r>
        <w:t>Obsolete controls, difficult-to-source components or unreliable electrical systems</w:t>
      </w:r>
    </w:p>
    <w:p>
      <w:pPr>
        <w:pStyle w:val="ListBullet"/>
      </w:pPr>
      <w:r>
        <w:t>A planned capacity increase that may be possible without building a completely new line</w:t>
      </w:r>
    </w:p>
    <w:p>
      <w:r>
        <w:t>These symptoms do not prove that full automation is required. Some problems are better solved through maintenance, process correction, equipment replacement, layout improvement or targeted debottlenecking.</w:t>
      </w:r>
    </w:p>
    <w:p>
      <w:pPr>
        <w:pStyle w:val="Heading2"/>
      </w:pPr>
      <w:r>
        <w:t>Audit the Bottleneck Before Selecting Automation</w:t>
      </w:r>
    </w:p>
    <w:p>
      <w:r>
        <w:t>A sound automation proposal begins with evidence from the running plant—not with a standard machinery list. The assessment should establish:</w:t>
      </w:r>
    </w:p>
    <w:p>
      <w:pPr>
        <w:pStyle w:val="ListBullet"/>
      </w:pPr>
      <w:r>
        <w:t>Current average and peak saleable production in m³/day</w:t>
      </w:r>
    </w:p>
    <w:p>
      <w:pPr>
        <w:pStyle w:val="ListBullet"/>
      </w:pPr>
      <w:r>
        <w:t>Batch size, cycle time and waiting time at each production stage</w:t>
      </w:r>
    </w:p>
    <w:p>
      <w:pPr>
        <w:pStyle w:val="ListBullet"/>
      </w:pPr>
      <w:r>
        <w:t>Downtime causes, rejection categories and handling losses</w:t>
      </w:r>
    </w:p>
    <w:p>
      <w:pPr>
        <w:pStyle w:val="ListBullet"/>
      </w:pPr>
      <w:r>
        <w:t>Condition and remaining serviceability of existing machinery</w:t>
      </w:r>
    </w:p>
    <w:p>
      <w:pPr>
        <w:pStyle w:val="ListBullet"/>
      </w:pPr>
      <w:r>
        <w:t>Plant layout, movement paths and space for additional equipment</w:t>
      </w:r>
    </w:p>
    <w:p>
      <w:pPr>
        <w:pStyle w:val="ListBullet"/>
      </w:pPr>
      <w:r>
        <w:t>Existing PLC, MCC, drives, sensors, instrumentation and communication compatibility</w:t>
      </w:r>
    </w:p>
    <w:p>
      <w:pPr>
        <w:pStyle w:val="ListBullet"/>
      </w:pPr>
      <w:r>
        <w:t>Available electrical load, compressed air, water and steam-system limitations</w:t>
      </w:r>
    </w:p>
    <w:p>
      <w:pPr>
        <w:pStyle w:val="ListBullet"/>
      </w:pPr>
      <w:r>
        <w:t>Required product mix, target output and permitted installation shutdown</w:t>
      </w:r>
    </w:p>
    <w:p>
      <w:r>
        <w:t>Only after these inputs are reviewed can the upgrade be divided into equipment that can be retained, equipment that must be modified, new equipment required and interfaces that carry integration risk.</w:t>
      </w:r>
    </w:p>
    <w:p>
      <w:pPr>
        <w:pStyle w:val="Heading2"/>
      </w:pPr>
      <w:r>
        <w:t>Which AAC Plant Sections Can Be Automated?</w:t>
      </w:r>
    </w:p>
    <w:tbl>
      <w:tblPr>
        <w:tblStyle w:val="TableGrid"/>
        <w:tblW w:type="auto" w:w="0"/>
        <w:jc w:val="left"/>
        <w:tblLayout w:type="fixed"/>
        <w:tblLook w:firstColumn="1" w:firstRow="1" w:lastColumn="0" w:lastRow="0" w:noHBand="0" w:noVBand="1" w:val="04A0"/>
      </w:tblPr>
      <w:tblGrid>
        <w:gridCol w:w="2088"/>
        <w:gridCol w:w="4536"/>
        <w:gridCol w:w="3053"/>
      </w:tblGrid>
      <w:tr>
        <w:trPr>
          <w:tblHeader w:val="true"/>
          <w:cantSplit/>
        </w:trPr>
        <w:tc>
          <w:tcPr>
            <w:tcW w:type="dxa" w:w="2088"/>
            <w:vAlign w:val="center"/>
            <w:tcMar>
              <w:top w:w="100" w:type="dxa"/>
              <w:start w:w="120" w:type="dxa"/>
              <w:bottom w:w="100" w:type="dxa"/>
              <w:end w:w="120" w:type="dxa"/>
            </w:tcMar>
            <w:shd w:fill="0C4F80"/>
          </w:tcPr>
          <w:p>
            <w:pPr>
              <w:spacing w:after="0" w:line="259" w:lineRule="auto"/>
            </w:pPr>
            <w:r/>
            <w:r>
              <w:rPr>
                <w:rFonts w:ascii="Arial" w:hAnsi="Arial"/>
                <w:b/>
                <w:color w:val="FFFFFF"/>
                <w:sz w:val="18"/>
              </w:rPr>
              <w:t>Production area</w:t>
            </w:r>
          </w:p>
        </w:tc>
        <w:tc>
          <w:tcPr>
            <w:tcW w:type="dxa" w:w="4536"/>
            <w:vAlign w:val="center"/>
            <w:tcMar>
              <w:top w:w="100" w:type="dxa"/>
              <w:start w:w="120" w:type="dxa"/>
              <w:bottom w:w="100" w:type="dxa"/>
              <w:end w:w="120" w:type="dxa"/>
            </w:tcMar>
            <w:shd w:fill="0C4F80"/>
          </w:tcPr>
          <w:p>
            <w:pPr>
              <w:spacing w:after="0" w:line="259" w:lineRule="auto"/>
            </w:pPr>
            <w:r/>
            <w:r>
              <w:rPr>
                <w:rFonts w:ascii="Arial" w:hAnsi="Arial"/>
                <w:b/>
                <w:color w:val="FFFFFF"/>
                <w:sz w:val="18"/>
              </w:rPr>
              <w:t>Possible upgrade scope</w:t>
            </w:r>
          </w:p>
        </w:tc>
        <w:tc>
          <w:tcPr>
            <w:tcW w:type="dxa" w:w="3053"/>
            <w:vAlign w:val="center"/>
            <w:tcMar>
              <w:top w:w="100" w:type="dxa"/>
              <w:start w:w="120" w:type="dxa"/>
              <w:bottom w:w="100" w:type="dxa"/>
              <w:end w:w="120" w:type="dxa"/>
            </w:tcMar>
            <w:shd w:fill="0C4F80"/>
          </w:tcPr>
          <w:p>
            <w:pPr>
              <w:spacing w:after="0" w:line="259" w:lineRule="auto"/>
            </w:pPr>
            <w:r/>
            <w:r>
              <w:rPr>
                <w:rFonts w:ascii="Arial" w:hAnsi="Arial"/>
                <w:b/>
                <w:color w:val="FFFFFF"/>
                <w:sz w:val="18"/>
              </w:rPr>
              <w:t>Performance focus</w:t>
            </w:r>
          </w:p>
        </w:tc>
      </w:tr>
      <w:tr>
        <w:trPr>
          <w:cantSplit/>
        </w:trPr>
        <w:tc>
          <w:tcPr>
            <w:tcW w:type="dxa" w:w="2088"/>
            <w:vAlign w:val="center"/>
            <w:tcMar>
              <w:top w:w="100" w:type="dxa"/>
              <w:start w:w="120" w:type="dxa"/>
              <w:bottom w:w="100" w:type="dxa"/>
              <w:end w:w="120" w:type="dxa"/>
            </w:tcMar>
          </w:tcPr>
          <w:p>
            <w:pPr>
              <w:spacing w:after="0" w:line="259" w:lineRule="auto"/>
            </w:pPr>
            <w:r/>
            <w:r>
              <w:rPr>
                <w:rFonts w:ascii="Arial" w:hAnsi="Arial"/>
                <w:b/>
                <w:color w:val="0B1727"/>
                <w:sz w:val="17"/>
              </w:rPr>
              <w:t>Raw materials &amp; batching</w:t>
            </w:r>
          </w:p>
        </w:tc>
        <w:tc>
          <w:tcPr>
            <w:tcW w:type="dxa" w:w="4536"/>
            <w:vAlign w:val="center"/>
            <w:tcMar>
              <w:top w:w="100" w:type="dxa"/>
              <w:start w:w="120" w:type="dxa"/>
              <w:bottom w:w="100" w:type="dxa"/>
              <w:end w:w="120" w:type="dxa"/>
            </w:tcMar>
          </w:tcPr>
          <w:p>
            <w:pPr>
              <w:spacing w:after="0" w:line="259" w:lineRule="auto"/>
            </w:pPr>
            <w:r/>
            <w:r>
              <w:rPr>
                <w:rFonts w:ascii="Arial" w:hAnsi="Arial"/>
                <w:b w:val="0"/>
                <w:color w:val="0B1727"/>
                <w:sz w:val="17"/>
              </w:rPr>
              <w:t>Automated weighing, recipe control, dosing interlocks, slurry-density monitoring and batch records</w:t>
            </w:r>
          </w:p>
        </w:tc>
        <w:tc>
          <w:tcPr>
            <w:tcW w:type="dxa" w:w="3053"/>
            <w:vAlign w:val="center"/>
            <w:tcMar>
              <w:top w:w="100" w:type="dxa"/>
              <w:start w:w="120" w:type="dxa"/>
              <w:bottom w:w="100" w:type="dxa"/>
              <w:end w:w="120" w:type="dxa"/>
            </w:tcMar>
          </w:tcPr>
          <w:p>
            <w:pPr>
              <w:spacing w:after="0" w:line="259" w:lineRule="auto"/>
            </w:pPr>
            <w:r/>
            <w:r>
              <w:rPr>
                <w:rFonts w:ascii="Arial" w:hAnsi="Arial"/>
                <w:b w:val="0"/>
                <w:color w:val="0B1727"/>
                <w:sz w:val="17"/>
              </w:rPr>
              <w:t>Repeatability, dosing control and traceability</w:t>
            </w:r>
          </w:p>
        </w:tc>
      </w:tr>
      <w:tr>
        <w:trPr>
          <w:cantSplit/>
        </w:trPr>
        <w:tc>
          <w:tcPr>
            <w:tcW w:type="dxa" w:w="2088"/>
            <w:vAlign w:val="center"/>
            <w:tcMar>
              <w:top w:w="100" w:type="dxa"/>
              <w:start w:w="120" w:type="dxa"/>
              <w:bottom w:w="100" w:type="dxa"/>
              <w:end w:w="120" w:type="dxa"/>
            </w:tcMar>
            <w:shd w:fill="F5F7F8"/>
          </w:tcPr>
          <w:p>
            <w:pPr>
              <w:spacing w:after="0" w:line="259" w:lineRule="auto"/>
            </w:pPr>
            <w:r/>
            <w:r>
              <w:rPr>
                <w:rFonts w:ascii="Arial" w:hAnsi="Arial"/>
                <w:b/>
                <w:color w:val="0B1727"/>
                <w:sz w:val="17"/>
              </w:rPr>
              <w:t>Mould handling &amp; pre-curing</w:t>
            </w:r>
          </w:p>
        </w:tc>
        <w:tc>
          <w:tcPr>
            <w:tcW w:type="dxa" w:w="4536"/>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Mould movement, transfer coordination, timers, permissives and status monitoring</w:t>
            </w:r>
          </w:p>
        </w:tc>
        <w:tc>
          <w:tcPr>
            <w:tcW w:type="dxa" w:w="3053"/>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Cycle coordination and reduced waiting</w:t>
            </w:r>
          </w:p>
        </w:tc>
      </w:tr>
      <w:tr>
        <w:trPr>
          <w:cantSplit/>
        </w:trPr>
        <w:tc>
          <w:tcPr>
            <w:tcW w:type="dxa" w:w="2088"/>
            <w:vAlign w:val="center"/>
            <w:tcMar>
              <w:top w:w="100" w:type="dxa"/>
              <w:start w:w="120" w:type="dxa"/>
              <w:bottom w:w="100" w:type="dxa"/>
              <w:end w:w="120" w:type="dxa"/>
            </w:tcMar>
          </w:tcPr>
          <w:p>
            <w:pPr>
              <w:spacing w:after="0" w:line="259" w:lineRule="auto"/>
            </w:pPr>
            <w:r/>
            <w:r>
              <w:rPr>
                <w:rFonts w:ascii="Arial" w:hAnsi="Arial"/>
                <w:b/>
                <w:color w:val="0B1727"/>
                <w:sz w:val="17"/>
              </w:rPr>
              <w:t>Cutting section</w:t>
            </w:r>
          </w:p>
        </w:tc>
        <w:tc>
          <w:tcPr>
            <w:tcW w:type="dxa" w:w="4536"/>
            <w:vAlign w:val="center"/>
            <w:tcMar>
              <w:top w:w="100" w:type="dxa"/>
              <w:start w:w="120" w:type="dxa"/>
              <w:bottom w:w="100" w:type="dxa"/>
              <w:end w:w="120" w:type="dxa"/>
            </w:tcMar>
          </w:tcPr>
          <w:p>
            <w:pPr>
              <w:spacing w:after="0" w:line="259" w:lineRule="auto"/>
            </w:pPr>
            <w:r/>
            <w:r>
              <w:rPr>
                <w:rFonts w:ascii="Arial" w:hAnsi="Arial"/>
                <w:b w:val="0"/>
                <w:color w:val="0B1727"/>
                <w:sz w:val="17"/>
              </w:rPr>
              <w:t>Cake-transfer sequencing, cutting-cycle control, alarms and handling interlocks</w:t>
            </w:r>
          </w:p>
        </w:tc>
        <w:tc>
          <w:tcPr>
            <w:tcW w:type="dxa" w:w="3053"/>
            <w:vAlign w:val="center"/>
            <w:tcMar>
              <w:top w:w="100" w:type="dxa"/>
              <w:start w:w="120" w:type="dxa"/>
              <w:bottom w:w="100" w:type="dxa"/>
              <w:end w:w="120" w:type="dxa"/>
            </w:tcMar>
          </w:tcPr>
          <w:p>
            <w:pPr>
              <w:spacing w:after="0" w:line="259" w:lineRule="auto"/>
            </w:pPr>
            <w:r/>
            <w:r>
              <w:rPr>
                <w:rFonts w:ascii="Arial" w:hAnsi="Arial"/>
                <w:b w:val="0"/>
                <w:color w:val="0B1727"/>
                <w:sz w:val="17"/>
              </w:rPr>
              <w:t>Consistent sequence and lower handling risk</w:t>
            </w:r>
          </w:p>
        </w:tc>
      </w:tr>
      <w:tr>
        <w:trPr>
          <w:cantSplit/>
        </w:trPr>
        <w:tc>
          <w:tcPr>
            <w:tcW w:type="dxa" w:w="2088"/>
            <w:vAlign w:val="center"/>
            <w:tcMar>
              <w:top w:w="100" w:type="dxa"/>
              <w:start w:w="120" w:type="dxa"/>
              <w:bottom w:w="100" w:type="dxa"/>
              <w:end w:w="120" w:type="dxa"/>
            </w:tcMar>
            <w:shd w:fill="F5F7F8"/>
          </w:tcPr>
          <w:p>
            <w:pPr>
              <w:spacing w:after="0" w:line="259" w:lineRule="auto"/>
            </w:pPr>
            <w:r/>
            <w:r>
              <w:rPr>
                <w:rFonts w:ascii="Arial" w:hAnsi="Arial"/>
                <w:b/>
                <w:color w:val="0B1727"/>
                <w:sz w:val="17"/>
              </w:rPr>
              <w:t>Autoclave area</w:t>
            </w:r>
          </w:p>
        </w:tc>
        <w:tc>
          <w:tcPr>
            <w:tcW w:type="dxa" w:w="4536"/>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Loading coordination, schedule visibility, pressure/temperature monitoring and cycle data</w:t>
            </w:r>
          </w:p>
        </w:tc>
        <w:tc>
          <w:tcPr>
            <w:tcW w:type="dxa" w:w="3053"/>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Utilisation, repeatability and traceability</w:t>
            </w:r>
          </w:p>
        </w:tc>
      </w:tr>
      <w:tr>
        <w:trPr>
          <w:cantSplit/>
        </w:trPr>
        <w:tc>
          <w:tcPr>
            <w:tcW w:type="dxa" w:w="2088"/>
            <w:vAlign w:val="center"/>
            <w:tcMar>
              <w:top w:w="100" w:type="dxa"/>
              <w:start w:w="120" w:type="dxa"/>
              <w:bottom w:w="100" w:type="dxa"/>
              <w:end w:w="120" w:type="dxa"/>
            </w:tcMar>
          </w:tcPr>
          <w:p>
            <w:pPr>
              <w:spacing w:after="0" w:line="259" w:lineRule="auto"/>
            </w:pPr>
            <w:r/>
            <w:r>
              <w:rPr>
                <w:rFonts w:ascii="Arial" w:hAnsi="Arial"/>
                <w:b/>
                <w:color w:val="0B1727"/>
                <w:sz w:val="17"/>
              </w:rPr>
              <w:t>Finished-product handling</w:t>
            </w:r>
          </w:p>
        </w:tc>
        <w:tc>
          <w:tcPr>
            <w:tcW w:type="dxa" w:w="4536"/>
            <w:vAlign w:val="center"/>
            <w:tcMar>
              <w:top w:w="100" w:type="dxa"/>
              <w:start w:w="120" w:type="dxa"/>
              <w:bottom w:w="100" w:type="dxa"/>
              <w:end w:w="120" w:type="dxa"/>
            </w:tcMar>
          </w:tcPr>
          <w:p>
            <w:pPr>
              <w:spacing w:after="0" w:line="259" w:lineRule="auto"/>
            </w:pPr>
            <w:r/>
            <w:r>
              <w:rPr>
                <w:rFonts w:ascii="Arial" w:hAnsi="Arial"/>
                <w:b w:val="0"/>
                <w:color w:val="0B1727"/>
                <w:sz w:val="17"/>
              </w:rPr>
              <w:t>Separation, transfer, palletising, strapping or dispatch buffering</w:t>
            </w:r>
          </w:p>
        </w:tc>
        <w:tc>
          <w:tcPr>
            <w:tcW w:type="dxa" w:w="3053"/>
            <w:vAlign w:val="center"/>
            <w:tcMar>
              <w:top w:w="100" w:type="dxa"/>
              <w:start w:w="120" w:type="dxa"/>
              <w:bottom w:w="100" w:type="dxa"/>
              <w:end w:w="120" w:type="dxa"/>
            </w:tcMar>
          </w:tcPr>
          <w:p>
            <w:pPr>
              <w:spacing w:after="0" w:line="259" w:lineRule="auto"/>
            </w:pPr>
            <w:r/>
            <w:r>
              <w:rPr>
                <w:rFonts w:ascii="Arial" w:hAnsi="Arial"/>
                <w:b w:val="0"/>
                <w:color w:val="0B1727"/>
                <w:sz w:val="17"/>
              </w:rPr>
              <w:t>Lower manual handling and smoother dispatch flow</w:t>
            </w:r>
          </w:p>
        </w:tc>
      </w:tr>
      <w:tr>
        <w:trPr>
          <w:cantSplit/>
        </w:trPr>
        <w:tc>
          <w:tcPr>
            <w:tcW w:type="dxa" w:w="2088"/>
            <w:vAlign w:val="center"/>
            <w:tcMar>
              <w:top w:w="100" w:type="dxa"/>
              <w:start w:w="120" w:type="dxa"/>
              <w:bottom w:w="100" w:type="dxa"/>
              <w:end w:w="120" w:type="dxa"/>
            </w:tcMar>
            <w:shd w:fill="F5F7F8"/>
          </w:tcPr>
          <w:p>
            <w:pPr>
              <w:spacing w:after="0" w:line="259" w:lineRule="auto"/>
            </w:pPr>
            <w:r/>
            <w:r>
              <w:rPr>
                <w:rFonts w:ascii="Arial" w:hAnsi="Arial"/>
                <w:b/>
                <w:color w:val="0B1727"/>
                <w:sz w:val="17"/>
              </w:rPr>
              <w:t>Plant controls</w:t>
            </w:r>
          </w:p>
        </w:tc>
        <w:tc>
          <w:tcPr>
            <w:tcW w:type="dxa" w:w="4536"/>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PLC, HMI/SCADA, data logging, alarm history, production reports and remote diagnostics</w:t>
            </w:r>
          </w:p>
        </w:tc>
        <w:tc>
          <w:tcPr>
            <w:tcW w:type="dxa" w:w="3053"/>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Visibility, control and fault diagnosis</w:t>
            </w:r>
          </w:p>
        </w:tc>
      </w:tr>
    </w:tbl>
    <w:p>
      <w:pPr>
        <w:spacing w:after="0"/>
      </w:pPr>
    </w:p>
    <w:p>
      <w:pPr>
        <w:pStyle w:val="Heading2"/>
      </w:pPr>
      <w:r>
        <w:t>Selective, Hybrid or Full Automation?</w:t>
      </w:r>
    </w:p>
    <w:tbl>
      <w:tblPr>
        <w:tblStyle w:val="TableGrid"/>
        <w:tblW w:type="auto" w:w="0"/>
        <w:jc w:val="left"/>
        <w:tblLayout w:type="fixed"/>
        <w:tblLook w:firstColumn="1" w:firstRow="1" w:lastColumn="0" w:lastRow="0" w:noHBand="0" w:noVBand="1" w:val="04A0"/>
      </w:tblPr>
      <w:tblGrid>
        <w:gridCol w:w="1944"/>
        <w:gridCol w:w="4680"/>
        <w:gridCol w:w="3053"/>
      </w:tblGrid>
      <w:tr>
        <w:trPr>
          <w:tblHeader w:val="true"/>
          <w:cantSplit/>
        </w:trPr>
        <w:tc>
          <w:tcPr>
            <w:tcW w:type="dxa" w:w="1944"/>
            <w:vAlign w:val="center"/>
            <w:tcMar>
              <w:top w:w="100" w:type="dxa"/>
              <w:start w:w="120" w:type="dxa"/>
              <w:bottom w:w="100" w:type="dxa"/>
              <w:end w:w="120" w:type="dxa"/>
            </w:tcMar>
            <w:shd w:fill="0C4F80"/>
          </w:tcPr>
          <w:p>
            <w:pPr>
              <w:spacing w:after="0" w:line="259" w:lineRule="auto"/>
            </w:pPr>
            <w:r/>
            <w:r>
              <w:rPr>
                <w:rFonts w:ascii="Arial" w:hAnsi="Arial"/>
                <w:b/>
                <w:color w:val="FFFFFF"/>
                <w:sz w:val="18"/>
              </w:rPr>
              <w:t>Approach</w:t>
            </w:r>
          </w:p>
        </w:tc>
        <w:tc>
          <w:tcPr>
            <w:tcW w:type="dxa" w:w="4680"/>
            <w:vAlign w:val="center"/>
            <w:tcMar>
              <w:top w:w="100" w:type="dxa"/>
              <w:start w:w="120" w:type="dxa"/>
              <w:bottom w:w="100" w:type="dxa"/>
              <w:end w:w="120" w:type="dxa"/>
            </w:tcMar>
            <w:shd w:fill="0C4F80"/>
          </w:tcPr>
          <w:p>
            <w:pPr>
              <w:spacing w:after="0" w:line="259" w:lineRule="auto"/>
            </w:pPr>
            <w:r/>
            <w:r>
              <w:rPr>
                <w:rFonts w:ascii="Arial" w:hAnsi="Arial"/>
                <w:b/>
                <w:color w:val="FFFFFF"/>
                <w:sz w:val="18"/>
              </w:rPr>
              <w:t>Best suited when</w:t>
            </w:r>
          </w:p>
        </w:tc>
        <w:tc>
          <w:tcPr>
            <w:tcW w:type="dxa" w:w="3053"/>
            <w:vAlign w:val="center"/>
            <w:tcMar>
              <w:top w:w="100" w:type="dxa"/>
              <w:start w:w="120" w:type="dxa"/>
              <w:bottom w:w="100" w:type="dxa"/>
              <w:end w:w="120" w:type="dxa"/>
            </w:tcMar>
            <w:shd w:fill="0C4F80"/>
          </w:tcPr>
          <w:p>
            <w:pPr>
              <w:spacing w:after="0" w:line="259" w:lineRule="auto"/>
            </w:pPr>
            <w:r/>
            <w:r>
              <w:rPr>
                <w:rFonts w:ascii="Arial" w:hAnsi="Arial"/>
                <w:b/>
                <w:color w:val="FFFFFF"/>
                <w:sz w:val="18"/>
              </w:rPr>
              <w:t>Main consideration</w:t>
            </w:r>
          </w:p>
        </w:tc>
      </w:tr>
      <w:tr>
        <w:trPr>
          <w:cantSplit/>
        </w:trPr>
        <w:tc>
          <w:tcPr>
            <w:tcW w:type="dxa" w:w="1944"/>
            <w:vAlign w:val="center"/>
            <w:tcMar>
              <w:top w:w="100" w:type="dxa"/>
              <w:start w:w="120" w:type="dxa"/>
              <w:bottom w:w="100" w:type="dxa"/>
              <w:end w:w="120" w:type="dxa"/>
            </w:tcMar>
          </w:tcPr>
          <w:p>
            <w:pPr>
              <w:spacing w:after="0" w:line="259" w:lineRule="auto"/>
            </w:pPr>
            <w:r/>
            <w:r>
              <w:rPr>
                <w:rFonts w:ascii="Arial" w:hAnsi="Arial"/>
                <w:b/>
                <w:color w:val="0B1727"/>
                <w:sz w:val="17"/>
              </w:rPr>
              <w:t>Selective automation</w:t>
            </w:r>
          </w:p>
        </w:tc>
        <w:tc>
          <w:tcPr>
            <w:tcW w:type="dxa" w:w="4680"/>
            <w:vAlign w:val="center"/>
            <w:tcMar>
              <w:top w:w="100" w:type="dxa"/>
              <w:start w:w="120" w:type="dxa"/>
              <w:bottom w:w="100" w:type="dxa"/>
              <w:end w:w="120" w:type="dxa"/>
            </w:tcMar>
          </w:tcPr>
          <w:p>
            <w:pPr>
              <w:spacing w:after="0" w:line="259" w:lineRule="auto"/>
            </w:pPr>
            <w:r/>
            <w:r>
              <w:rPr>
                <w:rFonts w:ascii="Arial" w:hAnsi="Arial"/>
                <w:b w:val="0"/>
                <w:color w:val="0B1727"/>
                <w:sz w:val="17"/>
              </w:rPr>
              <w:t>One or two measured bottlenecks are limiting the plant</w:t>
            </w:r>
          </w:p>
        </w:tc>
        <w:tc>
          <w:tcPr>
            <w:tcW w:type="dxa" w:w="3053"/>
            <w:vAlign w:val="center"/>
            <w:tcMar>
              <w:top w:w="100" w:type="dxa"/>
              <w:start w:w="120" w:type="dxa"/>
              <w:bottom w:w="100" w:type="dxa"/>
              <w:end w:w="120" w:type="dxa"/>
            </w:tcMar>
          </w:tcPr>
          <w:p>
            <w:pPr>
              <w:spacing w:after="0" w:line="259" w:lineRule="auto"/>
            </w:pPr>
            <w:r/>
            <w:r>
              <w:rPr>
                <w:rFonts w:ascii="Arial" w:hAnsi="Arial"/>
                <w:b w:val="0"/>
                <w:color w:val="0B1727"/>
                <w:sz w:val="17"/>
              </w:rPr>
              <w:t>Lower integration scope, but other constraints may remain</w:t>
            </w:r>
          </w:p>
        </w:tc>
      </w:tr>
      <w:tr>
        <w:trPr>
          <w:cantSplit/>
        </w:trPr>
        <w:tc>
          <w:tcPr>
            <w:tcW w:type="dxa" w:w="1944"/>
            <w:vAlign w:val="center"/>
            <w:tcMar>
              <w:top w:w="100" w:type="dxa"/>
              <w:start w:w="120" w:type="dxa"/>
              <w:bottom w:w="100" w:type="dxa"/>
              <w:end w:w="120" w:type="dxa"/>
            </w:tcMar>
            <w:shd w:fill="F5F7F8"/>
          </w:tcPr>
          <w:p>
            <w:pPr>
              <w:spacing w:after="0" w:line="259" w:lineRule="auto"/>
            </w:pPr>
            <w:r/>
            <w:r>
              <w:rPr>
                <w:rFonts w:ascii="Arial" w:hAnsi="Arial"/>
                <w:b/>
                <w:color w:val="0B1727"/>
                <w:sz w:val="17"/>
              </w:rPr>
              <w:t>Hybrid automation</w:t>
            </w:r>
          </w:p>
        </w:tc>
        <w:tc>
          <w:tcPr>
            <w:tcW w:type="dxa" w:w="4680"/>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Labour-intensive or coordination-critical tasks need automation while practical manual control is retained elsewhere</w:t>
            </w:r>
          </w:p>
        </w:tc>
        <w:tc>
          <w:tcPr>
            <w:tcW w:type="dxa" w:w="3053"/>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Balances labour reduction with technical complexity</w:t>
            </w:r>
          </w:p>
        </w:tc>
      </w:tr>
      <w:tr>
        <w:trPr>
          <w:cantSplit/>
        </w:trPr>
        <w:tc>
          <w:tcPr>
            <w:tcW w:type="dxa" w:w="1944"/>
            <w:vAlign w:val="center"/>
            <w:tcMar>
              <w:top w:w="100" w:type="dxa"/>
              <w:start w:w="120" w:type="dxa"/>
              <w:bottom w:w="100" w:type="dxa"/>
              <w:end w:w="120" w:type="dxa"/>
            </w:tcMar>
          </w:tcPr>
          <w:p>
            <w:pPr>
              <w:spacing w:after="0" w:line="259" w:lineRule="auto"/>
            </w:pPr>
            <w:r/>
            <w:r>
              <w:rPr>
                <w:rFonts w:ascii="Arial" w:hAnsi="Arial"/>
                <w:b/>
                <w:color w:val="0B1727"/>
                <w:sz w:val="17"/>
              </w:rPr>
              <w:t>Full-line automation</w:t>
            </w:r>
          </w:p>
        </w:tc>
        <w:tc>
          <w:tcPr>
            <w:tcW w:type="dxa" w:w="4680"/>
            <w:vAlign w:val="center"/>
            <w:tcMar>
              <w:top w:w="100" w:type="dxa"/>
              <w:start w:w="120" w:type="dxa"/>
              <w:bottom w:w="100" w:type="dxa"/>
              <w:end w:w="120" w:type="dxa"/>
            </w:tcMar>
          </w:tcPr>
          <w:p>
            <w:pPr>
              <w:spacing w:after="0" w:line="259" w:lineRule="auto"/>
            </w:pPr>
            <w:r/>
            <w:r>
              <w:rPr>
                <w:rFonts w:ascii="Arial" w:hAnsi="Arial"/>
                <w:b w:val="0"/>
                <w:color w:val="0B1727"/>
                <w:sz w:val="17"/>
              </w:rPr>
              <w:t>Equipment, layout, interfaces and utilities can support coordinated automatic operation</w:t>
            </w:r>
          </w:p>
        </w:tc>
        <w:tc>
          <w:tcPr>
            <w:tcW w:type="dxa" w:w="3053"/>
            <w:vAlign w:val="center"/>
            <w:tcMar>
              <w:top w:w="100" w:type="dxa"/>
              <w:start w:w="120" w:type="dxa"/>
              <w:bottom w:w="100" w:type="dxa"/>
              <w:end w:w="120" w:type="dxa"/>
            </w:tcMar>
          </w:tcPr>
          <w:p>
            <w:pPr>
              <w:spacing w:after="0" w:line="259" w:lineRule="auto"/>
            </w:pPr>
            <w:r/>
            <w:r>
              <w:rPr>
                <w:rFonts w:ascii="Arial" w:hAnsi="Arial"/>
                <w:b w:val="0"/>
                <w:color w:val="0B1727"/>
                <w:sz w:val="17"/>
              </w:rPr>
              <w:t>Requires stronger instrumentation, maintenance discipline and trained technical supervision</w:t>
            </w:r>
          </w:p>
        </w:tc>
      </w:tr>
    </w:tbl>
    <w:p>
      <w:pPr>
        <w:spacing w:after="0"/>
      </w:pPr>
    </w:p>
    <w:tbl>
      <w:tblPr>
        <w:tblW w:type="auto" w:w="0"/>
        <w:tblLayout w:type="fixed"/>
        <w:tblLook w:firstColumn="1" w:firstRow="1" w:lastColumn="0" w:lastRow="0" w:noHBand="0" w:noVBand="1" w:val="04A0"/>
      </w:tblPr>
      <w:tblGrid>
        <w:gridCol w:w="9677"/>
      </w:tblGrid>
      <w:tr>
        <w:trPr>
          <w:cantSplit/>
        </w:trPr>
        <w:tc>
          <w:tcPr>
            <w:tcW w:type="dxa" w:w="9878"/>
            <w:shd w:fill="EEF2F5"/>
            <w:tcMar>
              <w:top w:w="160" w:type="dxa"/>
              <w:start w:w="180" w:type="dxa"/>
              <w:bottom w:w="160" w:type="dxa"/>
              <w:end w:w="180" w:type="dxa"/>
            </w:tcMar>
          </w:tcPr>
          <w:p>
            <w:pPr>
              <w:spacing w:after="60"/>
            </w:pPr>
            <w:r/>
            <w:r>
              <w:rPr>
                <w:rFonts w:ascii="Arial" w:hAnsi="Arial"/>
                <w:b/>
                <w:color w:val="0C4F80"/>
                <w:sz w:val="22"/>
              </w:rPr>
              <w:t>Automate intelligently—not blindly.</w:t>
            </w:r>
          </w:p>
          <w:p>
            <w:pPr>
              <w:spacing w:after="0" w:line="269" w:lineRule="auto"/>
            </w:pPr>
            <w:r>
              <w:rPr>
                <w:rFonts w:ascii="Arial" w:hAnsi="Arial"/>
                <w:color w:val="0B1727"/>
                <w:sz w:val="20"/>
              </w:rPr>
              <w:t>Higher automation can reduce repetitive manual work, but it may also increase dependence on sensors, PLC systems, instrumentation, software backups and skilled troubleshooting. The best configuration is the one the plant can operate and maintain reliably—not the one with the highest automation label.</w:t>
            </w:r>
          </w:p>
        </w:tc>
      </w:tr>
    </w:tbl>
    <w:p>
      <w:pPr>
        <w:spacing w:after="0"/>
      </w:pPr>
    </w:p>
    <w:p>
      <w:pPr>
        <w:pStyle w:val="Heading2"/>
      </w:pPr>
      <w:r>
        <w:t>What Can an Automation Upgrade Realistically Improve?</w:t>
      </w:r>
    </w:p>
    <w:p>
      <w:r>
        <w:t>A properly scoped upgrade may improve the following areas. Actual results must be established from comparable baseline and post-upgrade data.</w:t>
      </w:r>
    </w:p>
    <w:tbl>
      <w:tblPr>
        <w:tblStyle w:val="TableGrid"/>
        <w:tblW w:type="auto" w:w="0"/>
        <w:jc w:val="left"/>
        <w:tblLayout w:type="fixed"/>
        <w:tblLook w:firstColumn="1" w:firstRow="1" w:lastColumn="0" w:lastRow="0" w:noHBand="0" w:noVBand="1" w:val="04A0"/>
      </w:tblPr>
      <w:tblGrid>
        <w:gridCol w:w="2131"/>
        <w:gridCol w:w="4435"/>
        <w:gridCol w:w="3110"/>
      </w:tblGrid>
      <w:tr>
        <w:trPr>
          <w:tblHeader w:val="true"/>
          <w:cantSplit/>
        </w:trPr>
        <w:tc>
          <w:tcPr>
            <w:tcW w:type="dxa" w:w="2131"/>
            <w:vAlign w:val="center"/>
            <w:tcMar>
              <w:top w:w="100" w:type="dxa"/>
              <w:start w:w="120" w:type="dxa"/>
              <w:bottom w:w="100" w:type="dxa"/>
              <w:end w:w="120" w:type="dxa"/>
            </w:tcMar>
            <w:shd w:fill="0C4F80"/>
          </w:tcPr>
          <w:p>
            <w:pPr>
              <w:spacing w:after="0" w:line="259" w:lineRule="auto"/>
            </w:pPr>
            <w:r/>
            <w:r>
              <w:rPr>
                <w:rFonts w:ascii="Arial" w:hAnsi="Arial"/>
                <w:b/>
                <w:color w:val="FFFFFF"/>
                <w:sz w:val="18"/>
              </w:rPr>
              <w:t>Potential improvement</w:t>
            </w:r>
          </w:p>
        </w:tc>
        <w:tc>
          <w:tcPr>
            <w:tcW w:type="dxa" w:w="4435"/>
            <w:vAlign w:val="center"/>
            <w:tcMar>
              <w:top w:w="100" w:type="dxa"/>
              <w:start w:w="120" w:type="dxa"/>
              <w:bottom w:w="100" w:type="dxa"/>
              <w:end w:w="120" w:type="dxa"/>
            </w:tcMar>
            <w:shd w:fill="0C4F80"/>
          </w:tcPr>
          <w:p>
            <w:pPr>
              <w:spacing w:after="0" w:line="259" w:lineRule="auto"/>
            </w:pPr>
            <w:r/>
            <w:r>
              <w:rPr>
                <w:rFonts w:ascii="Arial" w:hAnsi="Arial"/>
                <w:b/>
                <w:color w:val="FFFFFF"/>
                <w:sz w:val="18"/>
              </w:rPr>
              <w:t>How automation may help</w:t>
            </w:r>
          </w:p>
        </w:tc>
        <w:tc>
          <w:tcPr>
            <w:tcW w:type="dxa" w:w="3110"/>
            <w:vAlign w:val="center"/>
            <w:tcMar>
              <w:top w:w="100" w:type="dxa"/>
              <w:start w:w="120" w:type="dxa"/>
              <w:bottom w:w="100" w:type="dxa"/>
              <w:end w:w="120" w:type="dxa"/>
            </w:tcMar>
            <w:shd w:fill="0C4F80"/>
          </w:tcPr>
          <w:p>
            <w:pPr>
              <w:spacing w:after="0" w:line="259" w:lineRule="auto"/>
            </w:pPr>
            <w:r/>
            <w:r>
              <w:rPr>
                <w:rFonts w:ascii="Arial" w:hAnsi="Arial"/>
                <w:b/>
                <w:color w:val="FFFFFF"/>
                <w:sz w:val="18"/>
              </w:rPr>
              <w:t>Metric to verify</w:t>
            </w:r>
          </w:p>
        </w:tc>
      </w:tr>
      <w:tr>
        <w:trPr>
          <w:cantSplit/>
        </w:trPr>
        <w:tc>
          <w:tcPr>
            <w:tcW w:type="dxa" w:w="2131"/>
            <w:vAlign w:val="center"/>
            <w:tcMar>
              <w:top w:w="100" w:type="dxa"/>
              <w:start w:w="120" w:type="dxa"/>
              <w:bottom w:w="100" w:type="dxa"/>
              <w:end w:w="120" w:type="dxa"/>
            </w:tcMar>
          </w:tcPr>
          <w:p>
            <w:pPr>
              <w:spacing w:after="0" w:line="259" w:lineRule="auto"/>
            </w:pPr>
            <w:r/>
            <w:r>
              <w:rPr>
                <w:rFonts w:ascii="Arial" w:hAnsi="Arial"/>
                <w:b/>
                <w:color w:val="0B1727"/>
                <w:sz w:val="17"/>
              </w:rPr>
              <w:t>Production efficiency</w:t>
            </w:r>
          </w:p>
        </w:tc>
        <w:tc>
          <w:tcPr>
            <w:tcW w:type="dxa" w:w="4435"/>
            <w:vAlign w:val="center"/>
            <w:tcMar>
              <w:top w:w="100" w:type="dxa"/>
              <w:start w:w="120" w:type="dxa"/>
              <w:bottom w:w="100" w:type="dxa"/>
              <w:end w:w="120" w:type="dxa"/>
            </w:tcMar>
          </w:tcPr>
          <w:p>
            <w:pPr>
              <w:spacing w:after="0" w:line="259" w:lineRule="auto"/>
            </w:pPr>
            <w:r/>
            <w:r>
              <w:rPr>
                <w:rFonts w:ascii="Arial" w:hAnsi="Arial"/>
                <w:b w:val="0"/>
                <w:color w:val="0B1727"/>
                <w:sz w:val="17"/>
              </w:rPr>
              <w:t>Coordinates machine sequences and reduces avoidable waiting</w:t>
            </w:r>
          </w:p>
        </w:tc>
        <w:tc>
          <w:tcPr>
            <w:tcW w:type="dxa" w:w="3110"/>
            <w:vAlign w:val="center"/>
            <w:tcMar>
              <w:top w:w="100" w:type="dxa"/>
              <w:start w:w="120" w:type="dxa"/>
              <w:bottom w:w="100" w:type="dxa"/>
              <w:end w:w="120" w:type="dxa"/>
            </w:tcMar>
          </w:tcPr>
          <w:p>
            <w:pPr>
              <w:spacing w:after="0" w:line="259" w:lineRule="auto"/>
            </w:pPr>
            <w:r/>
            <w:r>
              <w:rPr>
                <w:rFonts w:ascii="Arial" w:hAnsi="Arial"/>
                <w:b w:val="0"/>
                <w:color w:val="0B1727"/>
                <w:sz w:val="17"/>
              </w:rPr>
              <w:t>Saleable m³/day, cycle time and downtime</w:t>
            </w:r>
          </w:p>
        </w:tc>
      </w:tr>
      <w:tr>
        <w:trPr>
          <w:cantSplit/>
        </w:trPr>
        <w:tc>
          <w:tcPr>
            <w:tcW w:type="dxa" w:w="2131"/>
            <w:vAlign w:val="center"/>
            <w:tcMar>
              <w:top w:w="100" w:type="dxa"/>
              <w:start w:w="120" w:type="dxa"/>
              <w:bottom w:w="100" w:type="dxa"/>
              <w:end w:w="120" w:type="dxa"/>
            </w:tcMar>
            <w:shd w:fill="F5F7F8"/>
          </w:tcPr>
          <w:p>
            <w:pPr>
              <w:spacing w:after="0" w:line="259" w:lineRule="auto"/>
            </w:pPr>
            <w:r/>
            <w:r>
              <w:rPr>
                <w:rFonts w:ascii="Arial" w:hAnsi="Arial"/>
                <w:b/>
                <w:color w:val="0B1727"/>
                <w:sz w:val="17"/>
              </w:rPr>
              <w:t>Process consistency</w:t>
            </w:r>
          </w:p>
        </w:tc>
        <w:tc>
          <w:tcPr>
            <w:tcW w:type="dxa" w:w="4435"/>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Controls recipes, dosing, timing and operating permissions</w:t>
            </w:r>
          </w:p>
        </w:tc>
        <w:tc>
          <w:tcPr>
            <w:tcW w:type="dxa" w:w="3110"/>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Batch variation, density variation and rejection</w:t>
            </w:r>
          </w:p>
        </w:tc>
      </w:tr>
      <w:tr>
        <w:trPr>
          <w:cantSplit/>
        </w:trPr>
        <w:tc>
          <w:tcPr>
            <w:tcW w:type="dxa" w:w="2131"/>
            <w:vAlign w:val="center"/>
            <w:tcMar>
              <w:top w:w="100" w:type="dxa"/>
              <w:start w:w="120" w:type="dxa"/>
              <w:bottom w:w="100" w:type="dxa"/>
              <w:end w:w="120" w:type="dxa"/>
            </w:tcMar>
          </w:tcPr>
          <w:p>
            <w:pPr>
              <w:spacing w:after="0" w:line="259" w:lineRule="auto"/>
            </w:pPr>
            <w:r/>
            <w:r>
              <w:rPr>
                <w:rFonts w:ascii="Arial" w:hAnsi="Arial"/>
                <w:b/>
                <w:color w:val="0B1727"/>
                <w:sz w:val="17"/>
              </w:rPr>
              <w:t>Electricity use</w:t>
            </w:r>
          </w:p>
        </w:tc>
        <w:tc>
          <w:tcPr>
            <w:tcW w:type="dxa" w:w="4435"/>
            <w:vAlign w:val="center"/>
            <w:tcMar>
              <w:top w:w="100" w:type="dxa"/>
              <w:start w:w="120" w:type="dxa"/>
              <w:bottom w:w="100" w:type="dxa"/>
              <w:end w:w="120" w:type="dxa"/>
            </w:tcMar>
          </w:tcPr>
          <w:p>
            <w:pPr>
              <w:spacing w:after="0" w:line="259" w:lineRule="auto"/>
            </w:pPr>
            <w:r/>
            <w:r>
              <w:rPr>
                <w:rFonts w:ascii="Arial" w:hAnsi="Arial"/>
                <w:b w:val="0"/>
                <w:color w:val="0B1727"/>
                <w:sz w:val="17"/>
              </w:rPr>
              <w:t>Reduces avoidable idle running and improves sequencing</w:t>
            </w:r>
          </w:p>
        </w:tc>
        <w:tc>
          <w:tcPr>
            <w:tcW w:type="dxa" w:w="3110"/>
            <w:vAlign w:val="center"/>
            <w:tcMar>
              <w:top w:w="100" w:type="dxa"/>
              <w:start w:w="120" w:type="dxa"/>
              <w:bottom w:w="100" w:type="dxa"/>
              <w:end w:w="120" w:type="dxa"/>
            </w:tcMar>
          </w:tcPr>
          <w:p>
            <w:pPr>
              <w:spacing w:after="0" w:line="259" w:lineRule="auto"/>
            </w:pPr>
            <w:r/>
            <w:r>
              <w:rPr>
                <w:rFonts w:ascii="Arial" w:hAnsi="Arial"/>
                <w:b w:val="0"/>
                <w:color w:val="0B1727"/>
                <w:sz w:val="17"/>
              </w:rPr>
              <w:t>kWh per saleable m³</w:t>
            </w:r>
          </w:p>
        </w:tc>
      </w:tr>
      <w:tr>
        <w:trPr>
          <w:cantSplit/>
        </w:trPr>
        <w:tc>
          <w:tcPr>
            <w:tcW w:type="dxa" w:w="2131"/>
            <w:vAlign w:val="center"/>
            <w:tcMar>
              <w:top w:w="100" w:type="dxa"/>
              <w:start w:w="120" w:type="dxa"/>
              <w:bottom w:w="100" w:type="dxa"/>
              <w:end w:w="120" w:type="dxa"/>
            </w:tcMar>
            <w:shd w:fill="F5F7F8"/>
          </w:tcPr>
          <w:p>
            <w:pPr>
              <w:spacing w:after="0" w:line="259" w:lineRule="auto"/>
            </w:pPr>
            <w:r/>
            <w:r>
              <w:rPr>
                <w:rFonts w:ascii="Arial" w:hAnsi="Arial"/>
                <w:b/>
                <w:color w:val="0B1727"/>
                <w:sz w:val="17"/>
              </w:rPr>
              <w:t>Steam utilisation</w:t>
            </w:r>
          </w:p>
        </w:tc>
        <w:tc>
          <w:tcPr>
            <w:tcW w:type="dxa" w:w="4435"/>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Supports loading discipline, cycle monitoring and production planning</w:t>
            </w:r>
          </w:p>
        </w:tc>
        <w:tc>
          <w:tcPr>
            <w:tcW w:type="dxa" w:w="3110"/>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kg steam per saleable m³ under comparable conditions</w:t>
            </w:r>
          </w:p>
        </w:tc>
      </w:tr>
      <w:tr>
        <w:trPr>
          <w:cantSplit/>
        </w:trPr>
        <w:tc>
          <w:tcPr>
            <w:tcW w:type="dxa" w:w="2131"/>
            <w:vAlign w:val="center"/>
            <w:tcMar>
              <w:top w:w="100" w:type="dxa"/>
              <w:start w:w="120" w:type="dxa"/>
              <w:bottom w:w="100" w:type="dxa"/>
              <w:end w:w="120" w:type="dxa"/>
            </w:tcMar>
          </w:tcPr>
          <w:p>
            <w:pPr>
              <w:spacing w:after="0" w:line="259" w:lineRule="auto"/>
            </w:pPr>
            <w:r/>
            <w:r>
              <w:rPr>
                <w:rFonts w:ascii="Arial" w:hAnsi="Arial"/>
                <w:b/>
                <w:color w:val="0B1727"/>
                <w:sz w:val="17"/>
              </w:rPr>
              <w:t>Manpower deployment</w:t>
            </w:r>
          </w:p>
        </w:tc>
        <w:tc>
          <w:tcPr>
            <w:tcW w:type="dxa" w:w="4435"/>
            <w:vAlign w:val="center"/>
            <w:tcMar>
              <w:top w:w="100" w:type="dxa"/>
              <w:start w:w="120" w:type="dxa"/>
              <w:bottom w:w="100" w:type="dxa"/>
              <w:end w:w="120" w:type="dxa"/>
            </w:tcMar>
          </w:tcPr>
          <w:p>
            <w:pPr>
              <w:spacing w:after="0" w:line="259" w:lineRule="auto"/>
            </w:pPr>
            <w:r/>
            <w:r>
              <w:rPr>
                <w:rFonts w:ascii="Arial" w:hAnsi="Arial"/>
                <w:b w:val="0"/>
                <w:color w:val="0B1727"/>
                <w:sz w:val="17"/>
              </w:rPr>
              <w:t>Automates repetitive handling and routine control tasks</w:t>
            </w:r>
          </w:p>
        </w:tc>
        <w:tc>
          <w:tcPr>
            <w:tcW w:type="dxa" w:w="3110"/>
            <w:vAlign w:val="center"/>
            <w:tcMar>
              <w:top w:w="100" w:type="dxa"/>
              <w:start w:w="120" w:type="dxa"/>
              <w:bottom w:w="100" w:type="dxa"/>
              <w:end w:w="120" w:type="dxa"/>
            </w:tcMar>
          </w:tcPr>
          <w:p>
            <w:pPr>
              <w:spacing w:after="0" w:line="259" w:lineRule="auto"/>
            </w:pPr>
            <w:r/>
            <w:r>
              <w:rPr>
                <w:rFonts w:ascii="Arial" w:hAnsi="Arial"/>
                <w:b w:val="0"/>
                <w:color w:val="0B1727"/>
                <w:sz w:val="17"/>
              </w:rPr>
              <w:t>People per shift by role, including technical staff</w:t>
            </w:r>
          </w:p>
        </w:tc>
      </w:tr>
      <w:tr>
        <w:trPr>
          <w:cantSplit/>
        </w:trPr>
        <w:tc>
          <w:tcPr>
            <w:tcW w:type="dxa" w:w="2131"/>
            <w:vAlign w:val="center"/>
            <w:tcMar>
              <w:top w:w="100" w:type="dxa"/>
              <w:start w:w="120" w:type="dxa"/>
              <w:bottom w:w="100" w:type="dxa"/>
              <w:end w:w="120" w:type="dxa"/>
            </w:tcMar>
            <w:shd w:fill="F5F7F8"/>
          </w:tcPr>
          <w:p>
            <w:pPr>
              <w:spacing w:after="0" w:line="259" w:lineRule="auto"/>
            </w:pPr>
            <w:r/>
            <w:r>
              <w:rPr>
                <w:rFonts w:ascii="Arial" w:hAnsi="Arial"/>
                <w:b/>
                <w:color w:val="0B1727"/>
                <w:sz w:val="17"/>
              </w:rPr>
              <w:t>Maintenance response</w:t>
            </w:r>
          </w:p>
        </w:tc>
        <w:tc>
          <w:tcPr>
            <w:tcW w:type="dxa" w:w="4435"/>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Provides alarms, operating history and fault visibility</w:t>
            </w:r>
          </w:p>
        </w:tc>
        <w:tc>
          <w:tcPr>
            <w:tcW w:type="dxa" w:w="3110"/>
            <w:vAlign w:val="center"/>
            <w:tcMar>
              <w:top w:w="100" w:type="dxa"/>
              <w:start w:w="120" w:type="dxa"/>
              <w:bottom w:w="100" w:type="dxa"/>
              <w:end w:w="120" w:type="dxa"/>
            </w:tcMar>
            <w:shd w:fill="F5F7F8"/>
          </w:tcPr>
          <w:p>
            <w:pPr>
              <w:spacing w:after="0" w:line="259" w:lineRule="auto"/>
            </w:pPr>
            <w:r/>
            <w:r>
              <w:rPr>
                <w:rFonts w:ascii="Arial" w:hAnsi="Arial"/>
                <w:b w:val="0"/>
                <w:color w:val="0B1727"/>
                <w:sz w:val="17"/>
              </w:rPr>
              <w:t>Downtime frequency and mean restoration time</w:t>
            </w:r>
          </w:p>
        </w:tc>
      </w:tr>
    </w:tbl>
    <w:p>
      <w:pPr>
        <w:spacing w:after="0"/>
      </w:pPr>
    </w:p>
    <w:p>
      <w:pPr>
        <w:pStyle w:val="Heading2"/>
      </w:pPr>
      <w:r>
        <w:t>Important: Automation Does Not Guarantee Energy or Quality Improvement</w:t>
      </w:r>
    </w:p>
    <w:p>
      <w:r>
        <w:t>Automation can control a process more consistently, but it cannot correct every production problem. AAC block quality also depends on raw-material consistency, formulation, slurry condition, mixing, pre-curing, cutting condition, autoclave process and laboratory control. Likewise, steam or electricity savings require appropriate equipment, reliable metering, correct operating practices and comparable production conditions.</w:t>
      </w:r>
    </w:p>
    <w:p>
      <w:r>
        <w:t>Any proposed capacity gain, manpower reduction, rejection reduction, energy saving or payback should therefore state:</w:t>
      </w:r>
    </w:p>
    <w:p>
      <w:pPr>
        <w:pStyle w:val="ListBullet"/>
      </w:pPr>
      <w:r>
        <w:t>The baseline period and measurement method</w:t>
      </w:r>
    </w:p>
    <w:p>
      <w:pPr>
        <w:pStyle w:val="ListBullet"/>
      </w:pPr>
      <w:r>
        <w:t>The product mix and saleable production basis</w:t>
      </w:r>
    </w:p>
    <w:p>
      <w:pPr>
        <w:pStyle w:val="ListBullet"/>
      </w:pPr>
      <w:r>
        <w:t>The assumptions and exclusions used</w:t>
      </w:r>
    </w:p>
    <w:p>
      <w:pPr>
        <w:pStyle w:val="ListBullet"/>
      </w:pPr>
      <w:r>
        <w:t>The upgraded equipment and interface boundaries</w:t>
      </w:r>
    </w:p>
    <w:p>
      <w:pPr>
        <w:pStyle w:val="ListBullet"/>
      </w:pPr>
      <w:r>
        <w:t>The stabilisation period after commissioning</w:t>
      </w:r>
    </w:p>
    <w:p>
      <w:pPr>
        <w:pStyle w:val="ListBullet"/>
      </w:pPr>
      <w:r>
        <w:t>The acceptance criteria agreed before implementation</w:t>
      </w:r>
    </w:p>
    <w:p>
      <w:pPr>
        <w:pStyle w:val="Heading2"/>
      </w:pPr>
      <w:r>
        <w:t>When Automation May Not Be the Right First Step</w:t>
      </w:r>
    </w:p>
    <w:p>
      <w:r>
        <w:t>Repair, replacement or process correction may need priority when:</w:t>
      </w:r>
    </w:p>
    <w:p>
      <w:pPr>
        <w:pStyle w:val="ListBullet"/>
      </w:pPr>
      <w:r>
        <w:t>The core machinery is worn, unreliable or incorrectly sized</w:t>
      </w:r>
    </w:p>
    <w:p>
      <w:pPr>
        <w:pStyle w:val="ListBullet"/>
      </w:pPr>
      <w:r>
        <w:t>The production bottleneck has not been measured</w:t>
      </w:r>
    </w:p>
    <w:p>
      <w:pPr>
        <w:pStyle w:val="ListBullet"/>
      </w:pPr>
      <w:r>
        <w:t>Raw-material or recipe variation is the main cause of quality problems</w:t>
      </w:r>
    </w:p>
    <w:p>
      <w:pPr>
        <w:pStyle w:val="ListBullet"/>
      </w:pPr>
      <w:r>
        <w:t>The existing layout cannot support safe automatic movement</w:t>
      </w:r>
    </w:p>
    <w:p>
      <w:pPr>
        <w:pStyle w:val="ListBullet"/>
      </w:pPr>
      <w:r>
        <w:t>Electrical infrastructure or utilities are inadequate</w:t>
      </w:r>
    </w:p>
    <w:p>
      <w:pPr>
        <w:pStyle w:val="ListBullet"/>
      </w:pPr>
      <w:r>
        <w:t>The required shutdown cannot be provided</w:t>
      </w:r>
    </w:p>
    <w:p>
      <w:pPr>
        <w:pStyle w:val="ListBullet"/>
      </w:pPr>
      <w:r>
        <w:t>The plant lacks the maintenance and instrumentation capability required for the proposed system</w:t>
      </w:r>
    </w:p>
    <w:p>
      <w:pPr>
        <w:pStyle w:val="ListBullet"/>
      </w:pPr>
      <w:r>
        <w:t>The expected commercial benefit does not justify the total investment and operating complexity</w:t>
      </w:r>
    </w:p>
    <w:p>
      <w:pPr>
        <w:pStyle w:val="Heading2"/>
      </w:pPr>
      <w:r>
        <w:t>How an AAC Plant Automation Upgrade Is Executed</w:t>
      </w:r>
    </w:p>
    <w:p>
      <w:pPr>
        <w:spacing w:after="80"/>
      </w:pPr>
      <w:r>
        <w:rPr>
          <w:b/>
        </w:rPr>
        <w:t xml:space="preserve">1. Establish the baseline — </w:t>
      </w:r>
      <w:r>
        <w:t>Record saleable output, cycle times, downtime, rejection, manpower and utility consumption.</w:t>
      </w:r>
    </w:p>
    <w:p>
      <w:pPr>
        <w:spacing w:after="80"/>
      </w:pPr>
      <w:r>
        <w:rPr>
          <w:b/>
        </w:rPr>
        <w:t xml:space="preserve">2. Inspect the existing plant — </w:t>
      </w:r>
      <w:r>
        <w:t>Review equipment condition, layout, controls, utilities, safety and production interfaces.</w:t>
      </w:r>
    </w:p>
    <w:p>
      <w:pPr>
        <w:spacing w:after="80"/>
      </w:pPr>
      <w:r>
        <w:rPr>
          <w:b/>
        </w:rPr>
        <w:t xml:space="preserve">3. Identify the true constraint — </w:t>
      </w:r>
      <w:r>
        <w:t>Separate process, machinery, handling, control and operating problems.</w:t>
      </w:r>
    </w:p>
    <w:p>
      <w:pPr>
        <w:spacing w:after="80"/>
      </w:pPr>
      <w:r>
        <w:rPr>
          <w:b/>
        </w:rPr>
        <w:t xml:space="preserve">4. Select the upgrade level — </w:t>
      </w:r>
      <w:r>
        <w:t>Compare repair, selective automation, hybrid automation, full retrofit and new-line alternatives.</w:t>
      </w:r>
    </w:p>
    <w:p>
      <w:pPr>
        <w:spacing w:after="80"/>
      </w:pPr>
      <w:r>
        <w:rPr>
          <w:b/>
        </w:rPr>
        <w:t xml:space="preserve">5. Define scope and acceptance criteria — </w:t>
      </w:r>
      <w:r>
        <w:t>Document retained equipment, new supply, interface responsibilities, measurements and exclusions.</w:t>
      </w:r>
    </w:p>
    <w:p>
      <w:pPr>
        <w:spacing w:after="80"/>
      </w:pPr>
      <w:r>
        <w:rPr>
          <w:b/>
        </w:rPr>
        <w:t xml:space="preserve">6. Plan installation and shutdown — </w:t>
      </w:r>
      <w:r>
        <w:t>Complete design, off-site preparation and testing to minimise production interruption.</w:t>
      </w:r>
    </w:p>
    <w:p>
      <w:pPr>
        <w:spacing w:after="80"/>
      </w:pPr>
      <w:r>
        <w:rPr>
          <w:b/>
        </w:rPr>
        <w:t xml:space="preserve">7. Commission, train and stabilise — </w:t>
      </w:r>
      <w:r>
        <w:t>Test safety and sequences, train operators and maintenance teams, then verify performance after stabilisation.</w:t>
      </w:r>
    </w:p>
    <w:p>
      <w:pPr>
        <w:pStyle w:val="Heading2"/>
      </w:pPr>
      <w:r>
        <w:t>Cost and Payback Factors</w:t>
      </w:r>
    </w:p>
    <w:p>
      <w:r>
        <w:t>The cost of an AAC plant automation upgrade cannot be determined from plant capacity alone. It is influenced by:</w:t>
      </w:r>
    </w:p>
    <w:p>
      <w:pPr>
        <w:pStyle w:val="ListBullet"/>
      </w:pPr>
      <w:r>
        <w:t>Number of production sections included</w:t>
      </w:r>
    </w:p>
    <w:p>
      <w:pPr>
        <w:pStyle w:val="ListBullet"/>
      </w:pPr>
      <w:r>
        <w:t>Condition and compatibility of existing machinery</w:t>
      </w:r>
    </w:p>
    <w:p>
      <w:pPr>
        <w:pStyle w:val="ListBullet"/>
      </w:pPr>
      <w:r>
        <w:t>Mechanical modifications and material-handling equipment</w:t>
      </w:r>
    </w:p>
    <w:p>
      <w:pPr>
        <w:pStyle w:val="ListBullet"/>
      </w:pPr>
      <w:r>
        <w:t>PLC, SCADA, MCC, drives, sensors and instrumentation scope</w:t>
      </w:r>
    </w:p>
    <w:p>
      <w:pPr>
        <w:pStyle w:val="ListBullet"/>
      </w:pPr>
      <w:r>
        <w:t>Civil, structural, cable-routing and utility modifications</w:t>
      </w:r>
    </w:p>
    <w:p>
      <w:pPr>
        <w:pStyle w:val="ListBullet"/>
      </w:pPr>
      <w:r>
        <w:t>Safety guarding, interlocks and manual-recovery requirements</w:t>
      </w:r>
    </w:p>
    <w:p>
      <w:pPr>
        <w:pStyle w:val="ListBullet"/>
      </w:pPr>
      <w:r>
        <w:t>Installation location, shutdown duration and commissioning complexity</w:t>
      </w:r>
    </w:p>
    <w:p>
      <w:pPr>
        <w:pStyle w:val="ListBullet"/>
      </w:pPr>
      <w:r>
        <w:t>Training, spares, software backups and post-commissioning support</w:t>
      </w:r>
    </w:p>
    <w:tbl>
      <w:tblPr>
        <w:tblW w:type="auto" w:w="0"/>
        <w:tblLayout w:type="fixed"/>
        <w:tblLook w:firstColumn="1" w:firstRow="1" w:lastColumn="0" w:lastRow="0" w:noHBand="0" w:noVBand="1" w:val="04A0"/>
      </w:tblPr>
      <w:tblGrid>
        <w:gridCol w:w="9677"/>
      </w:tblGrid>
      <w:tr>
        <w:trPr>
          <w:cantSplit/>
        </w:trPr>
        <w:tc>
          <w:tcPr>
            <w:tcW w:type="dxa" w:w="9878"/>
            <w:shd w:fill="EEF2F5"/>
            <w:tcMar>
              <w:top w:w="160" w:type="dxa"/>
              <w:start w:w="180" w:type="dxa"/>
              <w:bottom w:w="160" w:type="dxa"/>
              <w:end w:w="180" w:type="dxa"/>
            </w:tcMar>
          </w:tcPr>
          <w:p>
            <w:pPr>
              <w:spacing w:after="60"/>
            </w:pPr>
            <w:r/>
            <w:r>
              <w:rPr>
                <w:rFonts w:ascii="Arial" w:hAnsi="Arial"/>
                <w:b/>
                <w:color w:val="0C4F80"/>
                <w:sz w:val="22"/>
              </w:rPr>
              <w:t>Simple payback should use verified operating benefit.</w:t>
            </w:r>
          </w:p>
          <w:p>
            <w:pPr>
              <w:spacing w:after="0" w:line="269" w:lineRule="auto"/>
            </w:pPr>
            <w:r>
              <w:rPr>
                <w:rFonts w:ascii="Arial" w:hAnsi="Arial"/>
                <w:color w:val="0B1727"/>
                <w:sz w:val="20"/>
              </w:rPr>
              <w:t>Simple payback (months) = Total upgrade investment ÷ Verified monthly operating benefit. The benefit should include only documented savings and contribution from additional saleable output, after accounting for added maintenance, technical manpower, finance and other recurring costs.</w:t>
            </w:r>
          </w:p>
        </w:tc>
      </w:tr>
    </w:tbl>
    <w:p>
      <w:pPr>
        <w:spacing w:after="0"/>
      </w:pPr>
    </w:p>
    <w:p>
      <w:pPr>
        <w:pStyle w:val="Heading2"/>
      </w:pPr>
      <w:r>
        <w:t>Installation, Safety and Long-Term Support</w:t>
      </w:r>
    </w:p>
    <w:p>
      <w:r>
        <w:t>Brownfield automation affects equipment that is already operating. The proposal should therefore define the shutdown sequence, temporary arrangements, equipment interfaces, commissioning tests and production ramp-up plan before work begins.</w:t>
      </w:r>
    </w:p>
    <w:p>
      <w:r>
        <w:t>Automatic movement and sequence control must also be supported by appropriate guarding, emergency stops, permissives, interlocks, alarms, safe manual recovery and documented operating procedures. Operators and maintenance personnel should receive role-specific training, and the plant should retain current electrical drawings, PLC/HMI backups, parameter records and a critical-spares list.</w:t>
      </w:r>
    </w:p>
    <w:p>
      <w:pPr>
        <w:pStyle w:val="Heading2"/>
      </w:pPr>
      <w:r>
        <w:t>Information Required for a Preliminary Assessment</w:t>
      </w:r>
    </w:p>
    <w:p>
      <w:r>
        <w:t>To begin an engineering discussion, share:</w:t>
      </w:r>
    </w:p>
    <w:p>
      <w:pPr>
        <w:pStyle w:val="ListBullet"/>
      </w:pPr>
      <w:r>
        <w:t>Plant location and present automation level</w:t>
      </w:r>
    </w:p>
    <w:p>
      <w:pPr>
        <w:pStyle w:val="ListBullet"/>
      </w:pPr>
      <w:r>
        <w:t>Batch size and average saleable production in m³/day</w:t>
      </w:r>
    </w:p>
    <w:p>
      <w:pPr>
        <w:pStyle w:val="ListBullet"/>
      </w:pPr>
      <w:r>
        <w:t>Target production and product mix</w:t>
      </w:r>
    </w:p>
    <w:p>
      <w:pPr>
        <w:pStyle w:val="ListBullet"/>
      </w:pPr>
      <w:r>
        <w:t>Main operational problem or bottleneck</w:t>
      </w:r>
    </w:p>
    <w:p>
      <w:pPr>
        <w:pStyle w:val="ListBullet"/>
      </w:pPr>
      <w:r>
        <w:t>Plant layout and available machinery list</w:t>
      </w:r>
    </w:p>
    <w:p>
      <w:pPr>
        <w:pStyle w:val="ListBullet"/>
      </w:pPr>
      <w:r>
        <w:t>Recent production, downtime and rejection records, if available</w:t>
      </w:r>
    </w:p>
    <w:p>
      <w:pPr>
        <w:pStyle w:val="ListBullet"/>
      </w:pPr>
      <w:r>
        <w:t>Photographs or videos of the relevant production sections</w:t>
      </w:r>
    </w:p>
    <w:p>
      <w:pPr>
        <w:pStyle w:val="ListBullet"/>
      </w:pPr>
      <w:r>
        <w:t>Preferred shutdown window and upgrade timeline</w:t>
      </w:r>
    </w:p>
    <w:p>
      <w:pPr>
        <w:pStyle w:val="Heading2"/>
      </w:pPr>
      <w:r>
        <w:t>Frequently Asked Questions</w:t>
      </w:r>
    </w:p>
    <w:p>
      <w:pPr>
        <w:spacing w:before="80" w:after="40"/>
      </w:pPr>
      <w:r>
        <w:rPr>
          <w:b/>
          <w:color w:val="0C4F80"/>
        </w:rPr>
        <w:t>Can every semi-automatic AAC plant be converted to fully automatic?</w:t>
      </w:r>
    </w:p>
    <w:p>
      <w:r>
        <w:t>No. Feasibility depends on machinery condition, layout, cycle compatibility, utilities, controls, safety requirements, shutdown availability and commercial payback.</w:t>
      </w:r>
    </w:p>
    <w:p>
      <w:pPr>
        <w:spacing w:before="80" w:after="40"/>
      </w:pPr>
      <w:r>
        <w:rPr>
          <w:b/>
          <w:color w:val="0C4F80"/>
        </w:rPr>
        <w:t>Should the complete plant be automated at one time?</w:t>
      </w:r>
    </w:p>
    <w:p>
      <w:r>
        <w:t>Not necessarily. A phased or hybrid upgrade may deliver better value when only selected operations are labour-intensive or production-constraining.</w:t>
      </w:r>
    </w:p>
    <w:p>
      <w:pPr>
        <w:spacing w:before="80" w:after="40"/>
      </w:pPr>
      <w:r>
        <w:rPr>
          <w:b/>
          <w:color w:val="0C4F80"/>
        </w:rPr>
        <w:t>Can equipment supplied by another manufacturer be integrated?</w:t>
      </w:r>
    </w:p>
    <w:p>
      <w:r>
        <w:t>Integration may be possible after checking mechanical interfaces, electrical documentation, PLC architecture, communication protocols, safety logic and responsibility boundaries.</w:t>
      </w:r>
    </w:p>
    <w:p>
      <w:pPr>
        <w:spacing w:before="80" w:after="40"/>
      </w:pPr>
      <w:r>
        <w:rPr>
          <w:b/>
          <w:color w:val="0C4F80"/>
        </w:rPr>
        <w:t>Will automation increase plant capacity?</w:t>
      </w:r>
    </w:p>
    <w:p>
      <w:r>
        <w:t>It may improve actual output if avoidable waiting, handling or sequence losses are the constraint. It cannot increase output beyond the limits of the remaining production system.</w:t>
      </w:r>
    </w:p>
    <w:p>
      <w:pPr>
        <w:spacing w:before="80" w:after="40"/>
      </w:pPr>
      <w:r>
        <w:rPr>
          <w:b/>
          <w:color w:val="0C4F80"/>
        </w:rPr>
        <w:t>Will automation reduce steam and electricity consumption?</w:t>
      </w:r>
    </w:p>
    <w:p>
      <w:r>
        <w:t>Not automatically. Savings must be linked to a specific source of loss and verified in kg steam/m³ and kWh/m³ under comparable operating conditions.</w:t>
      </w:r>
    </w:p>
    <w:p>
      <w:pPr>
        <w:spacing w:before="80" w:after="40"/>
      </w:pPr>
      <w:r>
        <w:rPr>
          <w:b/>
          <w:color w:val="0C4F80"/>
        </w:rPr>
        <w:t>Does a fully automatic plant require less skill?</w:t>
      </w:r>
    </w:p>
    <w:p>
      <w:r>
        <w:t>It may require fewer repetitive manual roles but normally needs stronger electrical, instrumentation and troubleshooting capability.</w:t>
      </w:r>
    </w:p>
    <w:p>
      <w:pPr>
        <w:spacing w:before="80" w:after="40"/>
      </w:pPr>
      <w:r>
        <w:rPr>
          <w:b/>
          <w:color w:val="0C4F80"/>
        </w:rPr>
        <w:t>How much shutdown is required?</w:t>
      </w:r>
    </w:p>
    <w:p>
      <w:r>
        <w:t>Shutdown depends on the scope, site condition and interface complexity. Off-site fabrication, control-panel testing and phased installation can reduce interruption.</w:t>
      </w:r>
    </w:p>
    <w:p>
      <w:pPr>
        <w:spacing w:before="80" w:after="40"/>
      </w:pPr>
      <w:r>
        <w:rPr>
          <w:b/>
          <w:color w:val="0C4F80"/>
        </w:rPr>
        <w:t>How should upgrade performance be accepted?</w:t>
      </w:r>
    </w:p>
    <w:p>
      <w:r>
        <w:t>Agree the baseline, measurement method, operating conditions, exclusions, stabilisation period and acceptance criteria before implementation.</w:t>
      </w:r>
    </w:p>
    <w:p>
      <w:pPr>
        <w:pStyle w:val="Heading1"/>
      </w:pPr>
      <w:r>
        <w:t>Request an AAC Plant Automation Assessment</w:t>
      </w:r>
    </w:p>
    <w:p>
      <w:r>
        <w:t>Planning to modernise an existing AAC plant? Begin with a technical assessment of the present process, equipment, layout, controls and operating data. Laxmi En-Fab can review the available information and help define the questions that must be resolved before an upgrade scope and proposal are prepared.</w:t>
      </w:r>
    </w:p>
    <w:tbl>
      <w:tblPr>
        <w:tblW w:type="auto" w:w="0"/>
        <w:tblLayout w:type="fixed"/>
        <w:tblLook w:firstColumn="1" w:firstRow="1" w:lastColumn="0" w:lastRow="0" w:noHBand="0" w:noVBand="1" w:val="04A0"/>
      </w:tblPr>
      <w:tblGrid>
        <w:gridCol w:w="9677"/>
      </w:tblGrid>
      <w:tr>
        <w:trPr>
          <w:cantSplit/>
        </w:trPr>
        <w:tc>
          <w:tcPr>
            <w:tcW w:type="dxa" w:w="9878"/>
            <w:shd w:fill="EEF2F5"/>
            <w:tcMar>
              <w:top w:w="160" w:type="dxa"/>
              <w:start w:w="180" w:type="dxa"/>
              <w:bottom w:w="160" w:type="dxa"/>
              <w:end w:w="180" w:type="dxa"/>
            </w:tcMar>
          </w:tcPr>
          <w:p>
            <w:pPr>
              <w:spacing w:after="60"/>
            </w:pPr>
            <w:r/>
            <w:r>
              <w:rPr>
                <w:rFonts w:ascii="Arial" w:hAnsi="Arial"/>
                <w:b/>
                <w:color w:val="0C4F80"/>
                <w:sz w:val="22"/>
              </w:rPr>
              <w:t>Primary action: Request an AAC Plant Automation Assessment</w:t>
            </w:r>
          </w:p>
          <w:p>
            <w:pPr>
              <w:spacing w:after="0" w:line="269" w:lineRule="auto"/>
            </w:pPr>
            <w:r>
              <w:rPr>
                <w:rFonts w:ascii="Arial" w:hAnsi="Arial"/>
                <w:color w:val="0B1727"/>
                <w:sz w:val="20"/>
              </w:rPr>
              <w:t>Share your present capacity, target output, main bottleneck, plant location and available layout or production records. Lower-commitment option: request the AAC Plant Upgrade Audit Checklist before arranging a detailed discussion.</w:t>
            </w:r>
          </w:p>
        </w:tc>
      </w:tr>
    </w:tbl>
    <w:p>
      <w:pPr>
        <w:spacing w:after="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17181"/>
        <w:sz w:val="15"/>
      </w:rPr>
      <w:t>Engineering-led guidance for existing AAC manufacturers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17181"/>
        <w:sz w:val="15"/>
      </w:rPr>
      <w:t>LAXMI EN-FAB PVT. LTD.  |  AAC PLANT PERFORMANCE IMPROVEMENT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B17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B1727"/>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C4F80"/>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B17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490" w:hanging="259"/>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490" w:hanging="259"/>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Plant Automation Upgrade</dc:title>
  <dc:subject>Publication-ready webpage copy for Laxmi En-Fab Pvt. Ltd.</dc:subject>
  <dc:creator>Laxmi En-Fab Pvt. Ltd.</dc:creator>
  <cp:keywords>AAC plant automation upgrade, AAC plant retrofit, AAC plant modernization</cp:keywords>
  <dc:description>Prepared from the submitted draft and SEO/GEO audit; no unverified numeric performance claims included.</dc:description>
  <cp:lastModifiedBy/>
  <cp:revision>1</cp:revision>
  <dcterms:created xsi:type="dcterms:W3CDTF">2013-12-23T23:15:00Z</dcterms:created>
  <dcterms:modified xsi:type="dcterms:W3CDTF">2013-12-23T23:15:00Z</dcterms:modified>
  <cp:category/>
</cp:coreProperties>
</file>