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i w:val="0"/>
          <w:color w:val="0C4F80"/>
          <w:sz w:val="18"/>
        </w:rPr>
        <w:t>TECHNICAL GUIDE  •  PUBLICATION-READY WEB CONTENT</w:t>
      </w:r>
    </w:p>
    <w:p>
      <w:pPr>
        <w:pStyle w:val="LEFTitle"/>
      </w:pPr>
      <w:r>
        <w:t>AAC Plant Maintenance SOP</w:t>
      </w:r>
    </w:p>
    <w:p>
      <w:pPr>
        <w:pStyle w:val="LEFSubtitle"/>
      </w:pPr>
      <w:r>
        <w:t>A practical machine-wise checklist for planned maintenance, safer operation and consistent AAC production</w:t>
      </w:r>
    </w:p>
    <w:tbl>
      <w:tblPr>
        <w:tblStyle w:val="TableGrid"/>
        <w:tblW w:type="dxa" w:w="9360"/>
        <w:jc w:val="left"/>
        <w:tblLayout w:type="fixed"/>
        <w:tblLook w:firstColumn="1" w:firstRow="1" w:lastColumn="0" w:lastRow="0" w:noHBand="0" w:noVBand="1" w:val="04A0"/>
        <w:tblInd w:w="120" w:type="dxa"/>
      </w:tblPr>
      <w:tblGrid>
        <w:gridCol w:w="1875"/>
        <w:gridCol w:w="7485"/>
      </w:tblGrid>
      <w:tr>
        <w:trPr>
          <w:tblHeader w:val="true"/>
        </w:trPr>
        <w:tc>
          <w:tcPr>
            <w:tcW w:type="dxa" w:w="1875"/>
            <w:shd w:fill="104F7D"/>
            <w:vAlign w:val="center"/>
            <w:tcMar>
              <w:top w:w="80" w:type="dxa"/>
              <w:start w:w="120" w:type="dxa"/>
              <w:bottom w:w="80" w:type="dxa"/>
              <w:end w:w="120" w:type="dxa"/>
            </w:tcMar>
          </w:tcPr>
          <w:p>
            <w:pPr>
              <w:spacing w:after="0"/>
            </w:pPr>
            <w:r>
              <w:rPr>
                <w:rFonts w:ascii="Calibri" w:hAnsi="Calibri"/>
                <w:b/>
                <w:i w:val="0"/>
                <w:color w:val="FFFFFF"/>
                <w:sz w:val="20"/>
              </w:rPr>
              <w:t>SEO FIELD</w:t>
            </w:r>
          </w:p>
        </w:tc>
        <w:tc>
          <w:tcPr>
            <w:tcW w:type="dxa" w:w="7485"/>
            <w:shd w:fill="104F7D"/>
            <w:vAlign w:val="center"/>
            <w:tcMar>
              <w:top w:w="80" w:type="dxa"/>
              <w:start w:w="120" w:type="dxa"/>
              <w:bottom w:w="80" w:type="dxa"/>
              <w:end w:w="120" w:type="dxa"/>
            </w:tcMar>
          </w:tcPr>
          <w:p>
            <w:pPr>
              <w:spacing w:after="0"/>
            </w:pPr>
            <w:r>
              <w:rPr>
                <w:rFonts w:ascii="Calibri" w:hAnsi="Calibri"/>
                <w:b/>
                <w:i w:val="0"/>
                <w:color w:val="FFFFFF"/>
                <w:sz w:val="20"/>
              </w:rPr>
              <w:t>RECOMMENDATION</w:t>
            </w:r>
          </w:p>
        </w:tc>
      </w:tr>
      <w:tr>
        <w:tc>
          <w:tcPr>
            <w:tcW w:type="dxa" w:w="1875"/>
            <w:vAlign w:val="center"/>
            <w:tcMar>
              <w:top w:w="80" w:type="dxa"/>
              <w:start w:w="120" w:type="dxa"/>
              <w:bottom w:w="80" w:type="dxa"/>
              <w:end w:w="120" w:type="dxa"/>
            </w:tcMar>
          </w:tcPr>
          <w:p>
            <w:pPr>
              <w:spacing w:after="0" w:line="264" w:lineRule="auto"/>
            </w:pPr>
            <w:r>
              <w:rPr>
                <w:rFonts w:ascii="Calibri" w:hAnsi="Calibri"/>
                <w:b w:val="0"/>
                <w:i w:val="0"/>
                <w:color w:val="0B1727"/>
                <w:sz w:val="19"/>
              </w:rPr>
              <w:t>SEO title</w:t>
            </w:r>
          </w:p>
        </w:tc>
        <w:tc>
          <w:tcPr>
            <w:tcW w:type="dxa" w:w="7485"/>
            <w:vAlign w:val="center"/>
            <w:tcMar>
              <w:top w:w="80" w:type="dxa"/>
              <w:start w:w="120" w:type="dxa"/>
              <w:bottom w:w="80" w:type="dxa"/>
              <w:end w:w="120" w:type="dxa"/>
            </w:tcMar>
          </w:tcPr>
          <w:p>
            <w:pPr>
              <w:spacing w:after="0" w:line="264" w:lineRule="auto"/>
            </w:pPr>
            <w:r>
              <w:rPr>
                <w:rFonts w:ascii="Calibri" w:hAnsi="Calibri"/>
                <w:b w:val="0"/>
                <w:i w:val="0"/>
                <w:color w:val="0B1727"/>
                <w:sz w:val="19"/>
              </w:rPr>
              <w:t>AAC Plant Maintenance SOP &amp; Checklist | Laxmi En-Fab</w:t>
            </w:r>
          </w:p>
        </w:tc>
      </w:tr>
      <w:tr>
        <w:tc>
          <w:tcPr>
            <w:tcW w:type="dxa" w:w="1875"/>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Meta description</w:t>
            </w:r>
          </w:p>
        </w:tc>
        <w:tc>
          <w:tcPr>
            <w:tcW w:type="dxa" w:w="7485"/>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Use this machine-wise AAC plant maintenance SOP to plan routine inspections, reduce avoidable downtime and support consistent AAC block production.</w:t>
            </w:r>
          </w:p>
        </w:tc>
      </w:tr>
      <w:tr>
        <w:tc>
          <w:tcPr>
            <w:tcW w:type="dxa" w:w="1875"/>
            <w:vAlign w:val="center"/>
            <w:tcMar>
              <w:top w:w="80" w:type="dxa"/>
              <w:start w:w="120" w:type="dxa"/>
              <w:bottom w:w="80" w:type="dxa"/>
              <w:end w:w="120" w:type="dxa"/>
            </w:tcMar>
          </w:tcPr>
          <w:p>
            <w:pPr>
              <w:spacing w:after="0" w:line="264" w:lineRule="auto"/>
            </w:pPr>
            <w:r>
              <w:rPr>
                <w:rFonts w:ascii="Calibri" w:hAnsi="Calibri"/>
                <w:b w:val="0"/>
                <w:i w:val="0"/>
                <w:color w:val="0B1727"/>
                <w:sz w:val="19"/>
              </w:rPr>
              <w:t>URL slug</w:t>
            </w:r>
          </w:p>
        </w:tc>
        <w:tc>
          <w:tcPr>
            <w:tcW w:type="dxa" w:w="7485"/>
            <w:vAlign w:val="center"/>
            <w:tcMar>
              <w:top w:w="80" w:type="dxa"/>
              <w:start w:w="120" w:type="dxa"/>
              <w:bottom w:w="80" w:type="dxa"/>
              <w:end w:w="120" w:type="dxa"/>
            </w:tcMar>
          </w:tcPr>
          <w:p>
            <w:pPr>
              <w:spacing w:after="0" w:line="264" w:lineRule="auto"/>
            </w:pPr>
            <w:r>
              <w:rPr>
                <w:rFonts w:ascii="Calibri" w:hAnsi="Calibri"/>
                <w:b w:val="0"/>
                <w:i w:val="0"/>
                <w:color w:val="0B1727"/>
                <w:sz w:val="19"/>
              </w:rPr>
              <w:t>/aac-plant-maintenance-sop/</w:t>
            </w:r>
          </w:p>
        </w:tc>
      </w:tr>
      <w:tr>
        <w:tc>
          <w:tcPr>
            <w:tcW w:type="dxa" w:w="1875"/>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Primary keyword</w:t>
            </w:r>
          </w:p>
        </w:tc>
        <w:tc>
          <w:tcPr>
            <w:tcW w:type="dxa" w:w="7485"/>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AAC Plant Maintenance SOP</w:t>
            </w:r>
          </w:p>
        </w:tc>
      </w:tr>
    </w:tbl>
    <w:p>
      <w:pPr>
        <w:spacing w:after="0"/>
      </w:pPr>
    </w:p>
    <w:p>
      <w:pPr>
        <w:pStyle w:val="Heading1"/>
      </w:pPr>
      <w:r>
        <w:t>AAC Plant Maintenance SOP: A Practical Machine-Wise Checklist</w:t>
      </w:r>
    </w:p>
    <w:p>
      <w:pPr>
        <w:keepLines w:val="0"/>
      </w:pPr>
      <w:r>
        <w:rPr>
          <w:rFonts w:ascii="Calibri" w:hAnsi="Calibri"/>
          <w:b w:val="0"/>
          <w:i w:val="0"/>
          <w:color w:val="0B1727"/>
          <w:sz w:val="22"/>
        </w:rPr>
        <w:t>An AAC plant maintenance SOP is a structured system for inspecting, servicing and recording the condition of production machinery and utilities. It should define what must be checked, how frequently it should be checked, who is responsible and when an abnormal condition must be escalated.</w:t>
      </w:r>
    </w:p>
    <w:p>
      <w:pPr>
        <w:keepLines w:val="0"/>
      </w:pPr>
      <w:r>
        <w:rPr>
          <w:rFonts w:ascii="Calibri" w:hAnsi="Calibri"/>
          <w:b w:val="0"/>
          <w:i w:val="0"/>
          <w:color w:val="0B1727"/>
          <w:sz w:val="22"/>
        </w:rPr>
        <w:t>Because an AAC plant operates as one connected production line, a fault in batching, mould handling, cutting, material transfer, autoclaving or automation can affect downstream production.</w:t>
      </w:r>
    </w:p>
    <w:p>
      <w:pPr>
        <w:keepLines w:val="0"/>
      </w:pPr>
      <w:r>
        <w:rPr>
          <w:rFonts w:ascii="Calibri" w:hAnsi="Calibri"/>
          <w:b w:val="0"/>
          <w:i w:val="0"/>
          <w:color w:val="0B1727"/>
          <w:sz w:val="22"/>
        </w:rPr>
        <w:t>An effective maintenance programme should support four connected objectives:</w:t>
      </w:r>
    </w:p>
    <w:p>
      <w:pPr>
        <w:pStyle w:val="ListBullet"/>
        <w:spacing w:after="80" w:line="300" w:lineRule="auto"/>
        <w:ind w:left="540" w:hanging="271"/>
      </w:pPr>
      <w:r>
        <w:rPr>
          <w:rFonts w:ascii="Calibri" w:hAnsi="Calibri"/>
          <w:b w:val="0"/>
          <w:i w:val="0"/>
          <w:color w:val="0B1727"/>
          <w:sz w:val="22"/>
        </w:rPr>
        <w:t>Safe equipment operation</w:t>
      </w:r>
    </w:p>
    <w:p>
      <w:pPr>
        <w:pStyle w:val="ListBullet"/>
        <w:spacing w:after="80" w:line="300" w:lineRule="auto"/>
        <w:ind w:left="540" w:hanging="271"/>
      </w:pPr>
      <w:r>
        <w:rPr>
          <w:rFonts w:ascii="Calibri" w:hAnsi="Calibri"/>
          <w:b w:val="0"/>
          <w:i w:val="0"/>
          <w:color w:val="0B1727"/>
          <w:sz w:val="22"/>
        </w:rPr>
        <w:t>Stable production</w:t>
      </w:r>
    </w:p>
    <w:p>
      <w:pPr>
        <w:pStyle w:val="ListBullet"/>
        <w:spacing w:after="80" w:line="300" w:lineRule="auto"/>
        <w:ind w:left="540" w:hanging="271"/>
      </w:pPr>
      <w:r>
        <w:rPr>
          <w:rFonts w:ascii="Calibri" w:hAnsi="Calibri"/>
          <w:b w:val="0"/>
          <w:i w:val="0"/>
          <w:color w:val="0B1727"/>
          <w:sz w:val="22"/>
        </w:rPr>
        <w:t>Consistent AAC block quality</w:t>
      </w:r>
    </w:p>
    <w:p>
      <w:pPr>
        <w:pStyle w:val="ListBullet"/>
        <w:spacing w:after="80" w:line="300" w:lineRule="auto"/>
        <w:ind w:left="540" w:hanging="271"/>
      </w:pPr>
      <w:r>
        <w:rPr>
          <w:rFonts w:ascii="Calibri" w:hAnsi="Calibri"/>
          <w:b w:val="0"/>
          <w:i w:val="0"/>
          <w:color w:val="0B1727"/>
          <w:sz w:val="22"/>
        </w:rPr>
        <w:t>Planned rather than reactive maintenance</w:t>
      </w:r>
    </w:p>
    <w:p>
      <w:pPr>
        <w:keepLines w:val="0"/>
      </w:pPr>
      <w:r>
        <w:rPr>
          <w:rFonts w:ascii="Calibri" w:hAnsi="Calibri"/>
          <w:b w:val="0"/>
          <w:i w:val="0"/>
          <w:color w:val="0B1727"/>
          <w:sz w:val="22"/>
        </w:rPr>
        <w:t>This framework can help existing AAC manufacturers organise their maintenance programme. Actual tasks and frequencies must be adapted to the plant configuration, operating hours, equipment condition, OEM manuals and applicable statutory requirements.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EF2F5"/>
            <w:vAlign w:val="center"/>
            <w:tcMar>
              <w:top w:w="80" w:type="dxa"/>
              <w:start w:w="120" w:type="dxa"/>
              <w:bottom w:w="80" w:type="dxa"/>
              <w:end w:w="120" w:type="dxa"/>
            </w:tcMar>
          </w:tcPr>
          <w:p>
            <w:pPr>
              <w:pStyle w:val="LEFCallout"/>
            </w:pPr>
            <w:r>
              <w:rPr>
                <w:rFonts w:ascii="Calibri" w:hAnsi="Calibri"/>
                <w:b/>
                <w:i w:val="0"/>
                <w:color w:val="9B1C1C"/>
                <w:sz w:val="21"/>
              </w:rPr>
              <w:t>IMPORTANT SAFETY NOTE</w:t>
              <w:br/>
            </w:r>
            <w:r>
              <w:rPr>
                <w:rFonts w:ascii="Calibri" w:hAnsi="Calibri"/>
                <w:b w:val="0"/>
                <w:i w:val="0"/>
                <w:color w:val="0B1727"/>
                <w:sz w:val="21"/>
              </w:rPr>
              <w:t>This page is a general maintenance-planning framework. It is not a substitute for an approved plant-specific SOP, equipment manual, permit-to-work system or statutory inspection procedure. Before maintenance begins, authorised personnel must identify and isolate all relevant electrical, mechanical, hydraulic, pneumatic, steam, pressure and stored-energy sources. Pressure vessels, boilers, electrical systems and lifting equipment must be inspected or serviced only by appropriately authorised and competent personnel.</w:t>
            </w:r>
          </w:p>
        </w:tc>
      </w:tr>
    </w:tbl>
    <w:p>
      <w:pPr>
        <w:pStyle w:val="Heading1"/>
      </w:pPr>
      <w:r>
        <w:t>Why Preventive Maintenance Matters in an AAC Plant</w:t>
      </w:r>
    </w:p>
    <w:p>
      <w:pPr>
        <w:keepLines w:val="0"/>
      </w:pPr>
      <w:r>
        <w:rPr>
          <w:rFonts w:ascii="Calibri" w:hAnsi="Calibri"/>
          <w:b w:val="0"/>
          <w:i w:val="0"/>
          <w:color w:val="0B1727"/>
          <w:sz w:val="22"/>
        </w:rPr>
        <w:t>Preventive maintenance is not limited to lubrication and part replacement. It helps the plant team identify developing faults before they result in production stoppages, secondary equipment damage or product-quality variation.</w:t>
      </w:r>
    </w:p>
    <w:p>
      <w:pPr>
        <w:pStyle w:val="ListBullet"/>
        <w:spacing w:after="80" w:line="300" w:lineRule="auto"/>
        <w:ind w:left="540" w:hanging="271"/>
      </w:pPr>
      <w:r>
        <w:rPr>
          <w:rFonts w:ascii="Calibri" w:hAnsi="Calibri"/>
          <w:b w:val="0"/>
          <w:i w:val="0"/>
          <w:color w:val="0B1727"/>
          <w:sz w:val="22"/>
        </w:rPr>
        <w:t>Detect abnormal vibration, temperature, leakage or noise</w:t>
      </w:r>
    </w:p>
    <w:p>
      <w:pPr>
        <w:pStyle w:val="ListBullet"/>
        <w:spacing w:after="80" w:line="300" w:lineRule="auto"/>
        <w:ind w:left="540" w:hanging="271"/>
      </w:pPr>
      <w:r>
        <w:rPr>
          <w:rFonts w:ascii="Calibri" w:hAnsi="Calibri"/>
          <w:b w:val="0"/>
          <w:i w:val="0"/>
          <w:color w:val="0B1727"/>
          <w:sz w:val="22"/>
        </w:rPr>
        <w:t>Plan component replacement during scheduled stoppages</w:t>
      </w:r>
    </w:p>
    <w:p>
      <w:pPr>
        <w:pStyle w:val="ListBullet"/>
        <w:spacing w:after="80" w:line="300" w:lineRule="auto"/>
        <w:ind w:left="540" w:hanging="271"/>
      </w:pPr>
      <w:r>
        <w:rPr>
          <w:rFonts w:ascii="Calibri" w:hAnsi="Calibri"/>
          <w:b w:val="0"/>
          <w:i w:val="0"/>
          <w:color w:val="0B1727"/>
          <w:sz w:val="22"/>
        </w:rPr>
        <w:t>Maintain equipment alignment and operating condition</w:t>
      </w:r>
    </w:p>
    <w:p>
      <w:pPr>
        <w:pStyle w:val="ListBullet"/>
        <w:spacing w:after="80" w:line="300" w:lineRule="auto"/>
        <w:ind w:left="540" w:hanging="271"/>
      </w:pPr>
      <w:r>
        <w:rPr>
          <w:rFonts w:ascii="Calibri" w:hAnsi="Calibri"/>
          <w:b w:val="0"/>
          <w:i w:val="0"/>
          <w:color w:val="0B1727"/>
          <w:sz w:val="22"/>
        </w:rPr>
        <w:t>Identify recurring faults through maintenance records</w:t>
      </w:r>
    </w:p>
    <w:p>
      <w:pPr>
        <w:pStyle w:val="ListBullet"/>
        <w:spacing w:after="80" w:line="300" w:lineRule="auto"/>
        <w:ind w:left="540" w:hanging="271"/>
      </w:pPr>
      <w:r>
        <w:rPr>
          <w:rFonts w:ascii="Calibri" w:hAnsi="Calibri"/>
          <w:b w:val="0"/>
          <w:i w:val="0"/>
          <w:color w:val="0B1727"/>
          <w:sz w:val="22"/>
        </w:rPr>
        <w:t>Reduce avoidable emergency repairs</w:t>
      </w:r>
    </w:p>
    <w:p>
      <w:pPr>
        <w:pStyle w:val="ListBullet"/>
        <w:spacing w:after="80" w:line="300" w:lineRule="auto"/>
        <w:ind w:left="540" w:hanging="271"/>
      </w:pPr>
      <w:r>
        <w:rPr>
          <w:rFonts w:ascii="Calibri" w:hAnsi="Calibri"/>
          <w:b w:val="0"/>
          <w:i w:val="0"/>
          <w:color w:val="0B1727"/>
          <w:sz w:val="22"/>
        </w:rPr>
        <w:t>Coordinate maintenance with production planning</w:t>
      </w:r>
    </w:p>
    <w:p>
      <w:pPr>
        <w:pStyle w:val="ListBullet"/>
        <w:spacing w:after="80" w:line="300" w:lineRule="auto"/>
        <w:ind w:left="540" w:hanging="271"/>
      </w:pPr>
      <w:r>
        <w:rPr>
          <w:rFonts w:ascii="Calibri" w:hAnsi="Calibri"/>
          <w:b w:val="0"/>
          <w:i w:val="0"/>
          <w:color w:val="0B1727"/>
          <w:sz w:val="22"/>
        </w:rPr>
        <w:t>Support safe and controlled equipment restart</w:t>
      </w:r>
    </w:p>
    <w:p>
      <w:pPr>
        <w:keepLines w:val="0"/>
      </w:pPr>
      <w:r>
        <w:rPr>
          <w:rFonts w:ascii="Calibri" w:hAnsi="Calibri"/>
          <w:b w:val="0"/>
          <w:i w:val="0"/>
          <w:color w:val="0B1727"/>
          <w:sz w:val="22"/>
        </w:rPr>
        <w:t>Maintenance should be connected with production and quality-control records. Changes in slurry-density readings, weighing accuracy, mould condition or cutting-system alignment may require investigation when finished-block quality begins to vary.</w:t>
      </w:r>
    </w:p>
    <w:p>
      <w:pPr>
        <w:pStyle w:val="Heading1"/>
      </w:pPr>
      <w:r>
        <w:t>How Should Maintenance Frequency Be Decided?</w:t>
      </w:r>
    </w:p>
    <w:p>
      <w:pPr>
        <w:keepLines w:val="0"/>
      </w:pPr>
      <w:r>
        <w:rPr>
          <w:rFonts w:ascii="Calibri" w:hAnsi="Calibri"/>
          <w:b w:val="0"/>
          <w:i w:val="0"/>
          <w:color w:val="0B1727"/>
          <w:sz w:val="22"/>
        </w:rPr>
        <w:t>Maintenance frequency should not be copied blindly from a generic calendar. The final schedule should consider:</w:t>
      </w:r>
    </w:p>
    <w:p>
      <w:pPr>
        <w:pStyle w:val="ListBullet"/>
        <w:spacing w:after="80" w:line="300" w:lineRule="auto"/>
        <w:ind w:left="540" w:hanging="271"/>
      </w:pPr>
      <w:r>
        <w:rPr>
          <w:rFonts w:ascii="Calibri" w:hAnsi="Calibri"/>
          <w:b w:val="0"/>
          <w:i w:val="0"/>
          <w:color w:val="0B1727"/>
          <w:sz w:val="22"/>
        </w:rPr>
        <w:t>OEM recommendations</w:t>
      </w:r>
    </w:p>
    <w:p>
      <w:pPr>
        <w:pStyle w:val="ListBullet"/>
        <w:spacing w:after="80" w:line="300" w:lineRule="auto"/>
        <w:ind w:left="540" w:hanging="271"/>
      </w:pPr>
      <w:r>
        <w:rPr>
          <w:rFonts w:ascii="Calibri" w:hAnsi="Calibri"/>
          <w:b w:val="0"/>
          <w:i w:val="0"/>
          <w:color w:val="0B1727"/>
          <w:sz w:val="22"/>
        </w:rPr>
        <w:t>Equipment operating hours and number of cycles</w:t>
      </w:r>
    </w:p>
    <w:p>
      <w:pPr>
        <w:pStyle w:val="ListBullet"/>
        <w:spacing w:after="80" w:line="300" w:lineRule="auto"/>
        <w:ind w:left="540" w:hanging="271"/>
      </w:pPr>
      <w:r>
        <w:rPr>
          <w:rFonts w:ascii="Calibri" w:hAnsi="Calibri"/>
          <w:b w:val="0"/>
          <w:i w:val="0"/>
          <w:color w:val="0B1727"/>
          <w:sz w:val="22"/>
        </w:rPr>
        <w:t>Production shifts and plant utilisation</w:t>
      </w:r>
    </w:p>
    <w:p>
      <w:pPr>
        <w:pStyle w:val="ListBullet"/>
        <w:spacing w:after="80" w:line="300" w:lineRule="auto"/>
        <w:ind w:left="540" w:hanging="271"/>
      </w:pPr>
      <w:r>
        <w:rPr>
          <w:rFonts w:ascii="Calibri" w:hAnsi="Calibri"/>
          <w:b w:val="0"/>
          <w:i w:val="0"/>
          <w:color w:val="0B1727"/>
          <w:sz w:val="22"/>
        </w:rPr>
        <w:t>Dust, heat, moisture and vibration exposure</w:t>
      </w:r>
    </w:p>
    <w:p>
      <w:pPr>
        <w:pStyle w:val="ListBullet"/>
        <w:spacing w:after="80" w:line="300" w:lineRule="auto"/>
        <w:ind w:left="540" w:hanging="271"/>
      </w:pPr>
      <w:r>
        <w:rPr>
          <w:rFonts w:ascii="Calibri" w:hAnsi="Calibri"/>
          <w:b w:val="0"/>
          <w:i w:val="0"/>
          <w:color w:val="0B1727"/>
          <w:sz w:val="22"/>
        </w:rPr>
        <w:t>Equipment age and service history</w:t>
      </w:r>
    </w:p>
    <w:p>
      <w:pPr>
        <w:pStyle w:val="ListBullet"/>
        <w:spacing w:after="80" w:line="300" w:lineRule="auto"/>
        <w:ind w:left="540" w:hanging="271"/>
      </w:pPr>
      <w:r>
        <w:rPr>
          <w:rFonts w:ascii="Calibri" w:hAnsi="Calibri"/>
          <w:b w:val="0"/>
          <w:i w:val="0"/>
          <w:color w:val="0B1727"/>
          <w:sz w:val="22"/>
        </w:rPr>
        <w:t>Failure consequence and equipment criticality</w:t>
      </w:r>
    </w:p>
    <w:p>
      <w:pPr>
        <w:pStyle w:val="ListBullet"/>
        <w:spacing w:after="80" w:line="300" w:lineRule="auto"/>
        <w:ind w:left="540" w:hanging="271"/>
      </w:pPr>
      <w:r>
        <w:rPr>
          <w:rFonts w:ascii="Calibri" w:hAnsi="Calibri"/>
          <w:b w:val="0"/>
          <w:i w:val="0"/>
          <w:color w:val="0B1727"/>
          <w:sz w:val="22"/>
        </w:rPr>
        <w:t>Availability of standby equipment</w:t>
      </w:r>
    </w:p>
    <w:p>
      <w:pPr>
        <w:pStyle w:val="ListBullet"/>
        <w:spacing w:after="80" w:line="300" w:lineRule="auto"/>
        <w:ind w:left="540" w:hanging="271"/>
      </w:pPr>
      <w:r>
        <w:rPr>
          <w:rFonts w:ascii="Calibri" w:hAnsi="Calibri"/>
          <w:b w:val="0"/>
          <w:i w:val="0"/>
          <w:color w:val="0B1727"/>
          <w:sz w:val="22"/>
        </w:rPr>
        <w:t>Condition-monitoring results</w:t>
      </w:r>
    </w:p>
    <w:p>
      <w:pPr>
        <w:pStyle w:val="ListBullet"/>
        <w:spacing w:after="80" w:line="300" w:lineRule="auto"/>
        <w:ind w:left="540" w:hanging="271"/>
      </w:pPr>
      <w:r>
        <w:rPr>
          <w:rFonts w:ascii="Calibri" w:hAnsi="Calibri"/>
          <w:b w:val="0"/>
          <w:i w:val="0"/>
          <w:color w:val="0B1727"/>
          <w:sz w:val="22"/>
        </w:rPr>
        <w:t>Applicable statutory inspection requirements</w:t>
      </w:r>
    </w:p>
    <w:p>
      <w:pPr>
        <w:keepLines w:val="0"/>
      </w:pPr>
      <w:r>
        <w:rPr>
          <w:rFonts w:ascii="Calibri" w:hAnsi="Calibri"/>
          <w:b w:val="0"/>
          <w:i w:val="0"/>
          <w:color w:val="0B1727"/>
          <w:sz w:val="22"/>
        </w:rPr>
        <w:t>A daily, weekly, monthly or shutdown frequency may be used as a starting framework. The plant’s maintenance head should approve the final interval after reviewing actual operating conditions and equipment documentation.</w:t>
      </w:r>
    </w:p>
    <w:p>
      <w:pPr>
        <w:pStyle w:val="Heading1"/>
      </w:pPr>
      <w:r>
        <w:t>AAC Plant Maintenance Responsibilities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04F7D"/>
            <w:vAlign w:val="center"/>
            <w:tcMar>
              <w:top w:w="80" w:type="dxa"/>
              <w:start w:w="120" w:type="dxa"/>
              <w:bottom w:w="80" w:type="dxa"/>
              <w:end w:w="120" w:type="dxa"/>
            </w:tcMar>
          </w:tcPr>
          <w:p>
            <w:pPr>
              <w:spacing w:after="0"/>
            </w:pPr>
            <w:r>
              <w:rPr>
                <w:rFonts w:ascii="Calibri" w:hAnsi="Calibri"/>
                <w:b/>
                <w:i w:val="0"/>
                <w:color w:val="FFFFFF"/>
                <w:sz w:val="20"/>
              </w:rPr>
              <w:t>ROLE</w:t>
            </w:r>
          </w:p>
        </w:tc>
        <w:tc>
          <w:tcPr>
            <w:tcW w:type="dxa" w:w="7060"/>
            <w:shd w:fill="104F7D"/>
            <w:vAlign w:val="center"/>
            <w:tcMar>
              <w:top w:w="80" w:type="dxa"/>
              <w:start w:w="120" w:type="dxa"/>
              <w:bottom w:w="80" w:type="dxa"/>
              <w:end w:w="120" w:type="dxa"/>
            </w:tcMar>
          </w:tcPr>
          <w:p>
            <w:pPr>
              <w:spacing w:after="0"/>
            </w:pPr>
            <w:r>
              <w:rPr>
                <w:rFonts w:ascii="Calibri" w:hAnsi="Calibri"/>
                <w:b/>
                <w:i w:val="0"/>
                <w:color w:val="FFFFFF"/>
                <w:sz w:val="20"/>
              </w:rPr>
              <w:t>PRIMARY RESPONSIBILITY</w:t>
            </w:r>
          </w:p>
        </w:tc>
      </w:tr>
      <w:tr>
        <w:tc>
          <w:tcPr>
            <w:tcW w:type="dxa" w:w="2300"/>
            <w:vAlign w:val="center"/>
            <w:tcMar>
              <w:top w:w="80" w:type="dxa"/>
              <w:start w:w="120" w:type="dxa"/>
              <w:bottom w:w="80" w:type="dxa"/>
              <w:end w:w="120" w:type="dxa"/>
            </w:tcMar>
          </w:tcPr>
          <w:p>
            <w:pPr>
              <w:spacing w:after="0" w:line="264" w:lineRule="auto"/>
            </w:pPr>
            <w:r>
              <w:rPr>
                <w:rFonts w:ascii="Calibri" w:hAnsi="Calibri"/>
                <w:b w:val="0"/>
                <w:i w:val="0"/>
                <w:color w:val="0B1727"/>
                <w:sz w:val="19"/>
              </w:rPr>
              <w:t>Machine operator</w:t>
            </w:r>
          </w:p>
        </w:tc>
        <w:tc>
          <w:tcPr>
            <w:tcW w:type="dxa" w:w="7060"/>
            <w:vAlign w:val="center"/>
            <w:tcMar>
              <w:top w:w="80" w:type="dxa"/>
              <w:start w:w="120" w:type="dxa"/>
              <w:bottom w:w="80" w:type="dxa"/>
              <w:end w:w="120" w:type="dxa"/>
            </w:tcMar>
          </w:tcPr>
          <w:p>
            <w:pPr>
              <w:spacing w:after="0" w:line="264" w:lineRule="auto"/>
            </w:pPr>
            <w:r>
              <w:rPr>
                <w:rFonts w:ascii="Calibri" w:hAnsi="Calibri"/>
                <w:b w:val="0"/>
                <w:i w:val="0"/>
                <w:color w:val="0B1727"/>
                <w:sz w:val="19"/>
              </w:rPr>
              <w:t>Pre-start observations, approved cleaning, abnormal-condition reporting and log entry</w:t>
            </w:r>
          </w:p>
        </w:tc>
      </w:tr>
      <w:tr>
        <w:tc>
          <w:tcPr>
            <w:tcW w:type="dxa" w:w="230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Mechanical team</w:t>
            </w:r>
          </w:p>
        </w:tc>
        <w:tc>
          <w:tcPr>
            <w:tcW w:type="dxa" w:w="706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Drives, bearings, gearboxes, chains, alignment, lubrication, cranes and hydraulic systems</w:t>
            </w:r>
          </w:p>
        </w:tc>
      </w:tr>
      <w:tr>
        <w:tc>
          <w:tcPr>
            <w:tcW w:type="dxa" w:w="2300"/>
            <w:vAlign w:val="center"/>
            <w:tcMar>
              <w:top w:w="80" w:type="dxa"/>
              <w:start w:w="120" w:type="dxa"/>
              <w:bottom w:w="80" w:type="dxa"/>
              <w:end w:w="120" w:type="dxa"/>
            </w:tcMar>
          </w:tcPr>
          <w:p>
            <w:pPr>
              <w:spacing w:after="0" w:line="264" w:lineRule="auto"/>
            </w:pPr>
            <w:r>
              <w:rPr>
                <w:rFonts w:ascii="Calibri" w:hAnsi="Calibri"/>
                <w:b w:val="0"/>
                <w:i w:val="0"/>
                <w:color w:val="0B1727"/>
                <w:sz w:val="19"/>
              </w:rPr>
              <w:t>Electrical team</w:t>
            </w:r>
          </w:p>
        </w:tc>
        <w:tc>
          <w:tcPr>
            <w:tcW w:type="dxa" w:w="7060"/>
            <w:vAlign w:val="center"/>
            <w:tcMar>
              <w:top w:w="80" w:type="dxa"/>
              <w:start w:w="120" w:type="dxa"/>
              <w:bottom w:w="80" w:type="dxa"/>
              <w:end w:w="120" w:type="dxa"/>
            </w:tcMar>
          </w:tcPr>
          <w:p>
            <w:pPr>
              <w:spacing w:after="0" w:line="264" w:lineRule="auto"/>
            </w:pPr>
            <w:r>
              <w:rPr>
                <w:rFonts w:ascii="Calibri" w:hAnsi="Calibri"/>
                <w:b w:val="0"/>
                <w:i w:val="0"/>
                <w:color w:val="0B1727"/>
                <w:sz w:val="19"/>
              </w:rPr>
              <w:t>Motors, cables, MCC panels, protection devices and electrical isolation</w:t>
            </w:r>
          </w:p>
        </w:tc>
      </w:tr>
      <w:tr>
        <w:tc>
          <w:tcPr>
            <w:tcW w:type="dxa" w:w="230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Instrumentation team</w:t>
            </w:r>
          </w:p>
        </w:tc>
        <w:tc>
          <w:tcPr>
            <w:tcW w:type="dxa" w:w="706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Sensors, load cells, interlocks, PLC inputs, alarms and control-system checks</w:t>
            </w:r>
          </w:p>
        </w:tc>
      </w:tr>
      <w:tr>
        <w:tc>
          <w:tcPr>
            <w:tcW w:type="dxa" w:w="2300"/>
            <w:vAlign w:val="center"/>
            <w:tcMar>
              <w:top w:w="80" w:type="dxa"/>
              <w:start w:w="120" w:type="dxa"/>
              <w:bottom w:w="80" w:type="dxa"/>
              <w:end w:w="120" w:type="dxa"/>
            </w:tcMar>
          </w:tcPr>
          <w:p>
            <w:pPr>
              <w:spacing w:after="0" w:line="264" w:lineRule="auto"/>
            </w:pPr>
            <w:r>
              <w:rPr>
                <w:rFonts w:ascii="Calibri" w:hAnsi="Calibri"/>
                <w:b w:val="0"/>
                <w:i w:val="0"/>
                <w:color w:val="0B1727"/>
                <w:sz w:val="19"/>
              </w:rPr>
              <w:t>Utility team</w:t>
            </w:r>
          </w:p>
        </w:tc>
        <w:tc>
          <w:tcPr>
            <w:tcW w:type="dxa" w:w="7060"/>
            <w:vAlign w:val="center"/>
            <w:tcMar>
              <w:top w:w="80" w:type="dxa"/>
              <w:start w:w="120" w:type="dxa"/>
              <w:bottom w:w="80" w:type="dxa"/>
              <w:end w:w="120" w:type="dxa"/>
            </w:tcMar>
          </w:tcPr>
          <w:p>
            <w:pPr>
              <w:spacing w:after="0" w:line="264" w:lineRule="auto"/>
            </w:pPr>
            <w:r>
              <w:rPr>
                <w:rFonts w:ascii="Calibri" w:hAnsi="Calibri"/>
                <w:b w:val="0"/>
                <w:i w:val="0"/>
                <w:color w:val="0B1727"/>
                <w:sz w:val="19"/>
              </w:rPr>
              <w:t>Compressed air, steam distribution, condensate and authorised boiler-system checks</w:t>
            </w:r>
          </w:p>
        </w:tc>
      </w:tr>
      <w:tr>
        <w:tc>
          <w:tcPr>
            <w:tcW w:type="dxa" w:w="230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Quality team</w:t>
            </w:r>
          </w:p>
        </w:tc>
        <w:tc>
          <w:tcPr>
            <w:tcW w:type="dxa" w:w="706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Correlating process readings and equipment condition with product-quality variation</w:t>
            </w:r>
          </w:p>
        </w:tc>
      </w:tr>
      <w:tr>
        <w:tc>
          <w:tcPr>
            <w:tcW w:type="dxa" w:w="2300"/>
            <w:vAlign w:val="center"/>
            <w:tcMar>
              <w:top w:w="80" w:type="dxa"/>
              <w:start w:w="120" w:type="dxa"/>
              <w:bottom w:w="80" w:type="dxa"/>
              <w:end w:w="120" w:type="dxa"/>
            </w:tcMar>
          </w:tcPr>
          <w:p>
            <w:pPr>
              <w:spacing w:after="0" w:line="264" w:lineRule="auto"/>
            </w:pPr>
            <w:r>
              <w:rPr>
                <w:rFonts w:ascii="Calibri" w:hAnsi="Calibri"/>
                <w:b w:val="0"/>
                <w:i w:val="0"/>
                <w:color w:val="0B1727"/>
                <w:sz w:val="19"/>
              </w:rPr>
              <w:t>Maintenance head</w:t>
            </w:r>
          </w:p>
        </w:tc>
        <w:tc>
          <w:tcPr>
            <w:tcW w:type="dxa" w:w="7060"/>
            <w:vAlign w:val="center"/>
            <w:tcMar>
              <w:top w:w="80" w:type="dxa"/>
              <w:start w:w="120" w:type="dxa"/>
              <w:bottom w:w="80" w:type="dxa"/>
              <w:end w:w="120" w:type="dxa"/>
            </w:tcMar>
          </w:tcPr>
          <w:p>
            <w:pPr>
              <w:spacing w:after="0" w:line="264" w:lineRule="auto"/>
            </w:pPr>
            <w:r>
              <w:rPr>
                <w:rFonts w:ascii="Calibri" w:hAnsi="Calibri"/>
                <w:b w:val="0"/>
                <w:i w:val="0"/>
                <w:color w:val="0B1727"/>
                <w:sz w:val="19"/>
              </w:rPr>
              <w:t>Scheduling, task closure, spare planning, recurring-failure review and escalation</w:t>
            </w:r>
          </w:p>
        </w:tc>
      </w:tr>
      <w:tr>
        <w:tc>
          <w:tcPr>
            <w:tcW w:type="dxa" w:w="230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Plant head</w:t>
            </w:r>
          </w:p>
        </w:tc>
        <w:tc>
          <w:tcPr>
            <w:tcW w:type="dxa" w:w="706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Shutdown approval, resource allocation and review of critical unresolved defects</w:t>
            </w:r>
          </w:p>
        </w:tc>
      </w:tr>
    </w:tbl>
    <w:p>
      <w:pPr>
        <w:spacing w:after="0"/>
      </w:pPr>
    </w:p>
    <w:p>
      <w:pPr>
        <w:keepLines w:val="0"/>
      </w:pPr>
      <w:r>
        <w:rPr>
          <w:rFonts w:ascii="Calibri" w:hAnsi="Calibri"/>
          <w:b w:val="0"/>
          <w:i w:val="0"/>
          <w:color w:val="0B1727"/>
          <w:sz w:val="22"/>
        </w:rPr>
        <w:t>Responsibilities should be modified according to the actual organisation and competency structure of the plant.</w:t>
      </w:r>
    </w:p>
    <w:p>
      <w:pPr>
        <w:pStyle w:val="Heading1"/>
      </w:pPr>
      <w:r>
        <w:t>Daily, Weekly and Periodic Maintenance Framework</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04F7D"/>
            <w:vAlign w:val="center"/>
            <w:tcMar>
              <w:top w:w="80" w:type="dxa"/>
              <w:start w:w="120" w:type="dxa"/>
              <w:bottom w:w="80" w:type="dxa"/>
              <w:end w:w="120" w:type="dxa"/>
            </w:tcMar>
          </w:tcPr>
          <w:p>
            <w:pPr>
              <w:spacing w:after="0"/>
            </w:pPr>
            <w:r>
              <w:rPr>
                <w:rFonts w:ascii="Calibri" w:hAnsi="Calibri"/>
                <w:b/>
                <w:i w:val="0"/>
                <w:color w:val="FFFFFF"/>
                <w:sz w:val="20"/>
              </w:rPr>
              <w:t>FREQUENCY</w:t>
            </w:r>
          </w:p>
        </w:tc>
        <w:tc>
          <w:tcPr>
            <w:tcW w:type="dxa" w:w="7060"/>
            <w:shd w:fill="104F7D"/>
            <w:vAlign w:val="center"/>
            <w:tcMar>
              <w:top w:w="80" w:type="dxa"/>
              <w:start w:w="120" w:type="dxa"/>
              <w:bottom w:w="80" w:type="dxa"/>
              <w:end w:w="120" w:type="dxa"/>
            </w:tcMar>
          </w:tcPr>
          <w:p>
            <w:pPr>
              <w:spacing w:after="0"/>
            </w:pPr>
            <w:r>
              <w:rPr>
                <w:rFonts w:ascii="Calibri" w:hAnsi="Calibri"/>
                <w:b/>
                <w:i w:val="0"/>
                <w:color w:val="FFFFFF"/>
                <w:sz w:val="20"/>
              </w:rPr>
              <w:t>RECOMMENDED MAINTENANCE FOCUS</w:t>
            </w:r>
          </w:p>
        </w:tc>
      </w:tr>
      <w:tr>
        <w:tc>
          <w:tcPr>
            <w:tcW w:type="dxa" w:w="2300"/>
            <w:vAlign w:val="center"/>
            <w:tcMar>
              <w:top w:w="80" w:type="dxa"/>
              <w:start w:w="120" w:type="dxa"/>
              <w:bottom w:w="80" w:type="dxa"/>
              <w:end w:w="120" w:type="dxa"/>
            </w:tcMar>
          </w:tcPr>
          <w:p>
            <w:pPr>
              <w:spacing w:after="0" w:line="264" w:lineRule="auto"/>
            </w:pPr>
            <w:r>
              <w:rPr>
                <w:rFonts w:ascii="Calibri" w:hAnsi="Calibri"/>
                <w:b w:val="0"/>
                <w:i w:val="0"/>
                <w:color w:val="0B1727"/>
                <w:sz w:val="19"/>
              </w:rPr>
              <w:t>Before every shift</w:t>
            </w:r>
          </w:p>
        </w:tc>
        <w:tc>
          <w:tcPr>
            <w:tcW w:type="dxa" w:w="7060"/>
            <w:vAlign w:val="center"/>
            <w:tcMar>
              <w:top w:w="80" w:type="dxa"/>
              <w:start w:w="120" w:type="dxa"/>
              <w:bottom w:w="80" w:type="dxa"/>
              <w:end w:w="120" w:type="dxa"/>
            </w:tcMar>
          </w:tcPr>
          <w:p>
            <w:pPr>
              <w:spacing w:after="0" w:line="264" w:lineRule="auto"/>
            </w:pPr>
            <w:r>
              <w:rPr>
                <w:rFonts w:ascii="Calibri" w:hAnsi="Calibri"/>
                <w:b w:val="0"/>
                <w:i w:val="0"/>
                <w:color w:val="0B1727"/>
                <w:sz w:val="19"/>
              </w:rPr>
              <w:t>Guards, leakage, abnormal noise, vibration, visible damage, lubrication condition, sensor status and work-area condition</w:t>
            </w:r>
          </w:p>
        </w:tc>
      </w:tr>
      <w:tr>
        <w:tc>
          <w:tcPr>
            <w:tcW w:type="dxa" w:w="230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During operation</w:t>
            </w:r>
          </w:p>
        </w:tc>
        <w:tc>
          <w:tcPr>
            <w:tcW w:type="dxa" w:w="706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Bearing or gearbox behaviour, hydraulic or pneumatic leakage, steam leakage, drive alignment, alarms and unusual trends</w:t>
            </w:r>
          </w:p>
        </w:tc>
      </w:tr>
      <w:tr>
        <w:tc>
          <w:tcPr>
            <w:tcW w:type="dxa" w:w="2300"/>
            <w:vAlign w:val="center"/>
            <w:tcMar>
              <w:top w:w="80" w:type="dxa"/>
              <w:start w:w="120" w:type="dxa"/>
              <w:bottom w:w="80" w:type="dxa"/>
              <w:end w:w="120" w:type="dxa"/>
            </w:tcMar>
          </w:tcPr>
          <w:p>
            <w:pPr>
              <w:spacing w:after="0" w:line="264" w:lineRule="auto"/>
            </w:pPr>
            <w:r>
              <w:rPr>
                <w:rFonts w:ascii="Calibri" w:hAnsi="Calibri"/>
                <w:b w:val="0"/>
                <w:i w:val="0"/>
                <w:color w:val="0B1727"/>
                <w:sz w:val="19"/>
              </w:rPr>
              <w:t>After production</w:t>
            </w:r>
          </w:p>
        </w:tc>
        <w:tc>
          <w:tcPr>
            <w:tcW w:type="dxa" w:w="7060"/>
            <w:vAlign w:val="center"/>
            <w:tcMar>
              <w:top w:w="80" w:type="dxa"/>
              <w:start w:w="120" w:type="dxa"/>
              <w:bottom w:w="80" w:type="dxa"/>
              <w:end w:w="120" w:type="dxa"/>
            </w:tcMar>
          </w:tcPr>
          <w:p>
            <w:pPr>
              <w:spacing w:after="0" w:line="264" w:lineRule="auto"/>
            </w:pPr>
            <w:r>
              <w:rPr>
                <w:rFonts w:ascii="Calibri" w:hAnsi="Calibri"/>
                <w:b w:val="0"/>
                <w:i w:val="0"/>
                <w:color w:val="0B1727"/>
                <w:sz w:val="19"/>
              </w:rPr>
              <w:t>Approved cleaning, removal of material accumulation, defect reporting and completion of the maintenance log</w:t>
            </w:r>
          </w:p>
        </w:tc>
      </w:tr>
      <w:tr>
        <w:tc>
          <w:tcPr>
            <w:tcW w:type="dxa" w:w="230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Weekly</w:t>
            </w:r>
          </w:p>
        </w:tc>
        <w:tc>
          <w:tcPr>
            <w:tcW w:type="dxa" w:w="706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Detailed mechanical inspection, chain or belt condition, roller movement, mould condition, limit-switch function and accessible fasteners</w:t>
            </w:r>
          </w:p>
        </w:tc>
      </w:tr>
      <w:tr>
        <w:tc>
          <w:tcPr>
            <w:tcW w:type="dxa" w:w="2300"/>
            <w:vAlign w:val="center"/>
            <w:tcMar>
              <w:top w:w="80" w:type="dxa"/>
              <w:start w:w="120" w:type="dxa"/>
              <w:bottom w:w="80" w:type="dxa"/>
              <w:end w:w="120" w:type="dxa"/>
            </w:tcMar>
          </w:tcPr>
          <w:p>
            <w:pPr>
              <w:spacing w:after="0" w:line="264" w:lineRule="auto"/>
            </w:pPr>
            <w:r>
              <w:rPr>
                <w:rFonts w:ascii="Calibri" w:hAnsi="Calibri"/>
                <w:b w:val="0"/>
                <w:i w:val="0"/>
                <w:color w:val="0B1727"/>
                <w:sz w:val="19"/>
              </w:rPr>
              <w:t>Monthly or operating-hour based</w:t>
            </w:r>
          </w:p>
        </w:tc>
        <w:tc>
          <w:tcPr>
            <w:tcW w:type="dxa" w:w="7060"/>
            <w:vAlign w:val="center"/>
            <w:tcMar>
              <w:top w:w="80" w:type="dxa"/>
              <w:start w:w="120" w:type="dxa"/>
              <w:bottom w:w="80" w:type="dxa"/>
              <w:end w:w="120" w:type="dxa"/>
            </w:tcMar>
          </w:tcPr>
          <w:p>
            <w:pPr>
              <w:spacing w:after="0" w:line="264" w:lineRule="auto"/>
            </w:pPr>
            <w:r>
              <w:rPr>
                <w:rFonts w:ascii="Calibri" w:hAnsi="Calibri"/>
                <w:b w:val="0"/>
                <w:i w:val="0"/>
                <w:color w:val="0B1727"/>
                <w:sz w:val="19"/>
              </w:rPr>
              <w:t>Alignment, gearbox and bearing condition, electrical connections, hydraulic-system condition and history review</w:t>
            </w:r>
          </w:p>
        </w:tc>
      </w:tr>
      <w:tr>
        <w:tc>
          <w:tcPr>
            <w:tcW w:type="dxa" w:w="230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Periodic or condition based</w:t>
            </w:r>
          </w:p>
        </w:tc>
        <w:tc>
          <w:tcPr>
            <w:tcW w:type="dxa" w:w="706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Weighing calibration, motor testing, vibration analysis, oil-condition review and safety-device verification</w:t>
            </w:r>
          </w:p>
        </w:tc>
      </w:tr>
      <w:tr>
        <w:tc>
          <w:tcPr>
            <w:tcW w:type="dxa" w:w="2300"/>
            <w:vAlign w:val="center"/>
            <w:tcMar>
              <w:top w:w="80" w:type="dxa"/>
              <w:start w:w="120" w:type="dxa"/>
              <w:bottom w:w="80" w:type="dxa"/>
              <w:end w:w="120" w:type="dxa"/>
            </w:tcMar>
          </w:tcPr>
          <w:p>
            <w:pPr>
              <w:spacing w:after="0" w:line="264" w:lineRule="auto"/>
            </w:pPr>
            <w:r>
              <w:rPr>
                <w:rFonts w:ascii="Calibri" w:hAnsi="Calibri"/>
                <w:b w:val="0"/>
                <w:i w:val="0"/>
                <w:color w:val="0B1727"/>
                <w:sz w:val="19"/>
              </w:rPr>
              <w:t>Planned shutdown</w:t>
            </w:r>
          </w:p>
        </w:tc>
        <w:tc>
          <w:tcPr>
            <w:tcW w:type="dxa" w:w="7060"/>
            <w:vAlign w:val="center"/>
            <w:tcMar>
              <w:top w:w="80" w:type="dxa"/>
              <w:start w:w="120" w:type="dxa"/>
              <w:bottom w:w="80" w:type="dxa"/>
              <w:end w:w="120" w:type="dxa"/>
            </w:tcMar>
          </w:tcPr>
          <w:p>
            <w:pPr>
              <w:spacing w:after="0" w:line="264" w:lineRule="auto"/>
            </w:pPr>
            <w:r>
              <w:rPr>
                <w:rFonts w:ascii="Calibri" w:hAnsi="Calibri"/>
                <w:b w:val="0"/>
                <w:i w:val="0"/>
                <w:color w:val="0B1727"/>
                <w:sz w:val="19"/>
              </w:rPr>
              <w:t>Complete line inspection, major servicing, structural checks, statutory inspections, corrective work and restart testing</w:t>
            </w:r>
          </w:p>
        </w:tc>
      </w:tr>
    </w:tbl>
    <w:p>
      <w:pPr>
        <w:spacing w:after="0"/>
      </w:pPr>
    </w:p>
    <w:p>
      <w:pPr>
        <w:keepLines w:val="0"/>
      </w:pPr>
      <w:r>
        <w:rPr>
          <w:rFonts w:ascii="Calibri" w:hAnsi="Calibri"/>
          <w:b w:val="0"/>
          <w:i w:val="0"/>
          <w:color w:val="0B1727"/>
          <w:sz w:val="22"/>
        </w:rPr>
        <w:t>These are planning categories—not universal maintenance intervals. Replacement frequencies and acceptable limits must follow approved plant-specific documentation.</w:t>
      </w:r>
    </w:p>
    <w:p>
      <w:pPr>
        <w:pStyle w:val="Heading1"/>
      </w:pPr>
      <w:r>
        <w:t>Machine-Wise AAC Plant Maintenance Checklist</w:t>
      </w:r>
    </w:p>
    <w:p>
      <w:pPr>
        <w:pStyle w:val="Heading2"/>
      </w:pPr>
      <w:r>
        <w:t>1. Raw-Material Handling and Grinding</w:t>
      </w:r>
    </w:p>
    <w:p>
      <w:pPr>
        <w:keepLines w:val="0"/>
      </w:pPr>
      <w:r>
        <w:rPr>
          <w:rFonts w:ascii="Calibri" w:hAnsi="Calibri"/>
          <w:b w:val="0"/>
          <w:i w:val="0"/>
          <w:color w:val="0B1727"/>
          <w:sz w:val="22"/>
        </w:rPr>
        <w:t>Check conveyors, feeders, transfer points, guards, bearings, drives and material build-up. Where a ball mill is installed, the plan should cover its drive system, bearings, lubrication arrangement, alignment and other OEM-specified components.</w:t>
      </w:r>
    </w:p>
    <w:p>
      <w:pPr>
        <w:pStyle w:val="ListBullet"/>
        <w:spacing w:after="80" w:line="300" w:lineRule="auto"/>
        <w:ind w:left="540" w:hanging="271"/>
      </w:pPr>
      <w:r>
        <w:rPr>
          <w:rFonts w:ascii="Calibri" w:hAnsi="Calibri"/>
          <w:b w:val="0"/>
          <w:i w:val="0"/>
          <w:color w:val="0B1727"/>
          <w:sz w:val="22"/>
        </w:rPr>
        <w:t>Unusual vibration or noise</w:t>
      </w:r>
    </w:p>
    <w:p>
      <w:pPr>
        <w:pStyle w:val="ListBullet"/>
        <w:spacing w:after="80" w:line="300" w:lineRule="auto"/>
        <w:ind w:left="540" w:hanging="271"/>
      </w:pPr>
      <w:r>
        <w:rPr>
          <w:rFonts w:ascii="Calibri" w:hAnsi="Calibri"/>
          <w:b w:val="0"/>
          <w:i w:val="0"/>
          <w:color w:val="0B1727"/>
          <w:sz w:val="22"/>
        </w:rPr>
        <w:t>Material leakage or choking</w:t>
      </w:r>
    </w:p>
    <w:p>
      <w:pPr>
        <w:pStyle w:val="ListBullet"/>
        <w:spacing w:after="80" w:line="300" w:lineRule="auto"/>
        <w:ind w:left="540" w:hanging="271"/>
      </w:pPr>
      <w:r>
        <w:rPr>
          <w:rFonts w:ascii="Calibri" w:hAnsi="Calibri"/>
          <w:b w:val="0"/>
          <w:i w:val="0"/>
          <w:color w:val="0B1727"/>
          <w:sz w:val="22"/>
        </w:rPr>
        <w:t>Belt, chain or coupling condition</w:t>
      </w:r>
    </w:p>
    <w:p>
      <w:pPr>
        <w:pStyle w:val="ListBullet"/>
        <w:spacing w:after="80" w:line="300" w:lineRule="auto"/>
        <w:ind w:left="540" w:hanging="271"/>
      </w:pPr>
      <w:r>
        <w:rPr>
          <w:rFonts w:ascii="Calibri" w:hAnsi="Calibri"/>
          <w:b w:val="0"/>
          <w:i w:val="0"/>
          <w:color w:val="0B1727"/>
          <w:sz w:val="22"/>
        </w:rPr>
        <w:t>Bearing and gearbox behaviour</w:t>
      </w:r>
    </w:p>
    <w:p>
      <w:pPr>
        <w:pStyle w:val="ListBullet"/>
        <w:spacing w:after="80" w:line="300" w:lineRule="auto"/>
        <w:ind w:left="540" w:hanging="271"/>
      </w:pPr>
      <w:r>
        <w:rPr>
          <w:rFonts w:ascii="Calibri" w:hAnsi="Calibri"/>
          <w:b w:val="0"/>
          <w:i w:val="0"/>
          <w:color w:val="0B1727"/>
          <w:sz w:val="22"/>
        </w:rPr>
        <w:t>Loose or damaged guards</w:t>
      </w:r>
    </w:p>
    <w:p>
      <w:pPr>
        <w:pStyle w:val="ListBullet"/>
        <w:spacing w:after="80" w:line="300" w:lineRule="auto"/>
        <w:ind w:left="540" w:hanging="271"/>
      </w:pPr>
      <w:r>
        <w:rPr>
          <w:rFonts w:ascii="Calibri" w:hAnsi="Calibri"/>
          <w:b w:val="0"/>
          <w:i w:val="0"/>
          <w:color w:val="0B1727"/>
          <w:sz w:val="22"/>
        </w:rPr>
        <w:t>Lubrication condition</w:t>
      </w:r>
    </w:p>
    <w:p>
      <w:pPr>
        <w:pStyle w:val="Heading2"/>
      </w:pPr>
      <w:r>
        <w:t>2. Slurry Tanks, Pumps and Agitators</w:t>
      </w:r>
    </w:p>
    <w:p>
      <w:pPr>
        <w:keepLines w:val="0"/>
      </w:pPr>
      <w:r>
        <w:rPr>
          <w:rFonts w:ascii="Calibri" w:hAnsi="Calibri"/>
          <w:b w:val="0"/>
          <w:i w:val="0"/>
          <w:color w:val="0B1727"/>
          <w:sz w:val="22"/>
        </w:rPr>
        <w:t>Inspect agitator drives, pump seals, couplings, pipelines, valves and tank condition. Material settlement or leakage should be investigated rather than corrected only through repeated cleaning.</w:t>
      </w:r>
    </w:p>
    <w:p>
      <w:pPr>
        <w:keepLines w:val="0"/>
      </w:pPr>
      <w:r>
        <w:rPr>
          <w:rFonts w:ascii="Calibri" w:hAnsi="Calibri"/>
          <w:b w:val="0"/>
          <w:i w:val="0"/>
          <w:color w:val="0B1727"/>
          <w:sz w:val="22"/>
        </w:rPr>
        <w:t>Slurry density should be measured according to the approved production and quality procedure. An incorrect or unstable slurry-density reading may indicate a raw-material, mixing, measurement or process-control problem and can contribute to variation in finished-product properties. The exact relationship depends on the plant recipe and operating conditions.</w:t>
      </w:r>
    </w:p>
    <w:p>
      <w:pPr>
        <w:pStyle w:val="Heading2"/>
      </w:pPr>
      <w:r>
        <w:t>3. Batching, Weighing and Dosing</w:t>
      </w:r>
    </w:p>
    <w:p>
      <w:pPr>
        <w:keepLines w:val="0"/>
      </w:pPr>
      <w:r>
        <w:rPr>
          <w:rFonts w:ascii="Calibri" w:hAnsi="Calibri"/>
          <w:b w:val="0"/>
          <w:i w:val="0"/>
          <w:color w:val="0B1727"/>
          <w:sz w:val="22"/>
        </w:rPr>
        <w:t>Inspect weighing hoppers, load-cell mountings, flexible connections, dosing equipment, mixer drives, discharge gates and sensors.</w:t>
      </w:r>
    </w:p>
    <w:p>
      <w:pPr>
        <w:pStyle w:val="ListBullet"/>
        <w:spacing w:after="80" w:line="300" w:lineRule="auto"/>
        <w:ind w:left="540" w:hanging="271"/>
      </w:pPr>
      <w:r>
        <w:rPr>
          <w:rFonts w:ascii="Calibri" w:hAnsi="Calibri"/>
          <w:b w:val="0"/>
          <w:i w:val="0"/>
          <w:color w:val="0B1727"/>
          <w:sz w:val="22"/>
        </w:rPr>
        <w:t>Material accumulation affecting weighing</w:t>
      </w:r>
    </w:p>
    <w:p>
      <w:pPr>
        <w:pStyle w:val="ListBullet"/>
        <w:spacing w:after="80" w:line="300" w:lineRule="auto"/>
        <w:ind w:left="540" w:hanging="271"/>
      </w:pPr>
      <w:r>
        <w:rPr>
          <w:rFonts w:ascii="Calibri" w:hAnsi="Calibri"/>
          <w:b w:val="0"/>
          <w:i w:val="0"/>
          <w:color w:val="0B1727"/>
          <w:sz w:val="22"/>
        </w:rPr>
        <w:t>Restricted movement around load-cell assemblies</w:t>
      </w:r>
    </w:p>
    <w:p>
      <w:pPr>
        <w:pStyle w:val="ListBullet"/>
        <w:spacing w:after="80" w:line="300" w:lineRule="auto"/>
        <w:ind w:left="540" w:hanging="271"/>
      </w:pPr>
      <w:r>
        <w:rPr>
          <w:rFonts w:ascii="Calibri" w:hAnsi="Calibri"/>
          <w:b w:val="0"/>
          <w:i w:val="0"/>
          <w:color w:val="0B1727"/>
          <w:sz w:val="22"/>
        </w:rPr>
        <w:t>Leakage from gates or valves</w:t>
      </w:r>
    </w:p>
    <w:p>
      <w:pPr>
        <w:pStyle w:val="ListBullet"/>
        <w:spacing w:after="80" w:line="300" w:lineRule="auto"/>
        <w:ind w:left="540" w:hanging="271"/>
      </w:pPr>
      <w:r>
        <w:rPr>
          <w:rFonts w:ascii="Calibri" w:hAnsi="Calibri"/>
          <w:b w:val="0"/>
          <w:i w:val="0"/>
          <w:color w:val="0B1727"/>
          <w:sz w:val="22"/>
        </w:rPr>
        <w:t>Abnormal mixer vibration</w:t>
      </w:r>
    </w:p>
    <w:p>
      <w:pPr>
        <w:pStyle w:val="ListBullet"/>
        <w:spacing w:after="80" w:line="300" w:lineRule="auto"/>
        <w:ind w:left="540" w:hanging="271"/>
      </w:pPr>
      <w:r>
        <w:rPr>
          <w:rFonts w:ascii="Calibri" w:hAnsi="Calibri"/>
          <w:b w:val="0"/>
          <w:i w:val="0"/>
          <w:color w:val="0B1727"/>
          <w:sz w:val="22"/>
        </w:rPr>
        <w:t>Incomplete discharge</w:t>
      </w:r>
    </w:p>
    <w:p>
      <w:pPr>
        <w:pStyle w:val="ListBullet"/>
        <w:spacing w:after="80" w:line="300" w:lineRule="auto"/>
        <w:ind w:left="540" w:hanging="271"/>
      </w:pPr>
      <w:r>
        <w:rPr>
          <w:rFonts w:ascii="Calibri" w:hAnsi="Calibri"/>
          <w:b w:val="0"/>
          <w:i w:val="0"/>
          <w:color w:val="0B1727"/>
          <w:sz w:val="22"/>
        </w:rPr>
        <w:t>Incorrect or unstable readings</w:t>
      </w:r>
    </w:p>
    <w:p>
      <w:pPr>
        <w:pStyle w:val="ListBullet"/>
        <w:spacing w:after="80" w:line="300" w:lineRule="auto"/>
        <w:ind w:left="540" w:hanging="271"/>
      </w:pPr>
      <w:r>
        <w:rPr>
          <w:rFonts w:ascii="Calibri" w:hAnsi="Calibri"/>
          <w:b w:val="0"/>
          <w:i w:val="0"/>
          <w:color w:val="0B1727"/>
          <w:sz w:val="22"/>
        </w:rPr>
        <w:t>Alarm or interlock bypasses</w:t>
      </w:r>
    </w:p>
    <w:p>
      <w:pPr>
        <w:keepLines w:val="0"/>
      </w:pPr>
      <w:r>
        <w:rPr>
          <w:rFonts w:ascii="Calibri" w:hAnsi="Calibri"/>
          <w:b w:val="0"/>
          <w:i w:val="0"/>
          <w:color w:val="0B1727"/>
          <w:sz w:val="22"/>
        </w:rPr>
        <w:t>Functional verification and formal calibration should be treated as separate activities. Calibration must follow the plant’s approved quality system and equipment requirements.</w:t>
      </w:r>
    </w:p>
    <w:p>
      <w:pPr>
        <w:pStyle w:val="Heading2"/>
      </w:pPr>
      <w:r>
        <w:t>4. Moulds, Side Plates and Pre-Curing Movement</w:t>
      </w:r>
    </w:p>
    <w:p>
      <w:pPr>
        <w:keepLines w:val="0"/>
      </w:pPr>
      <w:r>
        <w:rPr>
          <w:rFonts w:ascii="Calibri" w:hAnsi="Calibri"/>
          <w:b w:val="0"/>
          <w:i w:val="0"/>
          <w:color w:val="0B1727"/>
          <w:sz w:val="22"/>
        </w:rPr>
        <w:t>Inspect mould bodies, side plates, locking arrangements, wheels, rails and handling mechanisms. Mould leakage, deformation, damaged contact surfaces or poor locking can affect production flow and cake handling. Record recurring mould-specific faults so individual moulds can be identified and repaired systematically.</w:t>
      </w:r>
    </w:p>
    <w:p>
      <w:pPr>
        <w:pStyle w:val="Heading2"/>
      </w:pPr>
      <w:r>
        <w:t>5. Tilting and Cutting Systems</w:t>
      </w:r>
    </w:p>
    <w:p>
      <w:pPr>
        <w:keepLines w:val="0"/>
      </w:pPr>
      <w:r>
        <w:rPr>
          <w:rFonts w:ascii="Calibri" w:hAnsi="Calibri"/>
          <w:b w:val="0"/>
          <w:i w:val="0"/>
          <w:color w:val="0B1727"/>
          <w:sz w:val="22"/>
        </w:rPr>
        <w:t>The cutting area requires careful attention because alignment, movement and wire condition can influence dimensional consistency and cake damage.</w:t>
      </w:r>
    </w:p>
    <w:p>
      <w:pPr>
        <w:pStyle w:val="ListBullet"/>
        <w:spacing w:after="80" w:line="300" w:lineRule="auto"/>
        <w:ind w:left="540" w:hanging="271"/>
      </w:pPr>
      <w:r>
        <w:rPr>
          <w:rFonts w:ascii="Calibri" w:hAnsi="Calibri"/>
          <w:b w:val="0"/>
          <w:i w:val="0"/>
          <w:color w:val="0B1727"/>
          <w:sz w:val="22"/>
        </w:rPr>
        <w:t>Cutting-wire condition and tension</w:t>
      </w:r>
    </w:p>
    <w:p>
      <w:pPr>
        <w:pStyle w:val="ListBullet"/>
        <w:spacing w:after="80" w:line="300" w:lineRule="auto"/>
        <w:ind w:left="540" w:hanging="271"/>
      </w:pPr>
      <w:r>
        <w:rPr>
          <w:rFonts w:ascii="Calibri" w:hAnsi="Calibri"/>
          <w:b w:val="0"/>
          <w:i w:val="0"/>
          <w:color w:val="0B1727"/>
          <w:sz w:val="22"/>
        </w:rPr>
        <w:t>Frame alignment</w:t>
      </w:r>
    </w:p>
    <w:p>
      <w:pPr>
        <w:pStyle w:val="ListBullet"/>
        <w:spacing w:after="80" w:line="300" w:lineRule="auto"/>
        <w:ind w:left="540" w:hanging="271"/>
      </w:pPr>
      <w:r>
        <w:rPr>
          <w:rFonts w:ascii="Calibri" w:hAnsi="Calibri"/>
          <w:b w:val="0"/>
          <w:i w:val="0"/>
          <w:color w:val="0B1727"/>
          <w:sz w:val="22"/>
        </w:rPr>
        <w:t>Bearings, guides and movement mechanisms</w:t>
      </w:r>
    </w:p>
    <w:p>
      <w:pPr>
        <w:pStyle w:val="ListBullet"/>
        <w:spacing w:after="80" w:line="300" w:lineRule="auto"/>
        <w:ind w:left="540" w:hanging="271"/>
      </w:pPr>
      <w:r>
        <w:rPr>
          <w:rFonts w:ascii="Calibri" w:hAnsi="Calibri"/>
          <w:b w:val="0"/>
          <w:i w:val="0"/>
          <w:color w:val="0B1727"/>
          <w:sz w:val="22"/>
        </w:rPr>
        <w:t>Tilting or demoulding equipment</w:t>
      </w:r>
    </w:p>
    <w:p>
      <w:pPr>
        <w:pStyle w:val="ListBullet"/>
        <w:spacing w:after="80" w:line="300" w:lineRule="auto"/>
        <w:ind w:left="540" w:hanging="271"/>
      </w:pPr>
      <w:r>
        <w:rPr>
          <w:rFonts w:ascii="Calibri" w:hAnsi="Calibri"/>
          <w:b w:val="0"/>
          <w:i w:val="0"/>
          <w:color w:val="0B1727"/>
          <w:sz w:val="22"/>
        </w:rPr>
        <w:t>Hydraulic or pneumatic leakage</w:t>
      </w:r>
    </w:p>
    <w:p>
      <w:pPr>
        <w:pStyle w:val="ListBullet"/>
        <w:spacing w:after="80" w:line="300" w:lineRule="auto"/>
        <w:ind w:left="540" w:hanging="271"/>
      </w:pPr>
      <w:r>
        <w:rPr>
          <w:rFonts w:ascii="Calibri" w:hAnsi="Calibri"/>
          <w:b w:val="0"/>
          <w:i w:val="0"/>
          <w:color w:val="0B1727"/>
          <w:sz w:val="22"/>
        </w:rPr>
        <w:t>Limit switches and proximity sensors</w:t>
      </w:r>
    </w:p>
    <w:p>
      <w:pPr>
        <w:pStyle w:val="ListBullet"/>
        <w:spacing w:after="80" w:line="300" w:lineRule="auto"/>
        <w:ind w:left="540" w:hanging="271"/>
      </w:pPr>
      <w:r>
        <w:rPr>
          <w:rFonts w:ascii="Calibri" w:hAnsi="Calibri"/>
          <w:b w:val="0"/>
          <w:i w:val="0"/>
          <w:color w:val="0B1727"/>
          <w:sz w:val="22"/>
        </w:rPr>
        <w:t>Material accumulation around moving parts</w:t>
      </w:r>
    </w:p>
    <w:p>
      <w:pPr>
        <w:pStyle w:val="ListBullet"/>
        <w:spacing w:after="80" w:line="300" w:lineRule="auto"/>
        <w:ind w:left="540" w:hanging="271"/>
      </w:pPr>
      <w:r>
        <w:rPr>
          <w:rFonts w:ascii="Calibri" w:hAnsi="Calibri"/>
          <w:b w:val="0"/>
          <w:i w:val="0"/>
          <w:color w:val="0B1727"/>
          <w:sz w:val="22"/>
        </w:rPr>
        <w:t>Guards and safety interlocks</w:t>
      </w:r>
    </w:p>
    <w:p>
      <w:pPr>
        <w:keepLines w:val="0"/>
      </w:pPr>
      <w:r>
        <w:rPr>
          <w:rFonts w:ascii="Calibri" w:hAnsi="Calibri"/>
          <w:b w:val="0"/>
          <w:i w:val="0"/>
          <w:color w:val="0B1727"/>
          <w:sz w:val="22"/>
        </w:rPr>
        <w:t>Cutting adjustments should be performed only by trained personnel after safe isolation.</w:t>
      </w:r>
    </w:p>
    <w:p>
      <w:pPr>
        <w:pStyle w:val="Heading2"/>
      </w:pPr>
      <w:r>
        <w:t>6. Transfer, Grouping and Lifting Equipment</w:t>
      </w:r>
    </w:p>
    <w:p>
      <w:pPr>
        <w:keepLines w:val="0"/>
      </w:pPr>
      <w:r>
        <w:rPr>
          <w:rFonts w:ascii="Calibri" w:hAnsi="Calibri"/>
          <w:b w:val="0"/>
          <w:i w:val="0"/>
          <w:color w:val="0B1727"/>
          <w:sz w:val="22"/>
        </w:rPr>
        <w:t>Inspect cranes, trolleys, rails, wheels, drives, brakes, hooks, chains, hydraulic systems and position sensors according to approved procedures. Any abnormal movement, brake issue, structural damage or malfunctioning safety device should be escalated immediately. Lifting equipment must remain within applicable inspection and certification requirements.</w:t>
      </w:r>
    </w:p>
    <w:p>
      <w:pPr>
        <w:pStyle w:val="Heading2"/>
      </w:pPr>
      <w:r>
        <w:t>7. Autoclaves and Steam Systems</w:t>
      </w:r>
    </w:p>
    <w:p>
      <w:pPr>
        <w:keepLines w:val="0"/>
      </w:pPr>
      <w:r>
        <w:rPr>
          <w:rFonts w:ascii="Calibri" w:hAnsi="Calibri"/>
          <w:b w:val="0"/>
          <w:i w:val="0"/>
          <w:color w:val="0B1727"/>
          <w:sz w:val="22"/>
        </w:rPr>
        <w:t>AAC autoclaves are pressure vessels and require a maintenance system distinct from ordinary production machinery. Routine operator observations may include:</w:t>
      </w:r>
    </w:p>
    <w:p>
      <w:pPr>
        <w:pStyle w:val="ListBullet"/>
        <w:spacing w:after="80" w:line="300" w:lineRule="auto"/>
        <w:ind w:left="540" w:hanging="271"/>
      </w:pPr>
      <w:r>
        <w:rPr>
          <w:rFonts w:ascii="Calibri" w:hAnsi="Calibri"/>
          <w:b w:val="0"/>
          <w:i w:val="0"/>
          <w:color w:val="0B1727"/>
          <w:sz w:val="22"/>
        </w:rPr>
        <w:t>Visible steam leakage</w:t>
      </w:r>
    </w:p>
    <w:p>
      <w:pPr>
        <w:pStyle w:val="ListBullet"/>
        <w:spacing w:after="80" w:line="300" w:lineRule="auto"/>
        <w:ind w:left="540" w:hanging="271"/>
      </w:pPr>
      <w:r>
        <w:rPr>
          <w:rFonts w:ascii="Calibri" w:hAnsi="Calibri"/>
          <w:b w:val="0"/>
          <w:i w:val="0"/>
          <w:color w:val="0B1727"/>
          <w:sz w:val="22"/>
        </w:rPr>
        <w:t>Abnormal door or locking movement</w:t>
      </w:r>
    </w:p>
    <w:p>
      <w:pPr>
        <w:pStyle w:val="ListBullet"/>
        <w:spacing w:after="80" w:line="300" w:lineRule="auto"/>
        <w:ind w:left="540" w:hanging="271"/>
      </w:pPr>
      <w:r>
        <w:rPr>
          <w:rFonts w:ascii="Calibri" w:hAnsi="Calibri"/>
          <w:b w:val="0"/>
          <w:i w:val="0"/>
          <w:color w:val="0B1727"/>
          <w:sz w:val="22"/>
        </w:rPr>
        <w:t>Seal condition</w:t>
      </w:r>
    </w:p>
    <w:p>
      <w:pPr>
        <w:pStyle w:val="ListBullet"/>
        <w:spacing w:after="80" w:line="300" w:lineRule="auto"/>
        <w:ind w:left="540" w:hanging="271"/>
      </w:pPr>
      <w:r>
        <w:rPr>
          <w:rFonts w:ascii="Calibri" w:hAnsi="Calibri"/>
          <w:b w:val="0"/>
          <w:i w:val="0"/>
          <w:color w:val="0B1727"/>
          <w:sz w:val="22"/>
        </w:rPr>
        <w:t>Unusual sound or vibration</w:t>
      </w:r>
    </w:p>
    <w:p>
      <w:pPr>
        <w:pStyle w:val="ListBullet"/>
        <w:spacing w:after="80" w:line="300" w:lineRule="auto"/>
        <w:ind w:left="540" w:hanging="271"/>
      </w:pPr>
      <w:r>
        <w:rPr>
          <w:rFonts w:ascii="Calibri" w:hAnsi="Calibri"/>
          <w:b w:val="0"/>
          <w:i w:val="0"/>
          <w:color w:val="0B1727"/>
          <w:sz w:val="22"/>
        </w:rPr>
        <w:t>Rail and steam-trolley condition</w:t>
      </w:r>
    </w:p>
    <w:p>
      <w:pPr>
        <w:pStyle w:val="ListBullet"/>
        <w:spacing w:after="80" w:line="300" w:lineRule="auto"/>
        <w:ind w:left="540" w:hanging="271"/>
      </w:pPr>
      <w:r>
        <w:rPr>
          <w:rFonts w:ascii="Calibri" w:hAnsi="Calibri"/>
          <w:b w:val="0"/>
          <w:i w:val="0"/>
          <w:color w:val="0B1727"/>
          <w:sz w:val="22"/>
        </w:rPr>
        <w:t>Valve or instrument abnormalities</w:t>
      </w:r>
    </w:p>
    <w:p>
      <w:pPr>
        <w:pStyle w:val="ListBullet"/>
        <w:spacing w:after="80" w:line="300" w:lineRule="auto"/>
        <w:ind w:left="540" w:hanging="271"/>
      </w:pPr>
      <w:r>
        <w:rPr>
          <w:rFonts w:ascii="Calibri" w:hAnsi="Calibri"/>
          <w:b w:val="0"/>
          <w:i w:val="0"/>
          <w:color w:val="0B1727"/>
          <w:sz w:val="22"/>
        </w:rPr>
        <w:t>Recorded pressure-cycle irregularities</w:t>
      </w:r>
    </w:p>
    <w:p>
      <w:pPr>
        <w:keepLines w:val="0"/>
      </w:pPr>
      <w:r>
        <w:rPr>
          <w:rFonts w:ascii="Calibri" w:hAnsi="Calibri"/>
          <w:b w:val="0"/>
          <w:i w:val="0"/>
          <w:color w:val="0B1727"/>
          <w:sz w:val="22"/>
        </w:rPr>
        <w:t>Do not operate an autoclave where an unsafe condition or steam leakage has been identified. Opening, inspection, repair and testing must follow the approved operating procedure, OEM documentation and applicable statutory requirements. Operators should not attempt pressure-vessel repairs or override safety interlocks.</w:t>
      </w:r>
    </w:p>
    <w:p>
      <w:pPr>
        <w:pStyle w:val="Heading2"/>
      </w:pPr>
      <w:r>
        <w:t>8. Electrical, PLC and Instrumentation Systems</w:t>
      </w:r>
    </w:p>
    <w:p>
      <w:pPr>
        <w:keepLines w:val="0"/>
      </w:pPr>
      <w:r>
        <w:rPr>
          <w:rFonts w:ascii="Calibri" w:hAnsi="Calibri"/>
          <w:b w:val="0"/>
          <w:i w:val="0"/>
          <w:color w:val="0B1727"/>
          <w:sz w:val="22"/>
        </w:rPr>
        <w:t>The maintenance plan should cover motors, VFDs, MCC panels, cables, sensors, load cells, limit switches, proximity switches, PLC inputs, alarms and safety interlocks. Panel inspection or cleaning must be performed only by authorised personnel using the approved electrical-isolation procedure.</w:t>
      </w:r>
    </w:p>
    <w:p>
      <w:pPr>
        <w:keepLines w:val="0"/>
      </w:pPr>
      <w:r>
        <w:rPr>
          <w:rFonts w:ascii="Calibri" w:hAnsi="Calibri"/>
          <w:b w:val="0"/>
          <w:i w:val="0"/>
          <w:color w:val="0B1727"/>
          <w:sz w:val="22"/>
        </w:rPr>
        <w:t>Repeated sensor bypasses, nuisance trips and manually overridden interlocks should be investigated because they may indicate an unresolved equipment, alignment, wiring or control-system problem.</w:t>
      </w:r>
    </w:p>
    <w:p>
      <w:pPr>
        <w:pStyle w:val="Heading1"/>
      </w:pPr>
      <w:r>
        <w:t>Maintenance Tasks That Can Affect AAC Block Quality</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04F7D"/>
            <w:vAlign w:val="center"/>
            <w:tcMar>
              <w:top w:w="80" w:type="dxa"/>
              <w:start w:w="120" w:type="dxa"/>
              <w:bottom w:w="80" w:type="dxa"/>
              <w:end w:w="120" w:type="dxa"/>
            </w:tcMar>
          </w:tcPr>
          <w:p>
            <w:pPr>
              <w:spacing w:after="0"/>
            </w:pPr>
            <w:r>
              <w:rPr>
                <w:rFonts w:ascii="Calibri" w:hAnsi="Calibri"/>
                <w:b/>
                <w:i w:val="0"/>
                <w:color w:val="FFFFFF"/>
                <w:sz w:val="20"/>
              </w:rPr>
              <w:t>OBSERVED ISSUE</w:t>
            </w:r>
          </w:p>
        </w:tc>
        <w:tc>
          <w:tcPr>
            <w:tcW w:type="dxa" w:w="6360"/>
            <w:shd w:fill="104F7D"/>
            <w:vAlign w:val="center"/>
            <w:tcMar>
              <w:top w:w="80" w:type="dxa"/>
              <w:start w:w="120" w:type="dxa"/>
              <w:bottom w:w="80" w:type="dxa"/>
              <w:end w:w="120" w:type="dxa"/>
            </w:tcMar>
          </w:tcPr>
          <w:p>
            <w:pPr>
              <w:spacing w:after="0"/>
            </w:pPr>
            <w:r>
              <w:rPr>
                <w:rFonts w:ascii="Calibri" w:hAnsi="Calibri"/>
                <w:b/>
                <w:i w:val="0"/>
                <w:color w:val="FFFFFF"/>
                <w:sz w:val="20"/>
              </w:rPr>
              <w:t>MAINTENANCE-RELATED AREAS TO INVESTIGATE</w:t>
            </w:r>
          </w:p>
        </w:tc>
      </w:tr>
      <w:tr>
        <w:tc>
          <w:tcPr>
            <w:tcW w:type="dxa" w:w="3000"/>
            <w:vAlign w:val="center"/>
            <w:tcMar>
              <w:top w:w="80" w:type="dxa"/>
              <w:start w:w="120" w:type="dxa"/>
              <w:bottom w:w="80" w:type="dxa"/>
              <w:end w:w="120" w:type="dxa"/>
            </w:tcMar>
          </w:tcPr>
          <w:p>
            <w:pPr>
              <w:spacing w:after="0" w:line="264" w:lineRule="auto"/>
            </w:pPr>
            <w:r>
              <w:rPr>
                <w:rFonts w:ascii="Calibri" w:hAnsi="Calibri"/>
                <w:b w:val="0"/>
                <w:i w:val="0"/>
                <w:color w:val="0B1727"/>
                <w:sz w:val="19"/>
              </w:rPr>
              <w:t>Variation in block density or strength</w:t>
            </w:r>
          </w:p>
        </w:tc>
        <w:tc>
          <w:tcPr>
            <w:tcW w:type="dxa" w:w="6360"/>
            <w:vAlign w:val="center"/>
            <w:tcMar>
              <w:top w:w="80" w:type="dxa"/>
              <w:start w:w="120" w:type="dxa"/>
              <w:bottom w:w="80" w:type="dxa"/>
              <w:end w:w="120" w:type="dxa"/>
            </w:tcMar>
          </w:tcPr>
          <w:p>
            <w:pPr>
              <w:spacing w:after="0" w:line="264" w:lineRule="auto"/>
            </w:pPr>
            <w:r>
              <w:rPr>
                <w:rFonts w:ascii="Calibri" w:hAnsi="Calibri"/>
                <w:b w:val="0"/>
                <w:i w:val="0"/>
                <w:color w:val="0B1727"/>
                <w:sz w:val="19"/>
              </w:rPr>
              <w:t>Slurry measurement, batching accuracy, mixer condition and dosing consistency</w:t>
            </w:r>
          </w:p>
        </w:tc>
      </w:tr>
      <w:tr>
        <w:tc>
          <w:tcPr>
            <w:tcW w:type="dxa" w:w="300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Dimensional variation</w:t>
            </w:r>
          </w:p>
        </w:tc>
        <w:tc>
          <w:tcPr>
            <w:tcW w:type="dxa" w:w="636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Cutting-wire condition, frame alignment, movement accuracy and cake stability</w:t>
            </w:r>
          </w:p>
        </w:tc>
      </w:tr>
      <w:tr>
        <w:tc>
          <w:tcPr>
            <w:tcW w:type="dxa" w:w="3000"/>
            <w:vAlign w:val="center"/>
            <w:tcMar>
              <w:top w:w="80" w:type="dxa"/>
              <w:start w:w="120" w:type="dxa"/>
              <w:bottom w:w="80" w:type="dxa"/>
              <w:end w:w="120" w:type="dxa"/>
            </w:tcMar>
          </w:tcPr>
          <w:p>
            <w:pPr>
              <w:spacing w:after="0" w:line="264" w:lineRule="auto"/>
            </w:pPr>
            <w:r>
              <w:rPr>
                <w:rFonts w:ascii="Calibri" w:hAnsi="Calibri"/>
                <w:b w:val="0"/>
                <w:i w:val="0"/>
                <w:color w:val="0B1727"/>
                <w:sz w:val="19"/>
              </w:rPr>
              <w:t>Cake damage during handling</w:t>
            </w:r>
          </w:p>
        </w:tc>
        <w:tc>
          <w:tcPr>
            <w:tcW w:type="dxa" w:w="6360"/>
            <w:vAlign w:val="center"/>
            <w:tcMar>
              <w:top w:w="80" w:type="dxa"/>
              <w:start w:w="120" w:type="dxa"/>
              <w:bottom w:w="80" w:type="dxa"/>
              <w:end w:w="120" w:type="dxa"/>
            </w:tcMar>
          </w:tcPr>
          <w:p>
            <w:pPr>
              <w:spacing w:after="0" w:line="264" w:lineRule="auto"/>
            </w:pPr>
            <w:r>
              <w:rPr>
                <w:rFonts w:ascii="Calibri" w:hAnsi="Calibri"/>
                <w:b w:val="0"/>
                <w:i w:val="0"/>
                <w:color w:val="0B1727"/>
                <w:sz w:val="19"/>
              </w:rPr>
              <w:t>Mould condition, side plates, tilting system, cranes, rails and transfer movement</w:t>
            </w:r>
          </w:p>
        </w:tc>
      </w:tr>
      <w:tr>
        <w:tc>
          <w:tcPr>
            <w:tcW w:type="dxa" w:w="300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Irregular production cycles</w:t>
            </w:r>
          </w:p>
        </w:tc>
        <w:tc>
          <w:tcPr>
            <w:tcW w:type="dxa" w:w="636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Sensors, interlocks, drives, transfer equipment and control-system alarms</w:t>
            </w:r>
          </w:p>
        </w:tc>
      </w:tr>
      <w:tr>
        <w:tc>
          <w:tcPr>
            <w:tcW w:type="dxa" w:w="3000"/>
            <w:vAlign w:val="center"/>
            <w:tcMar>
              <w:top w:w="80" w:type="dxa"/>
              <w:start w:w="120" w:type="dxa"/>
              <w:bottom w:w="80" w:type="dxa"/>
              <w:end w:w="120" w:type="dxa"/>
            </w:tcMar>
          </w:tcPr>
          <w:p>
            <w:pPr>
              <w:spacing w:after="0" w:line="264" w:lineRule="auto"/>
            </w:pPr>
            <w:r>
              <w:rPr>
                <w:rFonts w:ascii="Calibri" w:hAnsi="Calibri"/>
                <w:b w:val="0"/>
                <w:i w:val="0"/>
                <w:color w:val="0B1727"/>
                <w:sz w:val="19"/>
              </w:rPr>
              <w:t>Autoclaving inconsistency</w:t>
            </w:r>
          </w:p>
        </w:tc>
        <w:tc>
          <w:tcPr>
            <w:tcW w:type="dxa" w:w="6360"/>
            <w:vAlign w:val="center"/>
            <w:tcMar>
              <w:top w:w="80" w:type="dxa"/>
              <w:start w:w="120" w:type="dxa"/>
              <w:bottom w:w="80" w:type="dxa"/>
              <w:end w:w="120" w:type="dxa"/>
            </w:tcMar>
          </w:tcPr>
          <w:p>
            <w:pPr>
              <w:spacing w:after="0" w:line="264" w:lineRule="auto"/>
            </w:pPr>
            <w:r>
              <w:rPr>
                <w:rFonts w:ascii="Calibri" w:hAnsi="Calibri"/>
                <w:b w:val="0"/>
                <w:i w:val="0"/>
                <w:color w:val="0B1727"/>
                <w:sz w:val="19"/>
              </w:rPr>
              <w:t>Instruments, valves, steam distribution, condensate handling and approved cycle records</w:t>
            </w:r>
          </w:p>
        </w:tc>
      </w:tr>
    </w:tbl>
    <w:p>
      <w:pPr>
        <w:spacing w:after="0"/>
      </w:pPr>
    </w:p>
    <w:p>
      <w:pPr>
        <w:keepLines w:val="0"/>
      </w:pPr>
      <w:r>
        <w:rPr>
          <w:rFonts w:ascii="Calibri" w:hAnsi="Calibri"/>
          <w:b w:val="0"/>
          <w:i w:val="0"/>
          <w:color w:val="0B1727"/>
          <w:sz w:val="22"/>
        </w:rPr>
        <w:t>These are investigation areas, not automatic diagnoses. Raw-material and process factors must also be reviewed before assigning the cause to maintenance.</w:t>
      </w:r>
    </w:p>
    <w:p>
      <w:pPr>
        <w:pStyle w:val="Heading1"/>
      </w:pPr>
      <w:r>
        <w:t>Common AAC Plant Maintenance Mistakes</w:t>
      </w:r>
    </w:p>
    <w:p>
      <w:pPr>
        <w:spacing w:after="100"/>
      </w:pPr>
      <w:r>
        <w:rPr>
          <w:rFonts w:ascii="Calibri" w:hAnsi="Calibri"/>
          <w:b/>
          <w:i w:val="0"/>
          <w:color w:val="0C4F80"/>
          <w:sz w:val="22"/>
        </w:rPr>
        <w:t xml:space="preserve">Treating maintenance only as breakdown response: </w:t>
      </w:r>
      <w:r>
        <w:rPr>
          <w:rFonts w:ascii="Calibri" w:hAnsi="Calibri"/>
          <w:b w:val="0"/>
          <w:i w:val="0"/>
          <w:color w:val="0B1727"/>
          <w:sz w:val="22"/>
        </w:rPr>
        <w:t>Developing faults remain unnoticed and repairs interrupt production without preparation.</w:t>
      </w:r>
    </w:p>
    <w:p>
      <w:pPr>
        <w:spacing w:after="100"/>
      </w:pPr>
      <w:r>
        <w:rPr>
          <w:rFonts w:ascii="Calibri" w:hAnsi="Calibri"/>
          <w:b/>
          <w:i w:val="0"/>
          <w:color w:val="0C4F80"/>
          <w:sz w:val="22"/>
        </w:rPr>
        <w:t xml:space="preserve">Using the same frequency for every machine: </w:t>
      </w:r>
      <w:r>
        <w:rPr>
          <w:rFonts w:ascii="Calibri" w:hAnsi="Calibri"/>
          <w:b w:val="0"/>
          <w:i w:val="0"/>
          <w:color w:val="0B1727"/>
          <w:sz w:val="22"/>
        </w:rPr>
        <w:t>Equipment with different duty cycles, environments and failure consequences should not automatically receive identical intervals.</w:t>
      </w:r>
    </w:p>
    <w:p>
      <w:pPr>
        <w:spacing w:after="100"/>
      </w:pPr>
      <w:r>
        <w:rPr>
          <w:rFonts w:ascii="Calibri" w:hAnsi="Calibri"/>
          <w:b/>
          <w:i w:val="0"/>
          <w:color w:val="0C4F80"/>
          <w:sz w:val="22"/>
        </w:rPr>
        <w:t xml:space="preserve">Replacing parts without finding the cause: </w:t>
      </w:r>
      <w:r>
        <w:rPr>
          <w:rFonts w:ascii="Calibri" w:hAnsi="Calibri"/>
          <w:b w:val="0"/>
          <w:i w:val="0"/>
          <w:color w:val="0B1727"/>
          <w:sz w:val="22"/>
        </w:rPr>
        <w:t>Repeated bearing, seal, wire, sensor or chain failure may indicate misalignment, overload, contamination or poor installation.</w:t>
      </w:r>
    </w:p>
    <w:p>
      <w:pPr>
        <w:spacing w:after="100"/>
      </w:pPr>
      <w:r>
        <w:rPr>
          <w:rFonts w:ascii="Calibri" w:hAnsi="Calibri"/>
          <w:b/>
          <w:i w:val="0"/>
          <w:color w:val="0C4F80"/>
          <w:sz w:val="22"/>
        </w:rPr>
        <w:t xml:space="preserve">Operating with leakage or bypassed interlocks: </w:t>
      </w:r>
      <w:r>
        <w:rPr>
          <w:rFonts w:ascii="Calibri" w:hAnsi="Calibri"/>
          <w:b w:val="0"/>
          <w:i w:val="0"/>
          <w:color w:val="0B1727"/>
          <w:sz w:val="22"/>
        </w:rPr>
        <w:t>Steam, hydraulic, pneumatic and material leakage should be recorded and corrected. Safety interlocks must not be bypassed.</w:t>
      </w:r>
    </w:p>
    <w:p>
      <w:pPr>
        <w:spacing w:after="100"/>
      </w:pPr>
      <w:r>
        <w:rPr>
          <w:rFonts w:ascii="Calibri" w:hAnsi="Calibri"/>
          <w:b/>
          <w:i w:val="0"/>
          <w:color w:val="0C4F80"/>
          <w:sz w:val="22"/>
        </w:rPr>
        <w:t xml:space="preserve">Keeping incomplete records: </w:t>
      </w:r>
      <w:r>
        <w:rPr>
          <w:rFonts w:ascii="Calibri" w:hAnsi="Calibri"/>
          <w:b w:val="0"/>
          <w:i w:val="0"/>
          <w:color w:val="0B1727"/>
          <w:sz w:val="22"/>
        </w:rPr>
        <w:t>A checklist marked only “done” cannot reveal history. Record the asset, observation, action, owner, date and follow-up.</w:t>
      </w:r>
    </w:p>
    <w:p>
      <w:pPr>
        <w:spacing w:after="100"/>
      </w:pPr>
      <w:r>
        <w:rPr>
          <w:rFonts w:ascii="Calibri" w:hAnsi="Calibri"/>
          <w:b/>
          <w:i w:val="0"/>
          <w:color w:val="0C4F80"/>
          <w:sz w:val="22"/>
        </w:rPr>
        <w:t xml:space="preserve">Using incorrectly specified spare parts: </w:t>
      </w:r>
      <w:r>
        <w:rPr>
          <w:rFonts w:ascii="Calibri" w:hAnsi="Calibri"/>
          <w:b w:val="0"/>
          <w:i w:val="0"/>
          <w:color w:val="0B1727"/>
          <w:sz w:val="22"/>
        </w:rPr>
        <w:t>Replacement parts should match approved technical requirements; immediate availability alone is not a sufficient selection criterion.</w:t>
      </w:r>
    </w:p>
    <w:p>
      <w:pPr>
        <w:pStyle w:val="Heading1"/>
      </w:pPr>
      <w:r>
        <w:t>Critical-Spare-Parts Planning</w:t>
      </w:r>
    </w:p>
    <w:p>
      <w:pPr>
        <w:keepLines w:val="0"/>
      </w:pPr>
      <w:r>
        <w:rPr>
          <w:rFonts w:ascii="Calibri" w:hAnsi="Calibri"/>
          <w:b w:val="0"/>
          <w:i w:val="0"/>
          <w:color w:val="0B1727"/>
          <w:sz w:val="22"/>
        </w:rPr>
        <w:t>A critical spare is not simply an expensive component. It is a part whose failure can create a serious production, safety or quality consequence and that may not be available within an acceptable time.</w:t>
      </w:r>
    </w:p>
    <w:p>
      <w:pPr>
        <w:pStyle w:val="ListBullet"/>
        <w:spacing w:after="80" w:line="300" w:lineRule="auto"/>
        <w:ind w:left="540" w:hanging="271"/>
      </w:pPr>
      <w:r>
        <w:rPr>
          <w:rFonts w:ascii="Calibri" w:hAnsi="Calibri"/>
          <w:b w:val="0"/>
          <w:i w:val="0"/>
          <w:color w:val="0B1727"/>
          <w:sz w:val="22"/>
        </w:rPr>
        <w:t>Failure consequence</w:t>
      </w:r>
    </w:p>
    <w:p>
      <w:pPr>
        <w:pStyle w:val="ListBullet"/>
        <w:spacing w:after="80" w:line="300" w:lineRule="auto"/>
        <w:ind w:left="540" w:hanging="271"/>
      </w:pPr>
      <w:r>
        <w:rPr>
          <w:rFonts w:ascii="Calibri" w:hAnsi="Calibri"/>
          <w:b w:val="0"/>
          <w:i w:val="0"/>
          <w:color w:val="0B1727"/>
          <w:sz w:val="22"/>
        </w:rPr>
        <w:t>Procurement lead time</w:t>
      </w:r>
    </w:p>
    <w:p>
      <w:pPr>
        <w:pStyle w:val="ListBullet"/>
        <w:spacing w:after="80" w:line="300" w:lineRule="auto"/>
        <w:ind w:left="540" w:hanging="271"/>
      </w:pPr>
      <w:r>
        <w:rPr>
          <w:rFonts w:ascii="Calibri" w:hAnsi="Calibri"/>
          <w:b w:val="0"/>
          <w:i w:val="0"/>
          <w:color w:val="0B1727"/>
          <w:sz w:val="22"/>
        </w:rPr>
        <w:t>Consumption history</w:t>
      </w:r>
    </w:p>
    <w:p>
      <w:pPr>
        <w:pStyle w:val="ListBullet"/>
        <w:spacing w:after="80" w:line="300" w:lineRule="auto"/>
        <w:ind w:left="540" w:hanging="271"/>
      </w:pPr>
      <w:r>
        <w:rPr>
          <w:rFonts w:ascii="Calibri" w:hAnsi="Calibri"/>
          <w:b w:val="0"/>
          <w:i w:val="0"/>
          <w:color w:val="0B1727"/>
          <w:sz w:val="22"/>
        </w:rPr>
        <w:t>Availability of standby equipment</w:t>
      </w:r>
    </w:p>
    <w:p>
      <w:pPr>
        <w:pStyle w:val="ListBullet"/>
        <w:spacing w:after="80" w:line="300" w:lineRule="auto"/>
        <w:ind w:left="540" w:hanging="271"/>
      </w:pPr>
      <w:r>
        <w:rPr>
          <w:rFonts w:ascii="Calibri" w:hAnsi="Calibri"/>
          <w:b w:val="0"/>
          <w:i w:val="0"/>
          <w:color w:val="0B1727"/>
          <w:sz w:val="22"/>
        </w:rPr>
        <w:t>Compatibility with installed machinery</w:t>
      </w:r>
    </w:p>
    <w:p>
      <w:pPr>
        <w:pStyle w:val="ListBullet"/>
        <w:spacing w:after="80" w:line="300" w:lineRule="auto"/>
        <w:ind w:left="540" w:hanging="271"/>
      </w:pPr>
      <w:r>
        <w:rPr>
          <w:rFonts w:ascii="Calibri" w:hAnsi="Calibri"/>
          <w:b w:val="0"/>
          <w:i w:val="0"/>
          <w:color w:val="0B1727"/>
          <w:sz w:val="22"/>
        </w:rPr>
        <w:t>Possibility of repair</w:t>
      </w:r>
    </w:p>
    <w:p>
      <w:pPr>
        <w:pStyle w:val="ListBullet"/>
        <w:spacing w:after="80" w:line="300" w:lineRule="auto"/>
        <w:ind w:left="540" w:hanging="271"/>
      </w:pPr>
      <w:r>
        <w:rPr>
          <w:rFonts w:ascii="Calibri" w:hAnsi="Calibri"/>
          <w:b w:val="0"/>
          <w:i w:val="0"/>
          <w:color w:val="0B1727"/>
          <w:sz w:val="22"/>
        </w:rPr>
        <w:t>Storage life and preservation requirements</w:t>
      </w:r>
    </w:p>
    <w:p>
      <w:pPr>
        <w:keepLines w:val="0"/>
      </w:pPr>
      <w:r>
        <w:rPr>
          <w:rFonts w:ascii="Calibri" w:hAnsi="Calibri"/>
          <w:b w:val="0"/>
          <w:i w:val="0"/>
          <w:color w:val="0B1727"/>
          <w:sz w:val="22"/>
        </w:rPr>
        <w:t>Review the critical-spares list after major breakdowns, modifications and plant expansions.</w:t>
      </w:r>
    </w:p>
    <w:p>
      <w:pPr>
        <w:pStyle w:val="Heading1"/>
      </w:pPr>
      <w:r>
        <w:t>Maintenance Records Every AAC Plant Should Keep</w:t>
      </w:r>
    </w:p>
    <w:p>
      <w:pPr>
        <w:pStyle w:val="ListBullet"/>
        <w:spacing w:after="80" w:line="300" w:lineRule="auto"/>
        <w:ind w:left="540" w:hanging="271"/>
      </w:pPr>
      <w:r>
        <w:rPr>
          <w:rFonts w:ascii="Calibri" w:hAnsi="Calibri"/>
          <w:b w:val="0"/>
          <w:i w:val="0"/>
          <w:color w:val="0B1727"/>
          <w:sz w:val="22"/>
        </w:rPr>
        <w:t>Asset register and equipment identification</w:t>
      </w:r>
    </w:p>
    <w:p>
      <w:pPr>
        <w:pStyle w:val="ListBullet"/>
        <w:spacing w:after="80" w:line="300" w:lineRule="auto"/>
        <w:ind w:left="540" w:hanging="271"/>
      </w:pPr>
      <w:r>
        <w:rPr>
          <w:rFonts w:ascii="Calibri" w:hAnsi="Calibri"/>
          <w:b w:val="0"/>
          <w:i w:val="0"/>
          <w:color w:val="0B1727"/>
          <w:sz w:val="22"/>
        </w:rPr>
        <w:t>Approved preventive-maintenance schedule</w:t>
      </w:r>
    </w:p>
    <w:p>
      <w:pPr>
        <w:pStyle w:val="ListBullet"/>
        <w:spacing w:after="80" w:line="300" w:lineRule="auto"/>
        <w:ind w:left="540" w:hanging="271"/>
      </w:pPr>
      <w:r>
        <w:rPr>
          <w:rFonts w:ascii="Calibri" w:hAnsi="Calibri"/>
          <w:b w:val="0"/>
          <w:i w:val="0"/>
          <w:color w:val="0B1727"/>
          <w:sz w:val="22"/>
        </w:rPr>
        <w:t>Daily inspection records</w:t>
      </w:r>
    </w:p>
    <w:p>
      <w:pPr>
        <w:pStyle w:val="ListBullet"/>
        <w:spacing w:after="80" w:line="300" w:lineRule="auto"/>
        <w:ind w:left="540" w:hanging="271"/>
      </w:pPr>
      <w:r>
        <w:rPr>
          <w:rFonts w:ascii="Calibri" w:hAnsi="Calibri"/>
          <w:b w:val="0"/>
          <w:i w:val="0"/>
          <w:color w:val="0B1727"/>
          <w:sz w:val="22"/>
        </w:rPr>
        <w:t>Lubrication schedule</w:t>
      </w:r>
    </w:p>
    <w:p>
      <w:pPr>
        <w:pStyle w:val="ListBullet"/>
        <w:spacing w:after="80" w:line="300" w:lineRule="auto"/>
        <w:ind w:left="540" w:hanging="271"/>
      </w:pPr>
      <w:r>
        <w:rPr>
          <w:rFonts w:ascii="Calibri" w:hAnsi="Calibri"/>
          <w:b w:val="0"/>
          <w:i w:val="0"/>
          <w:color w:val="0B1727"/>
          <w:sz w:val="22"/>
        </w:rPr>
        <w:t>Calibration records</w:t>
      </w:r>
    </w:p>
    <w:p>
      <w:pPr>
        <w:pStyle w:val="ListBullet"/>
        <w:spacing w:after="80" w:line="300" w:lineRule="auto"/>
        <w:ind w:left="540" w:hanging="271"/>
      </w:pPr>
      <w:r>
        <w:rPr>
          <w:rFonts w:ascii="Calibri" w:hAnsi="Calibri"/>
          <w:b w:val="0"/>
          <w:i w:val="0"/>
          <w:color w:val="0B1727"/>
          <w:sz w:val="22"/>
        </w:rPr>
        <w:t>Breakdown and corrective-maintenance reports</w:t>
      </w:r>
    </w:p>
    <w:p>
      <w:pPr>
        <w:pStyle w:val="ListBullet"/>
        <w:spacing w:after="80" w:line="300" w:lineRule="auto"/>
        <w:ind w:left="540" w:hanging="271"/>
      </w:pPr>
      <w:r>
        <w:rPr>
          <w:rFonts w:ascii="Calibri" w:hAnsi="Calibri"/>
          <w:b w:val="0"/>
          <w:i w:val="0"/>
          <w:color w:val="0B1727"/>
          <w:sz w:val="22"/>
        </w:rPr>
        <w:t>Spare-parts issue and consumption history</w:t>
      </w:r>
    </w:p>
    <w:p>
      <w:pPr>
        <w:pStyle w:val="ListBullet"/>
        <w:spacing w:after="80" w:line="300" w:lineRule="auto"/>
        <w:ind w:left="540" w:hanging="271"/>
      </w:pPr>
      <w:r>
        <w:rPr>
          <w:rFonts w:ascii="Calibri" w:hAnsi="Calibri"/>
          <w:b w:val="0"/>
          <w:i w:val="0"/>
          <w:color w:val="0B1727"/>
          <w:sz w:val="22"/>
        </w:rPr>
        <w:t>Safety and statutory inspection records</w:t>
      </w:r>
    </w:p>
    <w:p>
      <w:pPr>
        <w:pStyle w:val="ListBullet"/>
        <w:spacing w:after="80" w:line="300" w:lineRule="auto"/>
        <w:ind w:left="540" w:hanging="271"/>
      </w:pPr>
      <w:r>
        <w:rPr>
          <w:rFonts w:ascii="Calibri" w:hAnsi="Calibri"/>
          <w:b w:val="0"/>
          <w:i w:val="0"/>
          <w:color w:val="0B1727"/>
          <w:sz w:val="22"/>
        </w:rPr>
        <w:t>Recurring-failure or root-cause reports</w:t>
      </w:r>
    </w:p>
    <w:p>
      <w:pPr>
        <w:pStyle w:val="ListBullet"/>
        <w:spacing w:after="80" w:line="300" w:lineRule="auto"/>
        <w:ind w:left="540" w:hanging="271"/>
      </w:pPr>
      <w:r>
        <w:rPr>
          <w:rFonts w:ascii="Calibri" w:hAnsi="Calibri"/>
          <w:b w:val="0"/>
          <w:i w:val="0"/>
          <w:color w:val="0B1727"/>
          <w:sz w:val="22"/>
        </w:rPr>
        <w:t>Shutdown-work list</w:t>
      </w:r>
    </w:p>
    <w:p>
      <w:pPr>
        <w:pStyle w:val="ListBullet"/>
        <w:spacing w:after="80" w:line="300" w:lineRule="auto"/>
        <w:ind w:left="540" w:hanging="271"/>
      </w:pPr>
      <w:r>
        <w:rPr>
          <w:rFonts w:ascii="Calibri" w:hAnsi="Calibri"/>
          <w:b w:val="0"/>
          <w:i w:val="0"/>
          <w:color w:val="0B1727"/>
          <w:sz w:val="22"/>
        </w:rPr>
        <w:t>Restart and handover approval</w:t>
      </w:r>
    </w:p>
    <w:p>
      <w:pPr>
        <w:keepLines w:val="0"/>
      </w:pPr>
      <w:r>
        <w:rPr>
          <w:rFonts w:ascii="Calibri" w:hAnsi="Calibri"/>
          <w:b w:val="0"/>
          <w:i w:val="0"/>
          <w:color w:val="0B1727"/>
          <w:sz w:val="22"/>
        </w:rPr>
        <w:t>Digital records can improve searchability and follow-up, but a controlled physical register can also be effective when responsibilities and closure procedures are clear.</w:t>
      </w:r>
    </w:p>
    <w:p>
      <w:pPr>
        <w:pStyle w:val="Heading1"/>
      </w:pPr>
      <w:r>
        <w:t>Planning the Annual Maintenance Shutdown</w:t>
      </w:r>
    </w:p>
    <w:p>
      <w:pPr>
        <w:pStyle w:val="Heading2"/>
      </w:pPr>
      <w:r>
        <w:t>Before shutdown</w:t>
      </w:r>
    </w:p>
    <w:p>
      <w:pPr>
        <w:pStyle w:val="ListNumber"/>
        <w:spacing w:after="80" w:line="300" w:lineRule="auto"/>
        <w:ind w:left="540" w:hanging="271"/>
      </w:pPr>
      <w:r>
        <w:rPr>
          <w:rFonts w:ascii="Calibri" w:hAnsi="Calibri"/>
          <w:b w:val="0"/>
          <w:i w:val="0"/>
          <w:color w:val="0B1727"/>
          <w:sz w:val="22"/>
        </w:rPr>
        <w:t>Review breakdown history and overdue work.</w:t>
      </w:r>
    </w:p>
    <w:p>
      <w:pPr>
        <w:pStyle w:val="ListNumber"/>
        <w:spacing w:after="80" w:line="300" w:lineRule="auto"/>
        <w:ind w:left="540" w:hanging="271"/>
      </w:pPr>
      <w:r>
        <w:rPr>
          <w:rFonts w:ascii="Calibri" w:hAnsi="Calibri"/>
          <w:b w:val="0"/>
          <w:i w:val="0"/>
          <w:color w:val="0B1727"/>
          <w:sz w:val="22"/>
        </w:rPr>
        <w:t>Finalise the equipment-wise job list.</w:t>
      </w:r>
    </w:p>
    <w:p>
      <w:pPr>
        <w:pStyle w:val="ListNumber"/>
        <w:spacing w:after="80" w:line="300" w:lineRule="auto"/>
        <w:ind w:left="540" w:hanging="271"/>
      </w:pPr>
      <w:r>
        <w:rPr>
          <w:rFonts w:ascii="Calibri" w:hAnsi="Calibri"/>
          <w:b w:val="0"/>
          <w:i w:val="0"/>
          <w:color w:val="0B1727"/>
          <w:sz w:val="22"/>
        </w:rPr>
        <w:t>Confirm spares, tools, lifting arrangements and specialist support.</w:t>
      </w:r>
    </w:p>
    <w:p>
      <w:pPr>
        <w:pStyle w:val="ListNumber"/>
        <w:spacing w:after="80" w:line="300" w:lineRule="auto"/>
        <w:ind w:left="540" w:hanging="271"/>
      </w:pPr>
      <w:r>
        <w:rPr>
          <w:rFonts w:ascii="Calibri" w:hAnsi="Calibri"/>
          <w:b w:val="0"/>
          <w:i w:val="0"/>
          <w:color w:val="0B1727"/>
          <w:sz w:val="22"/>
        </w:rPr>
        <w:t>Define isolation and permit requirements.</w:t>
      </w:r>
    </w:p>
    <w:p>
      <w:pPr>
        <w:pStyle w:val="ListNumber"/>
        <w:spacing w:after="80" w:line="300" w:lineRule="auto"/>
        <w:ind w:left="540" w:hanging="271"/>
      </w:pPr>
      <w:r>
        <w:rPr>
          <w:rFonts w:ascii="Calibri" w:hAnsi="Calibri"/>
          <w:b w:val="0"/>
          <w:i w:val="0"/>
          <w:color w:val="0B1727"/>
          <w:sz w:val="22"/>
        </w:rPr>
        <w:t>Assign responsibility and expected completion dates.</w:t>
      </w:r>
    </w:p>
    <w:p>
      <w:pPr>
        <w:pStyle w:val="ListNumber"/>
        <w:spacing w:after="80" w:line="300" w:lineRule="auto"/>
        <w:ind w:left="540" w:hanging="271"/>
      </w:pPr>
      <w:r>
        <w:rPr>
          <w:rFonts w:ascii="Calibri" w:hAnsi="Calibri"/>
          <w:b w:val="0"/>
          <w:i w:val="0"/>
          <w:color w:val="0B1727"/>
          <w:sz w:val="22"/>
        </w:rPr>
        <w:t>Coordinate work with production and utility teams.</w:t>
      </w:r>
    </w:p>
    <w:p>
      <w:pPr>
        <w:pStyle w:val="Heading2"/>
      </w:pPr>
      <w:r>
        <w:t>Before restart</w:t>
      </w:r>
    </w:p>
    <w:p>
      <w:pPr>
        <w:pStyle w:val="ListNumber"/>
        <w:spacing w:after="80" w:line="300" w:lineRule="auto"/>
        <w:ind w:left="540" w:hanging="271"/>
      </w:pPr>
      <w:r>
        <w:rPr>
          <w:rFonts w:ascii="Calibri" w:hAnsi="Calibri"/>
          <w:b w:val="0"/>
          <w:i w:val="0"/>
          <w:color w:val="0B1727"/>
          <w:sz w:val="22"/>
        </w:rPr>
        <w:t>Confirm that work permits are closed.</w:t>
      </w:r>
    </w:p>
    <w:p>
      <w:pPr>
        <w:pStyle w:val="ListNumber"/>
        <w:spacing w:after="80" w:line="300" w:lineRule="auto"/>
        <w:ind w:left="540" w:hanging="271"/>
      </w:pPr>
      <w:r>
        <w:rPr>
          <w:rFonts w:ascii="Calibri" w:hAnsi="Calibri"/>
          <w:b w:val="0"/>
          <w:i w:val="0"/>
          <w:color w:val="0B1727"/>
          <w:sz w:val="22"/>
        </w:rPr>
        <w:t>Remove tools, temporary supports and maintenance materials.</w:t>
      </w:r>
    </w:p>
    <w:p>
      <w:pPr>
        <w:pStyle w:val="ListNumber"/>
        <w:spacing w:after="80" w:line="300" w:lineRule="auto"/>
        <w:ind w:left="540" w:hanging="271"/>
      </w:pPr>
      <w:r>
        <w:rPr>
          <w:rFonts w:ascii="Calibri" w:hAnsi="Calibri"/>
          <w:b w:val="0"/>
          <w:i w:val="0"/>
          <w:color w:val="0B1727"/>
          <w:sz w:val="22"/>
        </w:rPr>
        <w:t>Reinstall guards and safety devices.</w:t>
      </w:r>
    </w:p>
    <w:p>
      <w:pPr>
        <w:pStyle w:val="ListNumber"/>
        <w:spacing w:after="80" w:line="300" w:lineRule="auto"/>
        <w:ind w:left="540" w:hanging="271"/>
      </w:pPr>
      <w:r>
        <w:rPr>
          <w:rFonts w:ascii="Calibri" w:hAnsi="Calibri"/>
          <w:b w:val="0"/>
          <w:i w:val="0"/>
          <w:color w:val="0B1727"/>
          <w:sz w:val="22"/>
        </w:rPr>
        <w:t>Verify lubrication and utility readiness.</w:t>
      </w:r>
    </w:p>
    <w:p>
      <w:pPr>
        <w:pStyle w:val="ListNumber"/>
        <w:spacing w:after="80" w:line="300" w:lineRule="auto"/>
        <w:ind w:left="540" w:hanging="271"/>
      </w:pPr>
      <w:r>
        <w:rPr>
          <w:rFonts w:ascii="Calibri" w:hAnsi="Calibri"/>
          <w:b w:val="0"/>
          <w:i w:val="0"/>
          <w:color w:val="0B1727"/>
          <w:sz w:val="22"/>
        </w:rPr>
        <w:t>Test equipment in an approved sequence.</w:t>
      </w:r>
    </w:p>
    <w:p>
      <w:pPr>
        <w:pStyle w:val="ListNumber"/>
        <w:spacing w:after="80" w:line="300" w:lineRule="auto"/>
        <w:ind w:left="540" w:hanging="271"/>
      </w:pPr>
      <w:r>
        <w:rPr>
          <w:rFonts w:ascii="Calibri" w:hAnsi="Calibri"/>
          <w:b w:val="0"/>
          <w:i w:val="0"/>
          <w:color w:val="0B1727"/>
          <w:sz w:val="22"/>
        </w:rPr>
        <w:t>Record pending observations and obtain authorised handover.</w:t>
      </w:r>
    </w:p>
    <w:p>
      <w:pPr>
        <w:pStyle w:val="Heading1"/>
      </w:pPr>
      <w:r>
        <w:t>When Should the Machinery Supplier Be Consulted?</w:t>
      </w:r>
    </w:p>
    <w:p>
      <w:pPr>
        <w:keepLines w:val="0"/>
      </w:pPr>
      <w:r>
        <w:rPr>
          <w:rFonts w:ascii="Calibri" w:hAnsi="Calibri"/>
          <w:b w:val="0"/>
          <w:i w:val="0"/>
          <w:color w:val="0B1727"/>
          <w:sz w:val="22"/>
        </w:rPr>
        <w:t>Technical review may be appropriate when the plant experiences:</w:t>
      </w:r>
    </w:p>
    <w:p>
      <w:pPr>
        <w:pStyle w:val="ListBullet"/>
        <w:spacing w:after="80" w:line="300" w:lineRule="auto"/>
        <w:ind w:left="540" w:hanging="271"/>
      </w:pPr>
      <w:r>
        <w:rPr>
          <w:rFonts w:ascii="Calibri" w:hAnsi="Calibri"/>
          <w:b w:val="0"/>
          <w:i w:val="0"/>
          <w:color w:val="0B1727"/>
          <w:sz w:val="22"/>
        </w:rPr>
        <w:t>Repeated failure of the same component</w:t>
      </w:r>
    </w:p>
    <w:p>
      <w:pPr>
        <w:pStyle w:val="ListBullet"/>
        <w:spacing w:after="80" w:line="300" w:lineRule="auto"/>
        <w:ind w:left="540" w:hanging="271"/>
      </w:pPr>
      <w:r>
        <w:rPr>
          <w:rFonts w:ascii="Calibri" w:hAnsi="Calibri"/>
          <w:b w:val="0"/>
          <w:i w:val="0"/>
          <w:color w:val="0B1727"/>
          <w:sz w:val="22"/>
        </w:rPr>
        <w:t>Persistent cutting or handling problems</w:t>
      </w:r>
    </w:p>
    <w:p>
      <w:pPr>
        <w:pStyle w:val="ListBullet"/>
        <w:spacing w:after="80" w:line="300" w:lineRule="auto"/>
        <w:ind w:left="540" w:hanging="271"/>
      </w:pPr>
      <w:r>
        <w:rPr>
          <w:rFonts w:ascii="Calibri" w:hAnsi="Calibri"/>
          <w:b w:val="0"/>
          <w:i w:val="0"/>
          <w:color w:val="0B1727"/>
          <w:sz w:val="22"/>
        </w:rPr>
        <w:t>Obsolete controls or unavailable spares</w:t>
      </w:r>
    </w:p>
    <w:p>
      <w:pPr>
        <w:pStyle w:val="ListBullet"/>
        <w:spacing w:after="80" w:line="300" w:lineRule="auto"/>
        <w:ind w:left="540" w:hanging="271"/>
      </w:pPr>
      <w:r>
        <w:rPr>
          <w:rFonts w:ascii="Calibri" w:hAnsi="Calibri"/>
          <w:b w:val="0"/>
          <w:i w:val="0"/>
          <w:color w:val="0B1727"/>
          <w:sz w:val="22"/>
        </w:rPr>
        <w:t>Recurring steam leakage or cycle irregularity</w:t>
      </w:r>
    </w:p>
    <w:p>
      <w:pPr>
        <w:pStyle w:val="ListBullet"/>
        <w:spacing w:after="80" w:line="300" w:lineRule="auto"/>
        <w:ind w:left="540" w:hanging="271"/>
      </w:pPr>
      <w:r>
        <w:rPr>
          <w:rFonts w:ascii="Calibri" w:hAnsi="Calibri"/>
          <w:b w:val="0"/>
          <w:i w:val="0"/>
          <w:color w:val="0B1727"/>
          <w:sz w:val="22"/>
        </w:rPr>
        <w:t>Increasing unplanned downtime</w:t>
      </w:r>
    </w:p>
    <w:p>
      <w:pPr>
        <w:pStyle w:val="ListBullet"/>
        <w:spacing w:after="80" w:line="300" w:lineRule="auto"/>
        <w:ind w:left="540" w:hanging="271"/>
      </w:pPr>
      <w:r>
        <w:rPr>
          <w:rFonts w:ascii="Calibri" w:hAnsi="Calibri"/>
          <w:b w:val="0"/>
          <w:i w:val="0"/>
          <w:color w:val="0B1727"/>
          <w:sz w:val="22"/>
        </w:rPr>
        <w:t>Expansion beyond the original operating arrangement</w:t>
      </w:r>
    </w:p>
    <w:p>
      <w:pPr>
        <w:pStyle w:val="ListBullet"/>
        <w:spacing w:after="80" w:line="300" w:lineRule="auto"/>
        <w:ind w:left="540" w:hanging="271"/>
      </w:pPr>
      <w:r>
        <w:rPr>
          <w:rFonts w:ascii="Calibri" w:hAnsi="Calibri"/>
          <w:b w:val="0"/>
          <w:i w:val="0"/>
          <w:color w:val="0B1727"/>
          <w:sz w:val="22"/>
        </w:rPr>
        <w:t>Frequent manual intervention or interlock bypassing</w:t>
      </w:r>
    </w:p>
    <w:p>
      <w:pPr>
        <w:pStyle w:val="ListBullet"/>
        <w:spacing w:after="80" w:line="300" w:lineRule="auto"/>
        <w:ind w:left="540" w:hanging="271"/>
      </w:pPr>
      <w:r>
        <w:rPr>
          <w:rFonts w:ascii="Calibri" w:hAnsi="Calibri"/>
          <w:b w:val="0"/>
          <w:i w:val="0"/>
          <w:color w:val="0B1727"/>
          <w:sz w:val="22"/>
        </w:rPr>
        <w:t>Difficulty coordinating machines in the production line</w:t>
      </w:r>
    </w:p>
    <w:p>
      <w:pPr>
        <w:keepLines w:val="0"/>
      </w:pPr>
      <w:r>
        <w:rPr>
          <w:rFonts w:ascii="Calibri" w:hAnsi="Calibri"/>
          <w:b w:val="0"/>
          <w:i w:val="0"/>
          <w:color w:val="0B1727"/>
          <w:sz w:val="22"/>
        </w:rPr>
        <w:t>Before requesting an assessment, prepare equipment details, photographs, alarm history, recent maintenance records and a clear problem description. This helps the engineering team distinguish symptoms from likely causes.</w:t>
      </w:r>
    </w:p>
    <w:p>
      <w:pPr>
        <w:pStyle w:val="Heading1"/>
      </w:pPr>
      <w:r>
        <w:t>Frequently Asked Questions</w:t>
      </w:r>
    </w:p>
    <w:p>
      <w:pPr>
        <w:keepNext/>
      </w:pPr>
      <w:r>
        <w:rPr>
          <w:rFonts w:ascii="Calibri" w:hAnsi="Calibri"/>
          <w:b/>
          <w:i w:val="0"/>
          <w:color w:val="0C4F80"/>
          <w:sz w:val="22"/>
        </w:rPr>
        <w:t>Is one AAC plant maintenance checklist suitable for every plant?</w:t>
      </w:r>
    </w:p>
    <w:p>
      <w:pPr>
        <w:keepLines w:val="0"/>
      </w:pPr>
      <w:r>
        <w:rPr>
          <w:rFonts w:ascii="Calibri" w:hAnsi="Calibri"/>
          <w:b w:val="0"/>
          <w:i w:val="0"/>
          <w:color w:val="0B1727"/>
          <w:sz w:val="22"/>
        </w:rPr>
        <w:t>No. Equipment design, automation, mould size, duty cycle, layout and operating conditions differ. A general checklist must be converted into a plant-specific SOP.</w:t>
      </w:r>
    </w:p>
    <w:p>
      <w:pPr>
        <w:keepNext/>
      </w:pPr>
      <w:r>
        <w:rPr>
          <w:rFonts w:ascii="Calibri" w:hAnsi="Calibri"/>
          <w:b/>
          <w:i w:val="0"/>
          <w:color w:val="0C4F80"/>
          <w:sz w:val="22"/>
        </w:rPr>
        <w:t>What should operators check before every shift?</w:t>
      </w:r>
    </w:p>
    <w:p>
      <w:pPr>
        <w:keepLines w:val="0"/>
      </w:pPr>
      <w:r>
        <w:rPr>
          <w:rFonts w:ascii="Calibri" w:hAnsi="Calibri"/>
          <w:b w:val="0"/>
          <w:i w:val="0"/>
          <w:color w:val="0B1727"/>
          <w:sz w:val="22"/>
        </w:rPr>
        <w:t>Operators should look for leakage, abnormal noise or vibration, visible damage, guard condition, unusual alarms and unsafe work-area conditions. The exact checklist should be approved for each machine.</w:t>
      </w:r>
    </w:p>
    <w:p>
      <w:pPr>
        <w:keepNext/>
      </w:pPr>
      <w:r>
        <w:rPr>
          <w:rFonts w:ascii="Calibri" w:hAnsi="Calibri"/>
          <w:b/>
          <w:i w:val="0"/>
          <w:color w:val="0C4F80"/>
          <w:sz w:val="22"/>
        </w:rPr>
        <w:t>How often should AAC plant equipment be serviced?</w:t>
      </w:r>
    </w:p>
    <w:p>
      <w:pPr>
        <w:keepLines w:val="0"/>
      </w:pPr>
      <w:r>
        <w:rPr>
          <w:rFonts w:ascii="Calibri" w:hAnsi="Calibri"/>
          <w:b w:val="0"/>
          <w:i w:val="0"/>
          <w:color w:val="0B1727"/>
          <w:sz w:val="22"/>
        </w:rPr>
        <w:t>Frequency should be based on OEM recommendations, operating hours, equipment condition, failure history and statutory requirements—not only a generic calendar.</w:t>
      </w:r>
    </w:p>
    <w:p>
      <w:pPr>
        <w:keepNext/>
      </w:pPr>
      <w:r>
        <w:rPr>
          <w:rFonts w:ascii="Calibri" w:hAnsi="Calibri"/>
          <w:b/>
          <w:i w:val="0"/>
          <w:color w:val="0C4F80"/>
          <w:sz w:val="22"/>
        </w:rPr>
        <w:t>Can preventive maintenance eliminate all breakdowns?</w:t>
      </w:r>
    </w:p>
    <w:p>
      <w:pPr>
        <w:keepLines w:val="0"/>
      </w:pPr>
      <w:r>
        <w:rPr>
          <w:rFonts w:ascii="Calibri" w:hAnsi="Calibri"/>
          <w:b w:val="0"/>
          <w:i w:val="0"/>
          <w:color w:val="0B1727"/>
          <w:sz w:val="22"/>
        </w:rPr>
        <w:t>No. It can help identify and control avoidable failures, but unexpected faults can still occur. Critical-spares planning and controlled breakdown response remain necessary.</w:t>
      </w:r>
    </w:p>
    <w:p>
      <w:pPr>
        <w:keepNext/>
      </w:pPr>
      <w:r>
        <w:rPr>
          <w:rFonts w:ascii="Calibri" w:hAnsi="Calibri"/>
          <w:b/>
          <w:i w:val="0"/>
          <w:color w:val="0C4F80"/>
          <w:sz w:val="22"/>
        </w:rPr>
        <w:t>Who should maintain an AAC autoclave?</w:t>
      </w:r>
    </w:p>
    <w:p>
      <w:pPr>
        <w:keepLines w:val="0"/>
      </w:pPr>
      <w:r>
        <w:rPr>
          <w:rFonts w:ascii="Calibri" w:hAnsi="Calibri"/>
          <w:b w:val="0"/>
          <w:i w:val="0"/>
          <w:color w:val="0B1727"/>
          <w:sz w:val="22"/>
        </w:rPr>
        <w:t>Routine observations may be completed by trained operators, but inspection, opening, repair, testing and certification must follow approved procedures and applicable legal requirements.</w:t>
      </w:r>
    </w:p>
    <w:p>
      <w:pPr>
        <w:keepNext/>
      </w:pPr>
      <w:r>
        <w:rPr>
          <w:rFonts w:ascii="Calibri" w:hAnsi="Calibri"/>
          <w:b/>
          <w:i w:val="0"/>
          <w:color w:val="0C4F80"/>
          <w:sz w:val="22"/>
        </w:rPr>
        <w:t>What belongs in the maintenance log?</w:t>
      </w:r>
    </w:p>
    <w:p>
      <w:pPr>
        <w:keepLines w:val="0"/>
      </w:pPr>
      <w:r>
        <w:rPr>
          <w:rFonts w:ascii="Calibri" w:hAnsi="Calibri"/>
          <w:b w:val="0"/>
          <w:i w:val="0"/>
          <w:color w:val="0B1727"/>
          <w:sz w:val="22"/>
        </w:rPr>
        <w:t>Record the equipment identity, inspection date, observation or reading, defect severity, action, responsible person, completion status and required follow-up.</w:t>
      </w:r>
    </w:p>
    <w:p>
      <w:pPr>
        <w:pStyle w:val="Heading1"/>
      </w:pPr>
      <w:r>
        <w:t>Build a Maintenance System Around Your Actual Plant</w:t>
      </w:r>
    </w:p>
    <w:p>
      <w:pPr>
        <w:keepLines w:val="0"/>
      </w:pPr>
      <w:r>
        <w:rPr>
          <w:rFonts w:ascii="Calibri" w:hAnsi="Calibri"/>
          <w:b w:val="0"/>
          <w:i w:val="0"/>
          <w:color w:val="0B1727"/>
          <w:sz w:val="22"/>
        </w:rPr>
        <w:t>A useful AAC plant maintenance SOP must reflect the machinery installed at the plant—not a generic list copied across every production line.</w:t>
      </w:r>
    </w:p>
    <w:p>
      <w:pPr>
        <w:keepLines w:val="0"/>
      </w:pPr>
      <w:r>
        <w:rPr>
          <w:rFonts w:ascii="Calibri" w:hAnsi="Calibri"/>
          <w:b w:val="0"/>
          <w:i w:val="0"/>
          <w:color w:val="0B1727"/>
          <w:sz w:val="22"/>
        </w:rPr>
        <w:t>Laxmi En-Fab Pvt. Ltd. can review the maintenance or modernisation requirement after understanding the plant configuration, recurring problem, equipment condition and available operating records.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04F7D"/>
            <w:vAlign w:val="center"/>
            <w:tcMar>
              <w:top w:w="80" w:type="dxa"/>
              <w:start w:w="120" w:type="dxa"/>
              <w:bottom w:w="80" w:type="dxa"/>
              <w:end w:w="120" w:type="dxa"/>
            </w:tcMar>
          </w:tcPr>
          <w:p>
            <w:pPr>
              <w:spacing w:after="0"/>
            </w:pPr>
            <w:r>
              <w:rPr>
                <w:rFonts w:ascii="Calibri" w:hAnsi="Calibri"/>
                <w:b/>
                <w:i w:val="0"/>
                <w:color w:val="FFFFFF"/>
                <w:sz w:val="20"/>
              </w:rPr>
              <w:t>NEXT STEP</w:t>
            </w:r>
          </w:p>
        </w:tc>
        <w:tc>
          <w:tcPr>
            <w:tcW w:type="dxa" w:w="7060"/>
            <w:shd w:fill="104F7D"/>
            <w:vAlign w:val="center"/>
            <w:tcMar>
              <w:top w:w="80" w:type="dxa"/>
              <w:start w:w="120" w:type="dxa"/>
              <w:bottom w:w="80" w:type="dxa"/>
              <w:end w:w="120" w:type="dxa"/>
            </w:tcMar>
          </w:tcPr>
          <w:p>
            <w:pPr>
              <w:spacing w:after="0"/>
            </w:pPr>
            <w:r>
              <w:rPr>
                <w:rFonts w:ascii="Calibri" w:hAnsi="Calibri"/>
                <w:b/>
                <w:i w:val="0"/>
                <w:color w:val="FFFFFF"/>
                <w:sz w:val="20"/>
              </w:rPr>
              <w:t>ACTION</w:t>
            </w:r>
          </w:p>
        </w:tc>
      </w:tr>
      <w:tr>
        <w:tc>
          <w:tcPr>
            <w:tcW w:type="dxa" w:w="2300"/>
            <w:vAlign w:val="center"/>
            <w:tcMar>
              <w:top w:w="80" w:type="dxa"/>
              <w:start w:w="120" w:type="dxa"/>
              <w:bottom w:w="80" w:type="dxa"/>
              <w:end w:w="120" w:type="dxa"/>
            </w:tcMar>
          </w:tcPr>
          <w:p>
            <w:pPr>
              <w:spacing w:after="0" w:line="264" w:lineRule="auto"/>
            </w:pPr>
            <w:r>
              <w:rPr>
                <w:rFonts w:ascii="Calibri" w:hAnsi="Calibri"/>
                <w:b w:val="0"/>
                <w:i w:val="0"/>
                <w:color w:val="0B1727"/>
                <w:sz w:val="19"/>
              </w:rPr>
              <w:t>Primary CTA</w:t>
            </w:r>
          </w:p>
        </w:tc>
        <w:tc>
          <w:tcPr>
            <w:tcW w:type="dxa" w:w="7060"/>
            <w:vAlign w:val="center"/>
            <w:tcMar>
              <w:top w:w="80" w:type="dxa"/>
              <w:start w:w="120" w:type="dxa"/>
              <w:bottom w:w="80" w:type="dxa"/>
              <w:end w:w="120" w:type="dxa"/>
            </w:tcMar>
          </w:tcPr>
          <w:p>
            <w:pPr>
              <w:spacing w:after="0" w:line="264" w:lineRule="auto"/>
            </w:pPr>
            <w:r>
              <w:rPr>
                <w:rFonts w:ascii="Calibri" w:hAnsi="Calibri"/>
                <w:b w:val="0"/>
                <w:i w:val="0"/>
                <w:color w:val="0B1727"/>
                <w:sz w:val="19"/>
              </w:rPr>
              <w:t>Request an AAC Plant Maintenance Assessment — share the plant configuration, affected equipment, recurring problem and maintenance history for an initial technical discussion.</w:t>
            </w:r>
          </w:p>
        </w:tc>
      </w:tr>
      <w:tr>
        <w:tc>
          <w:tcPr>
            <w:tcW w:type="dxa" w:w="230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Secondary CTA</w:t>
            </w:r>
          </w:p>
        </w:tc>
        <w:tc>
          <w:tcPr>
            <w:tcW w:type="dxa" w:w="7060"/>
            <w:shd w:fill="F5F7F8"/>
            <w:vAlign w:val="center"/>
            <w:tcMar>
              <w:top w:w="80" w:type="dxa"/>
              <w:start w:w="120" w:type="dxa"/>
              <w:bottom w:w="80" w:type="dxa"/>
              <w:end w:w="120" w:type="dxa"/>
            </w:tcMar>
          </w:tcPr>
          <w:p>
            <w:pPr>
              <w:spacing w:after="0" w:line="264" w:lineRule="auto"/>
            </w:pPr>
            <w:r>
              <w:rPr>
                <w:rFonts w:ascii="Calibri" w:hAnsi="Calibri"/>
                <w:b w:val="0"/>
                <w:i w:val="0"/>
                <w:color w:val="0B1727"/>
                <w:sz w:val="19"/>
              </w:rPr>
              <w:t>Download the AAC Plant Maintenance Checklist — use it as a starting framework and have it approved by the plant’s maintenance and safety teams before implementation.</w:t>
            </w:r>
          </w:p>
        </w:tc>
      </w:tr>
    </w:tbl>
    <w:p>
      <w:pPr>
        <w:spacing w:after="0"/>
      </w:pPr>
    </w:p>
    <w:p>
      <w:pPr>
        <w:pStyle w:val="Heading1"/>
      </w:pPr>
      <w:r>
        <w:t>Suggested Internal Links</w:t>
      </w:r>
    </w:p>
    <w:p>
      <w:pPr>
        <w:pStyle w:val="ListBullet"/>
        <w:spacing w:after="80" w:line="300" w:lineRule="auto"/>
        <w:ind w:left="540" w:hanging="271"/>
      </w:pPr>
      <w:r>
        <w:rPr>
          <w:rFonts w:ascii="Calibri" w:hAnsi="Calibri"/>
          <w:b w:val="0"/>
          <w:i w:val="0"/>
          <w:color w:val="0B1727"/>
          <w:sz w:val="22"/>
        </w:rPr>
        <w:t>AAC Production Process</w:t>
      </w:r>
    </w:p>
    <w:p>
      <w:pPr>
        <w:pStyle w:val="ListBullet"/>
        <w:spacing w:after="80" w:line="300" w:lineRule="auto"/>
        <w:ind w:left="540" w:hanging="271"/>
      </w:pPr>
      <w:r>
        <w:rPr>
          <w:rFonts w:ascii="Calibri" w:hAnsi="Calibri"/>
          <w:b w:val="0"/>
          <w:i w:val="0"/>
          <w:color w:val="0B1727"/>
          <w:sz w:val="22"/>
        </w:rPr>
        <w:t>How to Improve AAC Block Quality</w:t>
      </w:r>
    </w:p>
    <w:p>
      <w:pPr>
        <w:pStyle w:val="ListBullet"/>
        <w:spacing w:after="80" w:line="300" w:lineRule="auto"/>
        <w:ind w:left="540" w:hanging="271"/>
      </w:pPr>
      <w:r>
        <w:rPr>
          <w:rFonts w:ascii="Calibri" w:hAnsi="Calibri"/>
          <w:b w:val="0"/>
          <w:i w:val="0"/>
          <w:color w:val="0B1727"/>
          <w:sz w:val="22"/>
        </w:rPr>
        <w:t>AAC Cutting Machine</w:t>
      </w:r>
    </w:p>
    <w:p>
      <w:pPr>
        <w:pStyle w:val="ListBullet"/>
        <w:spacing w:after="80" w:line="300" w:lineRule="auto"/>
        <w:ind w:left="540" w:hanging="271"/>
      </w:pPr>
      <w:r>
        <w:rPr>
          <w:rFonts w:ascii="Calibri" w:hAnsi="Calibri"/>
          <w:b w:val="0"/>
          <w:i w:val="0"/>
          <w:color w:val="0B1727"/>
          <w:sz w:val="22"/>
        </w:rPr>
        <w:t>AAC Autoclave</w:t>
      </w:r>
    </w:p>
    <w:p>
      <w:pPr>
        <w:pStyle w:val="ListBullet"/>
        <w:spacing w:after="80" w:line="300" w:lineRule="auto"/>
        <w:ind w:left="540" w:hanging="271"/>
      </w:pPr>
      <w:r>
        <w:rPr>
          <w:rFonts w:ascii="Calibri" w:hAnsi="Calibri"/>
          <w:b w:val="0"/>
          <w:i w:val="0"/>
          <w:color w:val="0B1727"/>
          <w:sz w:val="22"/>
        </w:rPr>
        <w:t>AAC Plant Troubleshooting</w:t>
      </w:r>
    </w:p>
    <w:p>
      <w:pPr>
        <w:pStyle w:val="ListBullet"/>
        <w:spacing w:after="80" w:line="300" w:lineRule="auto"/>
        <w:ind w:left="540" w:hanging="271"/>
      </w:pPr>
      <w:r>
        <w:rPr>
          <w:rFonts w:ascii="Calibri" w:hAnsi="Calibri"/>
          <w:b w:val="0"/>
          <w:i w:val="0"/>
          <w:color w:val="0B1727"/>
          <w:sz w:val="22"/>
        </w:rPr>
        <w:t>AAC Plant Automation and Modernisation</w:t>
      </w:r>
    </w:p>
    <w:p>
      <w:pPr>
        <w:pStyle w:val="ListBullet"/>
        <w:spacing w:after="80" w:line="300" w:lineRule="auto"/>
        <w:ind w:left="540" w:hanging="271"/>
      </w:pPr>
      <w:r>
        <w:rPr>
          <w:rFonts w:ascii="Calibri" w:hAnsi="Calibri"/>
          <w:b w:val="0"/>
          <w:i w:val="0"/>
          <w:color w:val="0B1727"/>
          <w:sz w:val="22"/>
        </w:rPr>
        <w:t>How to Reduce Steam Cost in an AAC Plant</w:t>
      </w:r>
    </w:p>
    <w:p>
      <w:pPr>
        <w:pStyle w:val="ListBullet"/>
        <w:spacing w:after="80" w:line="300" w:lineRule="auto"/>
        <w:ind w:left="540" w:hanging="271"/>
      </w:pPr>
      <w:r>
        <w:rPr>
          <w:rFonts w:ascii="Calibri" w:hAnsi="Calibri"/>
          <w:b w:val="0"/>
          <w:i w:val="0"/>
          <w:color w:val="0B1727"/>
          <w:sz w:val="22"/>
        </w:rPr>
        <w:t>AAC Plant Critical Spare Parts</w:t>
      </w:r>
    </w:p>
    <w:p>
      <w:pPr>
        <w:pStyle w:val="Heading1"/>
      </w:pPr>
      <w:r>
        <w:t>Technical Review Note</w:t>
      </w:r>
    </w:p>
    <w:p>
      <w:pPr>
        <w:keepLines w:val="0"/>
      </w:pPr>
      <w:r>
        <w:rPr>
          <w:rFonts w:ascii="Calibri" w:hAnsi="Calibri"/>
          <w:b w:val="0"/>
          <w:i w:val="0"/>
          <w:color w:val="0B1727"/>
          <w:sz w:val="22"/>
        </w:rPr>
        <w:t>This guide provides general educational information. Plant-specific OEM instructions, approved safety procedures and applicable statutory requirements take precedence. Maintenance values, replacement intervals and shutdown criteria must be established by qualified personnel for the installed equipment.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D6A76"/>
        <w:sz w:val="16"/>
      </w:rPr>
      <w:t xml:space="preserve">AAC Plant Maintenance SOP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D6A76"/>
        <w:sz w:val="17"/>
      </w:rPr>
      <w:t>LAXMI EN-FAB PVT. LTD.  |  AAC KNOWLEDGE HUB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17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C4F8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C4F8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04F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FTitle">
    <w:name w:val="LEF Title"/>
    <w:pPr>
      <w:spacing w:after="160"/>
    </w:pPr>
    <w:rPr>
      <w:rFonts w:ascii="Calibri" w:hAnsi="Calibri"/>
      <w:b/>
      <w:color w:val="0B1727"/>
      <w:sz w:val="56"/>
    </w:rPr>
  </w:style>
  <w:style w:type="paragraph" w:customStyle="1" w:styleId="LEFSubtitle">
    <w:name w:val="LEF Subtitle"/>
    <w:pPr>
      <w:spacing w:after="360"/>
    </w:pPr>
    <w:rPr>
      <w:rFonts w:ascii="Calibri" w:hAnsi="Calibri"/>
      <w:color w:val="0C4F80"/>
      <w:sz w:val="26"/>
    </w:rPr>
  </w:style>
  <w:style w:type="paragraph" w:customStyle="1" w:styleId="LEFCallout">
    <w:name w:val="LEF Callout"/>
    <w:pPr>
      <w:spacing w:after="120" w:line="288" w:lineRule="auto"/>
    </w:pPr>
    <w:rPr>
      <w:rFonts w:ascii="Calibri" w:hAnsi="Calibri"/>
      <w:color w:val="0B172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Plant Maintenance SOP</dc:title>
  <dc:subject>Publication-ready webpage content for Laxmi En-Fab Pvt. Ltd.</dc:subject>
  <dc:creator>Laxmi En-Fab Pvt. Ltd.</dc:creator>
  <cp:keywords>AAC Plant Maintenance SOP, AAC plant maintenance checklist, preventive maintenance</cp:keywords>
  <dc:description>generated by python-docx</dc:description>
  <cp:lastModifiedBy/>
  <cp:revision>1</cp:revision>
  <dcterms:created xsi:type="dcterms:W3CDTF">2013-12-23T23:15:00Z</dcterms:created>
  <dcterms:modified xsi:type="dcterms:W3CDTF">2013-12-23T23:15:00Z</dcterms:modified>
  <cp:category/>
</cp:coreProperties>
</file>