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54"/>
        </w:rPr>
        <w:t>Subsidy Gyaan About Page Layout Document</w:t>
      </w:r>
    </w:p>
    <w:p>
      <w:pPr>
        <w:jc w:val="center"/>
      </w:pPr>
      <w:r>
        <w:rPr>
          <w:color w:val="475569"/>
          <w:sz w:val="24"/>
        </w:rPr>
        <w:t>Modern light-theme About Us page plan for HTML, CSS and JavaScript build</w:t>
      </w:r>
    </w:p>
    <w:p/>
    <w:tbl>
      <w:tblPr>
        <w:tblW w:type="auto" w:w="0"/>
        <w:jc w:val="center"/>
        <w:tblLook w:firstColumn="1" w:firstRow="1" w:lastColumn="0" w:lastRow="0" w:noHBand="0" w:noVBand="1" w:val="04A0"/>
      </w:tblPr>
      <w:tblGrid>
        <w:gridCol w:w="10368"/>
      </w:tblGrid>
      <w:tr>
        <w:tc>
          <w:tcPr>
            <w:tcW w:type="dxa" w:w="10368"/>
            <w:shd w:fill="FFF7EF"/>
            <w:tcBorders>
              <w:top w:sz="10" w:val="single" w:color="F28C28"/>
              <w:left w:sz="10" w:val="single" w:color="F28C28"/>
              <w:bottom w:sz="10" w:val="single" w:color="F28C28"/>
              <w:right w:sz="10" w:val="single" w:color="F28C28"/>
            </w:tcBorders>
            <w:vAlign w:val="center"/>
          </w:tcPr>
          <w:p>
            <w:r>
              <w:rPr>
                <w:b/>
                <w:color w:val="F28C28"/>
                <w:sz w:val="22"/>
              </w:rPr>
              <w:t>Brand Line</w:t>
            </w:r>
          </w:p>
          <w:p>
            <w:r>
              <w:rPr>
                <w:color w:val="475569"/>
                <w:sz w:val="20"/>
              </w:rPr>
              <w:t>Gyaan se Pragati, Salah se Samriddhi</w:t>
            </w:r>
          </w:p>
        </w:tc>
      </w:tr>
    </w:tbl>
    <w:p/>
    <w:p>
      <w:pPr>
        <w:spacing w:after="120"/>
      </w:pPr>
      <w:r>
        <w:rPr>
          <w:b w:val="0"/>
          <w:color w:val="475569"/>
          <w:sz w:val="20"/>
        </w:rPr>
        <w:t>This document defines the complete About Us page structure, content placement, UI direction, section order, visual treatment, CTA placement and responsive behavior for the Subsidy Gyaan website.</w:t>
      </w:r>
    </w:p>
    <w:p>
      <w:pPr>
        <w:pStyle w:val="Heading1"/>
      </w:pPr>
      <w:r>
        <w:rPr>
          <w:rFonts w:ascii="Aptos Display" w:hAnsi="Aptos Display"/>
          <w:b/>
          <w:color w:val="14213D"/>
          <w:sz w:val="36"/>
        </w:rPr>
        <w:t>1. About Page Goal</w:t>
      </w:r>
    </w:p>
    <w:p>
      <w:pPr>
        <w:spacing w:after="120"/>
      </w:pPr>
      <w:r>
        <w:rPr>
          <w:b w:val="0"/>
          <w:color w:val="475569"/>
          <w:sz w:val="20"/>
        </w:rPr>
        <w:t>The About page should build trust and explain why Subsidy Gyaan is a reliable subsidy advisory partner. The page should show the brand story, experience since 2011, 3,500+ client trust, Pan-India advisory reach, deep process knowledge, proactive approach, and commitment toward entrepreneurs, MSMEs, industries, micro food processors, SHGs, FPOs and underserved enterprises.</w:t>
      </w:r>
    </w:p>
    <w:tbl>
      <w:tblPr>
        <w:tblW w:type="auto" w:w="0"/>
        <w:jc w:val="center"/>
        <w:tblLook w:firstColumn="1" w:firstRow="1" w:lastColumn="0" w:lastRow="0" w:noHBand="0" w:noVBand="1" w:val="04A0"/>
      </w:tblPr>
      <w:tblGrid>
        <w:gridCol w:w="5184"/>
        <w:gridCol w:w="5184"/>
      </w:tblGrid>
      <w:tr>
        <w:trPr>
          <w:tblHeader w:val="true"/>
        </w:trPr>
        <w:tc>
          <w:tcPr>
            <w:tcW w:type="dxa" w:w="3024"/>
            <w:tcBorders>
              <w:top w:sz="8" w:val="single" w:color="D9E6F2"/>
              <w:left w:sz="8" w:val="single" w:color="D9E6F2"/>
              <w:bottom w:sz="8" w:val="single" w:color="D9E6F2"/>
              <w:right w:sz="8" w:val="single" w:color="D9E6F2"/>
            </w:tcBorders>
            <w:shd w:fill="1E73BE"/>
          </w:tcPr>
          <w:p>
            <w:r>
              <w:rPr>
                <w:b/>
                <w:color w:val="FFFFFF"/>
                <w:sz w:val="19"/>
              </w:rPr>
              <w:t>Item</w:t>
            </w:r>
          </w:p>
        </w:tc>
        <w:tc>
          <w:tcPr>
            <w:tcW w:type="dxa" w:w="6624"/>
            <w:tcBorders>
              <w:top w:sz="8" w:val="single" w:color="D9E6F2"/>
              <w:left w:sz="8" w:val="single" w:color="D9E6F2"/>
              <w:bottom w:sz="8" w:val="single" w:color="D9E6F2"/>
              <w:right w:sz="8" w:val="single" w:color="D9E6F2"/>
            </w:tcBorders>
            <w:shd w:fill="1E73BE"/>
          </w:tcPr>
          <w:p>
            <w:r>
              <w:rPr>
                <w:b/>
                <w:color w:val="FFFFFF"/>
                <w:sz w:val="19"/>
              </w:rPr>
              <w:t>Direction</w:t>
            </w:r>
          </w:p>
        </w:tc>
      </w:tr>
      <w:tr>
        <w:trPr>
          <w:cantSplit/>
        </w:trPr>
        <w:tc>
          <w:tcPr>
            <w:tcW w:type="dxa" w:w="3024"/>
            <w:shd w:fill="F8FBFE"/>
          </w:tcPr>
          <w:p>
            <w:r>
              <w:rPr>
                <w:b/>
                <w:color w:val="14213D"/>
                <w:sz w:val="18"/>
              </w:rPr>
              <w:t>Primary Goal</w:t>
            </w:r>
          </w:p>
        </w:tc>
        <w:tc>
          <w:tcPr>
            <w:tcW w:type="dxa" w:w="6624"/>
          </w:tcPr>
          <w:p>
            <w:r>
              <w:rPr>
                <w:color w:val="475569"/>
                <w:sz w:val="18"/>
              </w:rPr>
              <w:t>Create trust by presenting Subsidy Gyaan as an experienced, reliable and specialized advisory firm for subsidy availment.</w:t>
            </w:r>
          </w:p>
        </w:tc>
      </w:tr>
      <w:tr>
        <w:trPr>
          <w:cantSplit/>
        </w:trPr>
        <w:tc>
          <w:tcPr>
            <w:tcW w:type="dxa" w:w="3024"/>
            <w:shd w:fill="F8FBFE"/>
          </w:tcPr>
          <w:p>
            <w:r>
              <w:rPr>
                <w:b/>
                <w:color w:val="14213D"/>
                <w:sz w:val="18"/>
              </w:rPr>
              <w:t>Secondary Goal</w:t>
            </w:r>
          </w:p>
        </w:tc>
        <w:tc>
          <w:tcPr>
            <w:tcW w:type="dxa" w:w="6624"/>
          </w:tcPr>
          <w:p>
            <w:r>
              <w:rPr>
                <w:color w:val="475569"/>
                <w:sz w:val="18"/>
              </w:rPr>
              <w:t>Explain the organization purpose: subsidy awareness, documentation readiness, compliance support and end-to-end handholding.</w:t>
            </w:r>
          </w:p>
        </w:tc>
      </w:tr>
      <w:tr>
        <w:trPr>
          <w:cantSplit/>
        </w:trPr>
        <w:tc>
          <w:tcPr>
            <w:tcW w:type="dxa" w:w="3024"/>
            <w:shd w:fill="F8FBFE"/>
          </w:tcPr>
          <w:p>
            <w:r>
              <w:rPr>
                <w:b/>
                <w:color w:val="14213D"/>
                <w:sz w:val="18"/>
              </w:rPr>
              <w:t>Visitor Feeling</w:t>
            </w:r>
          </w:p>
        </w:tc>
        <w:tc>
          <w:tcPr>
            <w:tcW w:type="dxa" w:w="6624"/>
          </w:tcPr>
          <w:p>
            <w:r>
              <w:rPr>
                <w:color w:val="475569"/>
                <w:sz w:val="18"/>
              </w:rPr>
              <w:t>The visitor should feel: this team understands government schemes, documentation and practical business execution.</w:t>
            </w:r>
          </w:p>
        </w:tc>
      </w:tr>
      <w:tr>
        <w:trPr>
          <w:cantSplit/>
        </w:trPr>
        <w:tc>
          <w:tcPr>
            <w:tcW w:type="dxa" w:w="3024"/>
            <w:shd w:fill="F8FBFE"/>
          </w:tcPr>
          <w:p>
            <w:r>
              <w:rPr>
                <w:b/>
                <w:color w:val="14213D"/>
                <w:sz w:val="18"/>
              </w:rPr>
              <w:t>Conversion Goal</w:t>
            </w:r>
          </w:p>
        </w:tc>
        <w:tc>
          <w:tcPr>
            <w:tcW w:type="dxa" w:w="6624"/>
          </w:tcPr>
          <w:p>
            <w:r>
              <w:rPr>
                <w:color w:val="475569"/>
                <w:sz w:val="18"/>
              </w:rPr>
              <w:t>Move users toward consultation, eligibility check or contact enquiry after understanding the brand credibility.</w:t>
            </w:r>
          </w:p>
        </w:tc>
      </w:tr>
      <w:tr>
        <w:trPr>
          <w:cantSplit/>
        </w:trPr>
        <w:tc>
          <w:tcPr>
            <w:tcW w:type="dxa" w:w="3024"/>
            <w:shd w:fill="F8FBFE"/>
          </w:tcPr>
          <w:p>
            <w:r>
              <w:rPr>
                <w:b/>
                <w:color w:val="14213D"/>
                <w:sz w:val="18"/>
              </w:rPr>
              <w:t>Core Emotion</w:t>
            </w:r>
          </w:p>
        </w:tc>
        <w:tc>
          <w:tcPr>
            <w:tcW w:type="dxa" w:w="6624"/>
          </w:tcPr>
          <w:p>
            <w:r>
              <w:rPr>
                <w:color w:val="475569"/>
                <w:sz w:val="18"/>
              </w:rPr>
              <w:t>Knowledge creates progress, and the right advisory creates prosperity: Gyaan se Pragati, Salah se Samriddhi.</w:t>
            </w:r>
          </w:p>
        </w:tc>
      </w:tr>
    </w:tbl>
    <w:p/>
    <w:p>
      <w:pPr>
        <w:pStyle w:val="Heading1"/>
      </w:pPr>
      <w:r>
        <w:rPr>
          <w:rFonts w:ascii="Aptos Display" w:hAnsi="Aptos Display"/>
          <w:b/>
          <w:color w:val="14213D"/>
          <w:sz w:val="36"/>
        </w:rPr>
        <w:t>2. Brand and Content Foundation</w:t>
      </w:r>
    </w:p>
    <w:tbl>
      <w:tblPr>
        <w:tblW w:type="auto" w:w="0"/>
        <w:jc w:val="center"/>
        <w:tblLook w:firstColumn="1" w:firstRow="1" w:lastColumn="0" w:lastRow="0" w:noHBand="0" w:noVBand="1" w:val="04A0"/>
      </w:tblPr>
      <w:tblGrid>
        <w:gridCol w:w="5184"/>
        <w:gridCol w:w="5184"/>
      </w:tblGrid>
      <w:tr>
        <w:trPr>
          <w:tblHeader w:val="true"/>
        </w:trPr>
        <w:tc>
          <w:tcPr>
            <w:tcW w:type="dxa" w:w="3024"/>
            <w:tcBorders>
              <w:top w:sz="8" w:val="single" w:color="D9E6F2"/>
              <w:left w:sz="8" w:val="single" w:color="D9E6F2"/>
              <w:bottom w:sz="8" w:val="single" w:color="D9E6F2"/>
              <w:right w:sz="8" w:val="single" w:color="D9E6F2"/>
            </w:tcBorders>
            <w:shd w:fill="1E73BE"/>
          </w:tcPr>
          <w:p>
            <w:r>
              <w:rPr>
                <w:b/>
                <w:color w:val="FFFFFF"/>
                <w:sz w:val="19"/>
              </w:rPr>
              <w:t>Brand Detail</w:t>
            </w:r>
          </w:p>
        </w:tc>
        <w:tc>
          <w:tcPr>
            <w:tcW w:type="dxa" w:w="6624"/>
            <w:tcBorders>
              <w:top w:sz="8" w:val="single" w:color="D9E6F2"/>
              <w:left w:sz="8" w:val="single" w:color="D9E6F2"/>
              <w:bottom w:sz="8" w:val="single" w:color="D9E6F2"/>
              <w:right w:sz="8" w:val="single" w:color="D9E6F2"/>
            </w:tcBorders>
            <w:shd w:fill="1E73BE"/>
          </w:tcPr>
          <w:p>
            <w:r>
              <w:rPr>
                <w:b/>
                <w:color w:val="FFFFFF"/>
                <w:sz w:val="19"/>
              </w:rPr>
              <w:t>Website Usage</w:t>
            </w:r>
          </w:p>
        </w:tc>
      </w:tr>
      <w:tr>
        <w:trPr>
          <w:cantSplit/>
        </w:trPr>
        <w:tc>
          <w:tcPr>
            <w:tcW w:type="dxa" w:w="3024"/>
            <w:shd w:fill="F8FBFE"/>
          </w:tcPr>
          <w:p>
            <w:r>
              <w:rPr>
                <w:b/>
                <w:color w:val="14213D"/>
                <w:sz w:val="18"/>
              </w:rPr>
              <w:t>Brand Name</w:t>
            </w:r>
          </w:p>
        </w:tc>
        <w:tc>
          <w:tcPr>
            <w:tcW w:type="dxa" w:w="6624"/>
          </w:tcPr>
          <w:p>
            <w:r>
              <w:rPr>
                <w:color w:val="475569"/>
                <w:sz w:val="18"/>
              </w:rPr>
              <w:t>Subsidy Gyaan</w:t>
            </w:r>
          </w:p>
        </w:tc>
      </w:tr>
      <w:tr>
        <w:trPr>
          <w:cantSplit/>
        </w:trPr>
        <w:tc>
          <w:tcPr>
            <w:tcW w:type="dxa" w:w="3024"/>
            <w:shd w:fill="F8FBFE"/>
          </w:tcPr>
          <w:p>
            <w:r>
              <w:rPr>
                <w:b/>
                <w:color w:val="14213D"/>
                <w:sz w:val="18"/>
              </w:rPr>
              <w:t>Byline</w:t>
            </w:r>
          </w:p>
        </w:tc>
        <w:tc>
          <w:tcPr>
            <w:tcW w:type="dxa" w:w="6624"/>
          </w:tcPr>
          <w:p>
            <w:r>
              <w:rPr>
                <w:color w:val="475569"/>
                <w:sz w:val="18"/>
              </w:rPr>
              <w:t>by Advait Associates</w:t>
            </w:r>
          </w:p>
        </w:tc>
      </w:tr>
      <w:tr>
        <w:trPr>
          <w:cantSplit/>
        </w:trPr>
        <w:tc>
          <w:tcPr>
            <w:tcW w:type="dxa" w:w="3024"/>
            <w:shd w:fill="F8FBFE"/>
          </w:tcPr>
          <w:p>
            <w:r>
              <w:rPr>
                <w:b/>
                <w:color w:val="14213D"/>
                <w:sz w:val="18"/>
              </w:rPr>
              <w:t>Business Category</w:t>
            </w:r>
          </w:p>
        </w:tc>
        <w:tc>
          <w:tcPr>
            <w:tcW w:type="dxa" w:w="6624"/>
          </w:tcPr>
          <w:p>
            <w:r>
              <w:rPr>
                <w:color w:val="475569"/>
                <w:sz w:val="18"/>
              </w:rPr>
              <w:t>Comprehensive consultancy for subsidy availment</w:t>
            </w:r>
          </w:p>
        </w:tc>
      </w:tr>
      <w:tr>
        <w:trPr>
          <w:cantSplit/>
        </w:trPr>
        <w:tc>
          <w:tcPr>
            <w:tcW w:type="dxa" w:w="3024"/>
            <w:shd w:fill="F8FBFE"/>
          </w:tcPr>
          <w:p>
            <w:r>
              <w:rPr>
                <w:b/>
                <w:color w:val="14213D"/>
                <w:sz w:val="18"/>
              </w:rPr>
              <w:t>Location</w:t>
            </w:r>
          </w:p>
        </w:tc>
        <w:tc>
          <w:tcPr>
            <w:tcW w:type="dxa" w:w="6624"/>
          </w:tcPr>
          <w:p>
            <w:r>
              <w:rPr>
                <w:color w:val="475569"/>
                <w:sz w:val="18"/>
              </w:rPr>
              <w:t>Ahmedabad, Gujarat</w:t>
            </w:r>
          </w:p>
        </w:tc>
      </w:tr>
      <w:tr>
        <w:trPr>
          <w:cantSplit/>
        </w:trPr>
        <w:tc>
          <w:tcPr>
            <w:tcW w:type="dxa" w:w="3024"/>
            <w:shd w:fill="F8FBFE"/>
          </w:tcPr>
          <w:p>
            <w:r>
              <w:rPr>
                <w:b/>
                <w:color w:val="14213D"/>
                <w:sz w:val="18"/>
              </w:rPr>
              <w:t>Service Area</w:t>
            </w:r>
          </w:p>
        </w:tc>
        <w:tc>
          <w:tcPr>
            <w:tcW w:type="dxa" w:w="6624"/>
          </w:tcPr>
          <w:p>
            <w:r>
              <w:rPr>
                <w:color w:val="475569"/>
                <w:sz w:val="18"/>
              </w:rPr>
              <w:t>Across India / Pan-India advisory reach</w:t>
            </w:r>
          </w:p>
        </w:tc>
      </w:tr>
      <w:tr>
        <w:trPr>
          <w:cantSplit/>
        </w:trPr>
        <w:tc>
          <w:tcPr>
            <w:tcW w:type="dxa" w:w="3024"/>
            <w:shd w:fill="F8FBFE"/>
          </w:tcPr>
          <w:p>
            <w:r>
              <w:rPr>
                <w:b/>
                <w:color w:val="14213D"/>
                <w:sz w:val="18"/>
              </w:rPr>
              <w:t>Established</w:t>
            </w:r>
          </w:p>
        </w:tc>
        <w:tc>
          <w:tcPr>
            <w:tcW w:type="dxa" w:w="6624"/>
          </w:tcPr>
          <w:p>
            <w:r>
              <w:rPr>
                <w:color w:val="475569"/>
                <w:sz w:val="18"/>
              </w:rPr>
              <w:t>2011</w:t>
            </w:r>
          </w:p>
        </w:tc>
      </w:tr>
      <w:tr>
        <w:trPr>
          <w:cantSplit/>
        </w:trPr>
        <w:tc>
          <w:tcPr>
            <w:tcW w:type="dxa" w:w="3024"/>
            <w:shd w:fill="F8FBFE"/>
          </w:tcPr>
          <w:p>
            <w:r>
              <w:rPr>
                <w:b/>
                <w:color w:val="14213D"/>
                <w:sz w:val="18"/>
              </w:rPr>
              <w:t>Trust Marker</w:t>
            </w:r>
          </w:p>
        </w:tc>
        <w:tc>
          <w:tcPr>
            <w:tcW w:type="dxa" w:w="6624"/>
          </w:tcPr>
          <w:p>
            <w:r>
              <w:rPr>
                <w:color w:val="475569"/>
                <w:sz w:val="18"/>
              </w:rPr>
              <w:t>3,500+ clients served</w:t>
            </w:r>
          </w:p>
        </w:tc>
      </w:tr>
      <w:tr>
        <w:trPr>
          <w:cantSplit/>
        </w:trPr>
        <w:tc>
          <w:tcPr>
            <w:tcW w:type="dxa" w:w="3024"/>
            <w:shd w:fill="F8FBFE"/>
          </w:tcPr>
          <w:p>
            <w:r>
              <w:rPr>
                <w:b/>
                <w:color w:val="14213D"/>
                <w:sz w:val="18"/>
              </w:rPr>
              <w:t>Main Advisory Areas</w:t>
            </w:r>
          </w:p>
        </w:tc>
        <w:tc>
          <w:tcPr>
            <w:tcW w:type="dxa" w:w="6624"/>
          </w:tcPr>
          <w:p>
            <w:r>
              <w:rPr>
                <w:color w:val="475569"/>
                <w:sz w:val="18"/>
              </w:rPr>
              <w:t>Central Government Subsidy Schemes and Gujarat Government Subsidy Schemes.</w:t>
            </w:r>
          </w:p>
        </w:tc>
      </w:tr>
      <w:tr>
        <w:trPr>
          <w:cantSplit/>
        </w:trPr>
        <w:tc>
          <w:tcPr>
            <w:tcW w:type="dxa" w:w="3024"/>
            <w:shd w:fill="F8FBFE"/>
          </w:tcPr>
          <w:p>
            <w:r>
              <w:rPr>
                <w:b/>
                <w:color w:val="14213D"/>
                <w:sz w:val="18"/>
              </w:rPr>
              <w:t>Support Services</w:t>
            </w:r>
          </w:p>
        </w:tc>
        <w:tc>
          <w:tcPr>
            <w:tcW w:type="dxa" w:w="6624"/>
          </w:tcPr>
          <w:p>
            <w:r>
              <w:rPr>
                <w:color w:val="475569"/>
                <w:sz w:val="18"/>
              </w:rPr>
              <w:t>DPR preparation, project viability, subsidy application strategy, registration and certification, banking liaison, government liaison, machinery supplier networking and compliance guidance.</w:t>
            </w:r>
          </w:p>
        </w:tc>
      </w:tr>
      <w:tr>
        <w:trPr>
          <w:cantSplit/>
        </w:trPr>
        <w:tc>
          <w:tcPr>
            <w:tcW w:type="dxa" w:w="3024"/>
            <w:shd w:fill="F8FBFE"/>
          </w:tcPr>
          <w:p>
            <w:r>
              <w:rPr>
                <w:b/>
                <w:color w:val="14213D"/>
                <w:sz w:val="18"/>
              </w:rPr>
              <w:t>Contact Details</w:t>
            </w:r>
          </w:p>
        </w:tc>
        <w:tc>
          <w:tcPr>
            <w:tcW w:type="dxa" w:w="6624"/>
          </w:tcPr>
          <w:p>
            <w:r>
              <w:rPr>
                <w:color w:val="475569"/>
                <w:sz w:val="18"/>
              </w:rPr>
              <w:t>Phone: +91 8320542940 / +91 8866248393 | Email: oswal2nisarg@gmail.com</w:t>
            </w:r>
          </w:p>
        </w:tc>
      </w:tr>
    </w:tbl>
    <w:p/>
    <w:p>
      <w:pPr>
        <w:pStyle w:val="Heading1"/>
      </w:pPr>
      <w:r>
        <w:rPr>
          <w:rFonts w:ascii="Aptos Display" w:hAnsi="Aptos Display"/>
          <w:b/>
          <w:color w:val="14213D"/>
          <w:sz w:val="36"/>
        </w:rPr>
        <w:t>3. About Page Design System</w:t>
      </w:r>
    </w:p>
    <w:p>
      <w:pPr>
        <w:spacing w:after="120"/>
      </w:pPr>
      <w:r>
        <w:rPr>
          <w:b w:val="0"/>
          <w:color w:val="475569"/>
          <w:sz w:val="20"/>
        </w:rPr>
        <w:t>The About page should use the same light-theme design style as the homepage. It should feel warm, trustworthy and professional rather than heavy or overly corporate.</w:t>
      </w:r>
    </w:p>
    <w:tbl>
      <w:tblPr>
        <w:tblW w:type="auto" w:w="0"/>
        <w:jc w:val="center"/>
        <w:tblLook w:firstColumn="1" w:firstRow="1" w:lastColumn="0" w:lastRow="0" w:noHBand="0" w:noVBand="1" w:val="04A0"/>
      </w:tblPr>
      <w:tblGrid>
        <w:gridCol w:w="5184"/>
        <w:gridCol w:w="5184"/>
      </w:tblGrid>
      <w:tr>
        <w:trPr>
          <w:tblHeader w:val="true"/>
        </w:trPr>
        <w:tc>
          <w:tcPr>
            <w:tcW w:type="dxa" w:w="3024"/>
            <w:tcBorders>
              <w:top w:sz="8" w:val="single" w:color="D9E6F2"/>
              <w:left w:sz="8" w:val="single" w:color="D9E6F2"/>
              <w:bottom w:sz="8" w:val="single" w:color="D9E6F2"/>
              <w:right w:sz="8" w:val="single" w:color="D9E6F2"/>
            </w:tcBorders>
            <w:shd w:fill="1E73BE"/>
          </w:tcPr>
          <w:p>
            <w:r>
              <w:rPr>
                <w:b/>
                <w:color w:val="FFFFFF"/>
                <w:sz w:val="19"/>
              </w:rPr>
              <w:t>Element</w:t>
            </w:r>
          </w:p>
        </w:tc>
        <w:tc>
          <w:tcPr>
            <w:tcW w:type="dxa" w:w="6624"/>
            <w:tcBorders>
              <w:top w:sz="8" w:val="single" w:color="D9E6F2"/>
              <w:left w:sz="8" w:val="single" w:color="D9E6F2"/>
              <w:bottom w:sz="8" w:val="single" w:color="D9E6F2"/>
              <w:right w:sz="8" w:val="single" w:color="D9E6F2"/>
            </w:tcBorders>
            <w:shd w:fill="1E73BE"/>
          </w:tcPr>
          <w:p>
            <w:r>
              <w:rPr>
                <w:b/>
                <w:color w:val="FFFFFF"/>
                <w:sz w:val="19"/>
              </w:rPr>
              <w:t>Guideline</w:t>
            </w:r>
          </w:p>
        </w:tc>
      </w:tr>
      <w:tr>
        <w:trPr>
          <w:cantSplit/>
        </w:trPr>
        <w:tc>
          <w:tcPr>
            <w:tcW w:type="dxa" w:w="3024"/>
            <w:shd w:fill="F8FBFE"/>
          </w:tcPr>
          <w:p>
            <w:r>
              <w:rPr>
                <w:b/>
                <w:color w:val="14213D"/>
                <w:sz w:val="18"/>
              </w:rPr>
              <w:t>Theme</w:t>
            </w:r>
          </w:p>
        </w:tc>
        <w:tc>
          <w:tcPr>
            <w:tcW w:type="dxa" w:w="6624"/>
          </w:tcPr>
          <w:p>
            <w:r>
              <w:rPr>
                <w:color w:val="475569"/>
                <w:sz w:val="18"/>
              </w:rPr>
              <w:t>Light theme with white, soft blue, soft green and soft orange background blocks.</w:t>
            </w:r>
          </w:p>
        </w:tc>
      </w:tr>
      <w:tr>
        <w:trPr>
          <w:cantSplit/>
        </w:trPr>
        <w:tc>
          <w:tcPr>
            <w:tcW w:type="dxa" w:w="3024"/>
            <w:shd w:fill="F8FBFE"/>
          </w:tcPr>
          <w:p>
            <w:r>
              <w:rPr>
                <w:b/>
                <w:color w:val="14213D"/>
                <w:sz w:val="18"/>
              </w:rPr>
              <w:t>Primary Blue</w:t>
            </w:r>
          </w:p>
        </w:tc>
        <w:tc>
          <w:tcPr>
            <w:tcW w:type="dxa" w:w="6624"/>
          </w:tcPr>
          <w:p>
            <w:r>
              <w:rPr>
                <w:color w:val="475569"/>
                <w:sz w:val="18"/>
              </w:rPr>
              <w:t>#1E73BE - for trust, main CTA buttons and section accents.</w:t>
            </w:r>
          </w:p>
        </w:tc>
      </w:tr>
      <w:tr>
        <w:trPr>
          <w:cantSplit/>
        </w:trPr>
        <w:tc>
          <w:tcPr>
            <w:tcW w:type="dxa" w:w="3024"/>
            <w:shd w:fill="F8FBFE"/>
          </w:tcPr>
          <w:p>
            <w:r>
              <w:rPr>
                <w:b/>
                <w:color w:val="14213D"/>
                <w:sz w:val="18"/>
              </w:rPr>
              <w:t>Teal Green</w:t>
            </w:r>
          </w:p>
        </w:tc>
        <w:tc>
          <w:tcPr>
            <w:tcW w:type="dxa" w:w="6624"/>
          </w:tcPr>
          <w:p>
            <w:r>
              <w:rPr>
                <w:color w:val="475569"/>
                <w:sz w:val="18"/>
              </w:rPr>
              <w:t>#0D8B8B - for section labels, icons and advisory highlights.</w:t>
            </w:r>
          </w:p>
        </w:tc>
      </w:tr>
      <w:tr>
        <w:trPr>
          <w:cantSplit/>
        </w:trPr>
        <w:tc>
          <w:tcPr>
            <w:tcW w:type="dxa" w:w="3024"/>
            <w:shd w:fill="F8FBFE"/>
          </w:tcPr>
          <w:p>
            <w:r>
              <w:rPr>
                <w:b/>
                <w:color w:val="14213D"/>
                <w:sz w:val="18"/>
              </w:rPr>
              <w:t>Growth Green</w:t>
            </w:r>
          </w:p>
        </w:tc>
        <w:tc>
          <w:tcPr>
            <w:tcW w:type="dxa" w:w="6624"/>
          </w:tcPr>
          <w:p>
            <w:r>
              <w:rPr>
                <w:color w:val="475569"/>
                <w:sz w:val="18"/>
              </w:rPr>
              <w:t>#82B440 - for progress, impact, commitment and ecosystem support elements.</w:t>
            </w:r>
          </w:p>
        </w:tc>
      </w:tr>
      <w:tr>
        <w:trPr>
          <w:cantSplit/>
        </w:trPr>
        <w:tc>
          <w:tcPr>
            <w:tcW w:type="dxa" w:w="3024"/>
            <w:shd w:fill="F8FBFE"/>
          </w:tcPr>
          <w:p>
            <w:r>
              <w:rPr>
                <w:b/>
                <w:color w:val="14213D"/>
                <w:sz w:val="18"/>
              </w:rPr>
              <w:t>Orange Accent</w:t>
            </w:r>
          </w:p>
        </w:tc>
        <w:tc>
          <w:tcPr>
            <w:tcW w:type="dxa" w:w="6624"/>
          </w:tcPr>
          <w:p>
            <w:r>
              <w:rPr>
                <w:color w:val="475569"/>
                <w:sz w:val="18"/>
              </w:rPr>
              <w:t>#F28C28 - for the brand line, important highlights and small labels.</w:t>
            </w:r>
          </w:p>
        </w:tc>
      </w:tr>
      <w:tr>
        <w:trPr>
          <w:cantSplit/>
        </w:trPr>
        <w:tc>
          <w:tcPr>
            <w:tcW w:type="dxa" w:w="3024"/>
            <w:shd w:fill="F8FBFE"/>
          </w:tcPr>
          <w:p>
            <w:r>
              <w:rPr>
                <w:b/>
                <w:color w:val="14213D"/>
                <w:sz w:val="18"/>
              </w:rPr>
              <w:t>Typography</w:t>
            </w:r>
          </w:p>
        </w:tc>
        <w:tc>
          <w:tcPr>
            <w:tcW w:type="dxa" w:w="6624"/>
          </w:tcPr>
          <w:p>
            <w:r>
              <w:rPr>
                <w:color w:val="475569"/>
                <w:sz w:val="18"/>
              </w:rPr>
              <w:t>Use bold modern headings with high readability. Suggested: Plus Jakarta Sans / Manrope for headings and Inter / Open Sans for body.</w:t>
            </w:r>
          </w:p>
        </w:tc>
      </w:tr>
      <w:tr>
        <w:trPr>
          <w:cantSplit/>
        </w:trPr>
        <w:tc>
          <w:tcPr>
            <w:tcW w:type="dxa" w:w="3024"/>
            <w:shd w:fill="F8FBFE"/>
          </w:tcPr>
          <w:p>
            <w:r>
              <w:rPr>
                <w:b/>
                <w:color w:val="14213D"/>
                <w:sz w:val="18"/>
              </w:rPr>
              <w:t>Visual Style</w:t>
            </w:r>
          </w:p>
        </w:tc>
        <w:tc>
          <w:tcPr>
            <w:tcW w:type="dxa" w:w="6624"/>
          </w:tcPr>
          <w:p>
            <w:r>
              <w:rPr>
                <w:color w:val="475569"/>
                <w:sz w:val="18"/>
              </w:rPr>
              <w:t>Large clean content blocks, rounded cards, soft shadows, light borders and meaningful illustrations.</w:t>
            </w:r>
          </w:p>
        </w:tc>
      </w:tr>
      <w:tr>
        <w:trPr>
          <w:cantSplit/>
        </w:trPr>
        <w:tc>
          <w:tcPr>
            <w:tcW w:type="dxa" w:w="3024"/>
            <w:shd w:fill="F8FBFE"/>
          </w:tcPr>
          <w:p>
            <w:r>
              <w:rPr>
                <w:b/>
                <w:color w:val="14213D"/>
                <w:sz w:val="18"/>
              </w:rPr>
              <w:t>Animation</w:t>
            </w:r>
          </w:p>
        </w:tc>
        <w:tc>
          <w:tcPr>
            <w:tcW w:type="dxa" w:w="6624"/>
          </w:tcPr>
          <w:p>
            <w:r>
              <w:rPr>
                <w:color w:val="475569"/>
                <w:sz w:val="18"/>
              </w:rPr>
              <w:t>Simple fade-up, stat counter, card hover lift and timeline reveal. Avoid complex animation on this page.</w:t>
            </w:r>
          </w:p>
        </w:tc>
      </w:tr>
    </w:tbl>
    <w:p/>
    <w:p>
      <w:pPr>
        <w:pStyle w:val="Heading1"/>
      </w:pPr>
      <w:r>
        <w:rPr>
          <w:rFonts w:ascii="Aptos Display" w:hAnsi="Aptos Display"/>
          <w:b/>
          <w:color w:val="14213D"/>
          <w:sz w:val="36"/>
        </w:rPr>
        <w:t>4. About Page Section Order</w:t>
      </w:r>
    </w:p>
    <w:p>
      <w:pPr>
        <w:pStyle w:val="ListNumber"/>
        <w:spacing w:after="40"/>
      </w:pPr>
      <w:r>
        <w:rPr>
          <w:color w:val="475569"/>
          <w:sz w:val="19"/>
        </w:rPr>
        <w:t>Inner Page Header / About Hero</w:t>
      </w:r>
    </w:p>
    <w:p>
      <w:pPr>
        <w:pStyle w:val="ListNumber"/>
        <w:spacing w:after="40"/>
      </w:pPr>
      <w:r>
        <w:rPr>
          <w:color w:val="475569"/>
          <w:sz w:val="19"/>
        </w:rPr>
        <w:t>Brand Introduction and Core Identity</w:t>
      </w:r>
    </w:p>
    <w:p>
      <w:pPr>
        <w:pStyle w:val="ListNumber"/>
        <w:spacing w:after="40"/>
      </w:pPr>
      <w:r>
        <w:rPr>
          <w:color w:val="475569"/>
          <w:sz w:val="19"/>
        </w:rPr>
        <w:t>Experience &amp; Impact Stats Section</w:t>
      </w:r>
    </w:p>
    <w:p>
      <w:pPr>
        <w:pStyle w:val="ListNumber"/>
        <w:spacing w:after="40"/>
      </w:pPr>
      <w:r>
        <w:rPr>
          <w:color w:val="475569"/>
          <w:sz w:val="19"/>
        </w:rPr>
        <w:t>Our Purpose / What We Stand For</w:t>
      </w:r>
    </w:p>
    <w:p>
      <w:pPr>
        <w:pStyle w:val="ListNumber"/>
        <w:spacing w:after="40"/>
      </w:pPr>
      <w:r>
        <w:rPr>
          <w:color w:val="475569"/>
          <w:sz w:val="19"/>
        </w:rPr>
        <w:t>Who We Support Section</w:t>
      </w:r>
    </w:p>
    <w:p>
      <w:pPr>
        <w:pStyle w:val="ListNumber"/>
        <w:spacing w:after="40"/>
      </w:pPr>
      <w:r>
        <w:rPr>
          <w:color w:val="475569"/>
          <w:sz w:val="19"/>
        </w:rPr>
        <w:t>Our USP Section</w:t>
      </w:r>
    </w:p>
    <w:p>
      <w:pPr>
        <w:pStyle w:val="ListNumber"/>
        <w:spacing w:after="40"/>
      </w:pPr>
      <w:r>
        <w:rPr>
          <w:color w:val="475569"/>
          <w:sz w:val="19"/>
        </w:rPr>
        <w:t>Our Advisory Approach / Process Knowledge</w:t>
      </w:r>
    </w:p>
    <w:p>
      <w:pPr>
        <w:pStyle w:val="ListNumber"/>
        <w:spacing w:after="40"/>
      </w:pPr>
      <w:r>
        <w:rPr>
          <w:color w:val="475569"/>
          <w:sz w:val="19"/>
        </w:rPr>
        <w:t>Knowledge Sharing &amp; Awareness Focus</w:t>
      </w:r>
    </w:p>
    <w:p>
      <w:pPr>
        <w:pStyle w:val="ListNumber"/>
        <w:spacing w:after="40"/>
      </w:pPr>
      <w:r>
        <w:rPr>
          <w:color w:val="475569"/>
          <w:sz w:val="19"/>
        </w:rPr>
        <w:t>Our Commitment Section</w:t>
      </w:r>
    </w:p>
    <w:p>
      <w:pPr>
        <w:pStyle w:val="ListNumber"/>
        <w:spacing w:after="40"/>
      </w:pPr>
      <w:r>
        <w:rPr>
          <w:color w:val="475569"/>
          <w:sz w:val="19"/>
        </w:rPr>
        <w:t>Mini Why Choose Block</w:t>
      </w:r>
    </w:p>
    <w:p>
      <w:pPr>
        <w:pStyle w:val="ListNumber"/>
        <w:spacing w:after="40"/>
      </w:pPr>
      <w:r>
        <w:rPr>
          <w:color w:val="475569"/>
          <w:sz w:val="19"/>
        </w:rPr>
        <w:t>Final CTA Section</w:t>
      </w:r>
    </w:p>
    <w:p>
      <w:pPr>
        <w:pStyle w:val="ListNumber"/>
        <w:spacing w:after="40"/>
      </w:pPr>
      <w:r>
        <w:rPr>
          <w:color w:val="475569"/>
          <w:sz w:val="19"/>
        </w:rPr>
        <w:t>Footer</w:t>
      </w:r>
    </w:p>
    <w:p>
      <w:r>
        <w:br w:type="page"/>
      </w:r>
    </w:p>
    <w:p>
      <w:pPr>
        <w:pStyle w:val="Heading1"/>
      </w:pPr>
      <w:r>
        <w:rPr>
          <w:rFonts w:ascii="Aptos Display" w:hAnsi="Aptos Display"/>
          <w:b/>
          <w:color w:val="14213D"/>
          <w:sz w:val="36"/>
        </w:rPr>
        <w:t>5. Detailed About Page Layout</w:t>
      </w:r>
    </w:p>
    <w:tbl>
      <w:tblPr>
        <w:tblW w:type="auto" w:w="0"/>
        <w:jc w:val="center"/>
        <w:tblLook w:firstColumn="1" w:firstRow="1" w:lastColumn="0" w:lastRow="0" w:noHBand="0" w:noVBand="1" w:val="04A0"/>
      </w:tblPr>
      <w:tblGrid>
        <w:gridCol w:w="5184"/>
        <w:gridCol w:w="5184"/>
      </w:tblGrid>
      <w:tr>
        <w:tc>
          <w:tcPr>
            <w:tcW w:type="dxa" w:w="10368"/>
            <w:gridSpan w:val="2"/>
            <w:shd w:fill="FFF7EF"/>
          </w:tcPr>
          <w:p>
            <w:r>
              <w:rPr>
                <w:b/>
                <w:color w:val="14213D"/>
                <w:sz w:val="24"/>
              </w:rPr>
              <w:t>SECTION 01: Inner Page Header / About Hero</w:t>
            </w:r>
          </w:p>
        </w:tc>
      </w:tr>
      <w:tr>
        <w:trPr>
          <w:cantSplit/>
        </w:trPr>
        <w:tc>
          <w:tcPr>
            <w:tcW w:type="dxa" w:w="5184"/>
            <w:shd w:fill="F8FBFE"/>
          </w:tcPr>
          <w:p>
            <w:r>
              <w:rPr>
                <w:b/>
                <w:color w:val="0D8B8B"/>
                <w:sz w:val="18"/>
              </w:rPr>
              <w:t>Section Label</w:t>
            </w:r>
          </w:p>
        </w:tc>
        <w:tc>
          <w:tcPr>
            <w:tcW w:type="dxa" w:w="5184"/>
          </w:tcPr>
          <w:p>
            <w:r>
              <w:rPr>
                <w:color w:val="475569"/>
                <w:sz w:val="18"/>
              </w:rPr>
              <w:t>[ About Subsidy Gyaan ]</w:t>
            </w:r>
          </w:p>
        </w:tc>
      </w:tr>
      <w:tr>
        <w:trPr>
          <w:cantSplit/>
        </w:trPr>
        <w:tc>
          <w:tcPr>
            <w:tcW w:type="dxa" w:w="5184"/>
            <w:shd w:fill="F8FBFE"/>
          </w:tcPr>
          <w:p>
            <w:r>
              <w:rPr>
                <w:b/>
                <w:color w:val="0D8B8B"/>
                <w:sz w:val="18"/>
              </w:rPr>
              <w:t>Main Title</w:t>
            </w:r>
          </w:p>
        </w:tc>
        <w:tc>
          <w:tcPr>
            <w:tcW w:type="dxa" w:w="5184"/>
          </w:tcPr>
          <w:p>
            <w:r>
              <w:rPr>
                <w:color w:val="475569"/>
                <w:sz w:val="18"/>
              </w:rPr>
              <w:t>Guiding Businesses from Subsidy Awareness to Successful Availment</w:t>
            </w:r>
          </w:p>
        </w:tc>
      </w:tr>
      <w:tr>
        <w:trPr>
          <w:cantSplit/>
        </w:trPr>
        <w:tc>
          <w:tcPr>
            <w:tcW w:type="dxa" w:w="5184"/>
            <w:shd w:fill="F8FBFE"/>
          </w:tcPr>
          <w:p>
            <w:r>
              <w:rPr>
                <w:b/>
                <w:color w:val="0D8B8B"/>
                <w:sz w:val="18"/>
              </w:rPr>
              <w:t>Brand Line</w:t>
            </w:r>
          </w:p>
        </w:tc>
        <w:tc>
          <w:tcPr>
            <w:tcW w:type="dxa" w:w="5184"/>
          </w:tcPr>
          <w:p>
            <w:r>
              <w:rPr>
                <w:color w:val="475569"/>
                <w:sz w:val="18"/>
              </w:rPr>
              <w:t>Gyaan se Pragati, Salah se Samriddhi</w:t>
            </w:r>
          </w:p>
        </w:tc>
      </w:tr>
      <w:tr>
        <w:trPr>
          <w:cantSplit/>
        </w:trPr>
        <w:tc>
          <w:tcPr>
            <w:tcW w:type="dxa" w:w="5184"/>
            <w:shd w:fill="F8FBFE"/>
          </w:tcPr>
          <w:p>
            <w:r>
              <w:rPr>
                <w:b/>
                <w:color w:val="0D8B8B"/>
                <w:sz w:val="18"/>
              </w:rPr>
              <w:t>Short Description</w:t>
            </w:r>
          </w:p>
        </w:tc>
        <w:tc>
          <w:tcPr>
            <w:tcW w:type="dxa" w:w="5184"/>
          </w:tcPr>
          <w:p>
            <w:r>
              <w:rPr>
                <w:color w:val="475569"/>
                <w:sz w:val="18"/>
              </w:rPr>
              <w:t>Subsidy Gyaan by Advait Associates is an Ahmedabad-based advisory platform helping industries, MSMEs, entrepreneurs, micro food processors, SHGs, FPOs and growing enterprises avail eligible Central and Gujarat Government subsidy benefits with confidence.</w:t>
            </w:r>
          </w:p>
        </w:tc>
      </w:tr>
      <w:tr>
        <w:trPr>
          <w:cantSplit/>
        </w:trPr>
        <w:tc>
          <w:tcPr>
            <w:tcW w:type="dxa" w:w="5184"/>
            <w:shd w:fill="F8FBFE"/>
          </w:tcPr>
          <w:p>
            <w:r>
              <w:rPr>
                <w:b/>
                <w:color w:val="0D8B8B"/>
                <w:sz w:val="18"/>
              </w:rPr>
              <w:t>Breadcrumb</w:t>
            </w:r>
          </w:p>
        </w:tc>
        <w:tc>
          <w:tcPr>
            <w:tcW w:type="dxa" w:w="5184"/>
          </w:tcPr>
          <w:p>
            <w:r>
              <w:rPr>
                <w:color w:val="475569"/>
                <w:sz w:val="18"/>
              </w:rPr>
              <w:t>Home / About Us</w:t>
            </w:r>
          </w:p>
        </w:tc>
      </w:tr>
      <w:tr>
        <w:trPr>
          <w:cantSplit/>
        </w:trPr>
        <w:tc>
          <w:tcPr>
            <w:tcW w:type="dxa" w:w="5184"/>
            <w:shd w:fill="F8FBFE"/>
          </w:tcPr>
          <w:p>
            <w:r>
              <w:rPr>
                <w:b/>
                <w:color w:val="0D8B8B"/>
                <w:sz w:val="18"/>
              </w:rPr>
              <w:t>Layout</w:t>
            </w:r>
          </w:p>
        </w:tc>
        <w:tc>
          <w:tcPr>
            <w:tcW w:type="dxa" w:w="5184"/>
          </w:tcPr>
          <w:p>
            <w:r>
              <w:rPr>
                <w:color w:val="475569"/>
                <w:sz w:val="18"/>
              </w:rPr>
              <w:t>Two-column inner hero: left content, right visual card composition.</w:t>
            </w:r>
          </w:p>
        </w:tc>
      </w:tr>
      <w:tr>
        <w:trPr>
          <w:cantSplit/>
        </w:trPr>
        <w:tc>
          <w:tcPr>
            <w:tcW w:type="dxa" w:w="5184"/>
            <w:shd w:fill="F8FBFE"/>
          </w:tcPr>
          <w:p>
            <w:r>
              <w:rPr>
                <w:b/>
                <w:color w:val="0D8B8B"/>
                <w:sz w:val="18"/>
              </w:rPr>
              <w:t>Right Visual</w:t>
            </w:r>
          </w:p>
        </w:tc>
        <w:tc>
          <w:tcPr>
            <w:tcW w:type="dxa" w:w="5184"/>
          </w:tcPr>
          <w:p>
            <w:r>
              <w:rPr>
                <w:color w:val="475569"/>
                <w:sz w:val="18"/>
              </w:rPr>
              <w:t>Use a modern advisory illustration: consultant with business owner, government document, approval stamp, chart and scheme cards.</w:t>
            </w:r>
          </w:p>
        </w:tc>
      </w:tr>
      <w:tr>
        <w:trPr>
          <w:cantSplit/>
        </w:trPr>
        <w:tc>
          <w:tcPr>
            <w:tcW w:type="dxa" w:w="5184"/>
            <w:shd w:fill="F8FBFE"/>
          </w:tcPr>
          <w:p>
            <w:r>
              <w:rPr>
                <w:b/>
                <w:color w:val="0D8B8B"/>
                <w:sz w:val="18"/>
              </w:rPr>
              <w:t>Background</w:t>
            </w:r>
          </w:p>
        </w:tc>
        <w:tc>
          <w:tcPr>
            <w:tcW w:type="dxa" w:w="5184"/>
          </w:tcPr>
          <w:p>
            <w:r>
              <w:rPr>
                <w:color w:val="475569"/>
                <w:sz w:val="18"/>
              </w:rPr>
              <w:t>Soft white-to-blue gradient with light abstract shapes. Keep it clean and premium.</w:t>
            </w:r>
          </w:p>
        </w:tc>
      </w:tr>
      <w:tr>
        <w:trPr>
          <w:cantSplit/>
        </w:trPr>
        <w:tc>
          <w:tcPr>
            <w:tcW w:type="dxa" w:w="5184"/>
            <w:shd w:fill="F8FBFE"/>
          </w:tcPr>
          <w:p>
            <w:r>
              <w:rPr>
                <w:b/>
                <w:color w:val="0D8B8B"/>
                <w:sz w:val="18"/>
              </w:rPr>
              <w:t>Mobile</w:t>
            </w:r>
          </w:p>
        </w:tc>
        <w:tc>
          <w:tcPr>
            <w:tcW w:type="dxa" w:w="5184"/>
          </w:tcPr>
          <w:p>
            <w:r>
              <w:rPr>
                <w:color w:val="475569"/>
                <w:sz w:val="18"/>
              </w:rPr>
              <w:t>Content first, visual second. Keep title readable and avoid overly tall hero height.</w:t>
            </w:r>
          </w:p>
        </w:tc>
      </w:tr>
    </w:tbl>
    <w:p/>
    <w:tbl>
      <w:tblPr>
        <w:tblW w:type="auto" w:w="0"/>
        <w:jc w:val="center"/>
        <w:tblLook w:firstColumn="1" w:firstRow="1" w:lastColumn="0" w:lastRow="0" w:noHBand="0" w:noVBand="1" w:val="04A0"/>
      </w:tblPr>
      <w:tblGrid>
        <w:gridCol w:w="5184"/>
        <w:gridCol w:w="5184"/>
      </w:tblGrid>
      <w:tr>
        <w:tc>
          <w:tcPr>
            <w:tcW w:type="dxa" w:w="10368"/>
            <w:gridSpan w:val="2"/>
            <w:shd w:fill="F4FAFF"/>
          </w:tcPr>
          <w:p>
            <w:r>
              <w:rPr>
                <w:b/>
                <w:color w:val="14213D"/>
                <w:sz w:val="24"/>
              </w:rPr>
              <w:t>SECTION 02: Brand Introduction and Core Identity</w:t>
            </w:r>
          </w:p>
        </w:tc>
      </w:tr>
      <w:tr>
        <w:trPr>
          <w:cantSplit/>
        </w:trPr>
        <w:tc>
          <w:tcPr>
            <w:tcW w:type="dxa" w:w="5184"/>
            <w:shd w:fill="F8FBFE"/>
          </w:tcPr>
          <w:p>
            <w:r>
              <w:rPr>
                <w:b/>
                <w:color w:val="0D8B8B"/>
                <w:sz w:val="18"/>
              </w:rPr>
              <w:t>Section Label</w:t>
            </w:r>
          </w:p>
        </w:tc>
        <w:tc>
          <w:tcPr>
            <w:tcW w:type="dxa" w:w="5184"/>
          </w:tcPr>
          <w:p>
            <w:r>
              <w:rPr>
                <w:color w:val="475569"/>
                <w:sz w:val="18"/>
              </w:rPr>
              <w:t>[ Who We Are ]</w:t>
            </w:r>
          </w:p>
        </w:tc>
      </w:tr>
      <w:tr>
        <w:trPr>
          <w:cantSplit/>
        </w:trPr>
        <w:tc>
          <w:tcPr>
            <w:tcW w:type="dxa" w:w="5184"/>
            <w:shd w:fill="F8FBFE"/>
          </w:tcPr>
          <w:p>
            <w:r>
              <w:rPr>
                <w:b/>
                <w:color w:val="0D8B8B"/>
                <w:sz w:val="18"/>
              </w:rPr>
              <w:t>Main Title</w:t>
            </w:r>
          </w:p>
        </w:tc>
        <w:tc>
          <w:tcPr>
            <w:tcW w:type="dxa" w:w="5184"/>
          </w:tcPr>
          <w:p>
            <w:r>
              <w:rPr>
                <w:color w:val="475569"/>
                <w:sz w:val="18"/>
              </w:rPr>
              <w:t>A specialized subsidy advisory firm built to simplify government schemes for businesses.</w:t>
            </w:r>
          </w:p>
        </w:tc>
      </w:tr>
      <w:tr>
        <w:trPr>
          <w:cantSplit/>
        </w:trPr>
        <w:tc>
          <w:tcPr>
            <w:tcW w:type="dxa" w:w="5184"/>
            <w:shd w:fill="F8FBFE"/>
          </w:tcPr>
          <w:p>
            <w:r>
              <w:rPr>
                <w:b/>
                <w:color w:val="0D8B8B"/>
                <w:sz w:val="18"/>
              </w:rPr>
              <w:t>Content Direction</w:t>
            </w:r>
          </w:p>
        </w:tc>
        <w:tc>
          <w:tcPr>
            <w:tcW w:type="dxa" w:w="5184"/>
          </w:tcPr>
          <w:p>
            <w:r>
              <w:rPr>
                <w:color w:val="475569"/>
                <w:sz w:val="18"/>
              </w:rPr>
              <w:t>Explain that Subsidy Gyaan is a knowledge-sharing and advisory platform focused on creating awareness about subsidy opportunities available to MSME industries and helping enterprises secure maximum eligible benefits under Central and State Government schemes.</w:t>
            </w:r>
          </w:p>
        </w:tc>
      </w:tr>
      <w:tr>
        <w:trPr>
          <w:cantSplit/>
        </w:trPr>
        <w:tc>
          <w:tcPr>
            <w:tcW w:type="dxa" w:w="5184"/>
            <w:shd w:fill="F8FBFE"/>
          </w:tcPr>
          <w:p>
            <w:r>
              <w:rPr>
                <w:b/>
                <w:color w:val="0D8B8B"/>
                <w:sz w:val="18"/>
              </w:rPr>
              <w:t>Detailed Paragraph</w:t>
            </w:r>
          </w:p>
        </w:tc>
        <w:tc>
          <w:tcPr>
            <w:tcW w:type="dxa" w:w="5184"/>
          </w:tcPr>
          <w:p>
            <w:r>
              <w:rPr>
                <w:color w:val="475569"/>
                <w:sz w:val="18"/>
              </w:rPr>
              <w:t>Subsidy Gyaan by Advait Associates offers end-to-end consultancy services across India. The firm assists industries with subsidy availment under Central Government and Government of Gujarat schemes through practical advisory, compliance guidance, project report preparation and ecosystem support.</w:t>
            </w:r>
          </w:p>
        </w:tc>
      </w:tr>
      <w:tr>
        <w:trPr>
          <w:cantSplit/>
        </w:trPr>
        <w:tc>
          <w:tcPr>
            <w:tcW w:type="dxa" w:w="5184"/>
            <w:shd w:fill="F8FBFE"/>
          </w:tcPr>
          <w:p>
            <w:r>
              <w:rPr>
                <w:b/>
                <w:color w:val="0D8B8B"/>
                <w:sz w:val="18"/>
              </w:rPr>
              <w:t>Layout</w:t>
            </w:r>
          </w:p>
        </w:tc>
        <w:tc>
          <w:tcPr>
            <w:tcW w:type="dxa" w:w="5184"/>
          </w:tcPr>
          <w:p>
            <w:r>
              <w:rPr>
                <w:color w:val="475569"/>
                <w:sz w:val="18"/>
              </w:rPr>
              <w:t>Large paragraph block on left and a clean brand card on right showing name, location, service area and advisory category.</w:t>
            </w:r>
          </w:p>
        </w:tc>
      </w:tr>
      <w:tr>
        <w:trPr>
          <w:cantSplit/>
        </w:trPr>
        <w:tc>
          <w:tcPr>
            <w:tcW w:type="dxa" w:w="5184"/>
            <w:shd w:fill="F8FBFE"/>
          </w:tcPr>
          <w:p>
            <w:r>
              <w:rPr>
                <w:b/>
                <w:color w:val="0D8B8B"/>
                <w:sz w:val="18"/>
              </w:rPr>
              <w:t>Visual Note</w:t>
            </w:r>
          </w:p>
        </w:tc>
        <w:tc>
          <w:tcPr>
            <w:tcW w:type="dxa" w:w="5184"/>
          </w:tcPr>
          <w:p>
            <w:r>
              <w:rPr>
                <w:color w:val="475569"/>
                <w:sz w:val="18"/>
              </w:rPr>
              <w:t>Use logo/brand seal if available. Otherwise use a minimal document-and-growth illustration.</w:t>
            </w:r>
          </w:p>
        </w:tc>
      </w:tr>
      <w:tr>
        <w:trPr>
          <w:cantSplit/>
        </w:trPr>
        <w:tc>
          <w:tcPr>
            <w:tcW w:type="dxa" w:w="5184"/>
            <w:shd w:fill="F8FBFE"/>
          </w:tcPr>
          <w:p>
            <w:r>
              <w:rPr>
                <w:b/>
                <w:color w:val="0D8B8B"/>
                <w:sz w:val="18"/>
              </w:rPr>
              <w:t>CTA Link</w:t>
            </w:r>
          </w:p>
        </w:tc>
        <w:tc>
          <w:tcPr>
            <w:tcW w:type="dxa" w:w="5184"/>
          </w:tcPr>
          <w:p>
            <w:r>
              <w:rPr>
                <w:color w:val="475569"/>
                <w:sz w:val="18"/>
              </w:rPr>
              <w:t>Explore Our Services</w:t>
            </w:r>
          </w:p>
        </w:tc>
      </w:tr>
    </w:tbl>
    <w:p/>
    <w:tbl>
      <w:tblPr>
        <w:tblW w:type="auto" w:w="0"/>
        <w:jc w:val="center"/>
        <w:tblLook w:firstColumn="1" w:firstRow="1" w:lastColumn="0" w:lastRow="0" w:noHBand="0" w:noVBand="1" w:val="04A0"/>
      </w:tblPr>
      <w:tblGrid>
        <w:gridCol w:w="5184"/>
        <w:gridCol w:w="5184"/>
      </w:tblGrid>
      <w:tr>
        <w:tc>
          <w:tcPr>
            <w:tcW w:type="dxa" w:w="10368"/>
            <w:gridSpan w:val="2"/>
            <w:shd w:fill="F5FBF7"/>
          </w:tcPr>
          <w:p>
            <w:r>
              <w:rPr>
                <w:b/>
                <w:color w:val="14213D"/>
                <w:sz w:val="24"/>
              </w:rPr>
              <w:t>SECTION 03: Experience &amp; Impact Stats Section</w:t>
            </w:r>
          </w:p>
        </w:tc>
      </w:tr>
      <w:tr>
        <w:trPr>
          <w:cantSplit/>
        </w:trPr>
        <w:tc>
          <w:tcPr>
            <w:tcW w:type="dxa" w:w="5184"/>
            <w:shd w:fill="F8FBFE"/>
          </w:tcPr>
          <w:p>
            <w:r>
              <w:rPr>
                <w:b/>
                <w:color w:val="0D8B8B"/>
                <w:sz w:val="18"/>
              </w:rPr>
              <w:t>Purpose</w:t>
            </w:r>
          </w:p>
        </w:tc>
        <w:tc>
          <w:tcPr>
            <w:tcW w:type="dxa" w:w="5184"/>
          </w:tcPr>
          <w:p>
            <w:r>
              <w:rPr>
                <w:color w:val="475569"/>
                <w:sz w:val="18"/>
              </w:rPr>
              <w:t>Show credibility quickly after the brand intro.</w:t>
            </w:r>
          </w:p>
        </w:tc>
      </w:tr>
      <w:tr>
        <w:trPr>
          <w:cantSplit/>
        </w:trPr>
        <w:tc>
          <w:tcPr>
            <w:tcW w:type="dxa" w:w="5184"/>
            <w:shd w:fill="F8FBFE"/>
          </w:tcPr>
          <w:p>
            <w:r>
              <w:rPr>
                <w:b/>
                <w:color w:val="0D8B8B"/>
                <w:sz w:val="18"/>
              </w:rPr>
              <w:t>Stats</w:t>
            </w:r>
          </w:p>
        </w:tc>
        <w:tc>
          <w:tcPr>
            <w:tcW w:type="dxa" w:w="5184"/>
          </w:tcPr>
          <w:p>
            <w:r>
              <w:rPr>
                <w:color w:val="475569"/>
                <w:sz w:val="18"/>
              </w:rPr>
              <w:t>2011 Year Established | 3,500+ Clients Served | Pan-India Advisory Reach</w:t>
            </w:r>
          </w:p>
        </w:tc>
      </w:tr>
      <w:tr>
        <w:trPr>
          <w:cantSplit/>
        </w:trPr>
        <w:tc>
          <w:tcPr>
            <w:tcW w:type="dxa" w:w="5184"/>
            <w:shd w:fill="F8FBFE"/>
          </w:tcPr>
          <w:p>
            <w:r>
              <w:rPr>
                <w:b/>
                <w:color w:val="0D8B8B"/>
                <w:sz w:val="18"/>
              </w:rPr>
              <w:t>Layout</w:t>
            </w:r>
          </w:p>
        </w:tc>
        <w:tc>
          <w:tcPr>
            <w:tcW w:type="dxa" w:w="5184"/>
          </w:tcPr>
          <w:p>
            <w:r>
              <w:rPr>
                <w:color w:val="475569"/>
                <w:sz w:val="18"/>
              </w:rPr>
              <w:t>Three large horizontal stat cards. Each card should include number, label and one short supporting line.</w:t>
            </w:r>
          </w:p>
        </w:tc>
      </w:tr>
      <w:tr>
        <w:trPr>
          <w:cantSplit/>
        </w:trPr>
        <w:tc>
          <w:tcPr>
            <w:tcW w:type="dxa" w:w="5184"/>
            <w:shd w:fill="F8FBFE"/>
          </w:tcPr>
          <w:p>
            <w:r>
              <w:rPr>
                <w:b/>
                <w:color w:val="0D8B8B"/>
                <w:sz w:val="18"/>
              </w:rPr>
              <w:t>Card 1 Text</w:t>
            </w:r>
          </w:p>
        </w:tc>
        <w:tc>
          <w:tcPr>
            <w:tcW w:type="dxa" w:w="5184"/>
          </w:tcPr>
          <w:p>
            <w:r>
              <w:rPr>
                <w:color w:val="475569"/>
                <w:sz w:val="18"/>
              </w:rPr>
              <w:t>2011 - Years of subsidy advisory experience and practical government process understanding.</w:t>
            </w:r>
          </w:p>
        </w:tc>
      </w:tr>
      <w:tr>
        <w:trPr>
          <w:cantSplit/>
        </w:trPr>
        <w:tc>
          <w:tcPr>
            <w:tcW w:type="dxa" w:w="5184"/>
            <w:shd w:fill="F8FBFE"/>
          </w:tcPr>
          <w:p>
            <w:r>
              <w:rPr>
                <w:b/>
                <w:color w:val="0D8B8B"/>
                <w:sz w:val="18"/>
              </w:rPr>
              <w:t>Card 2 Text</w:t>
            </w:r>
          </w:p>
        </w:tc>
        <w:tc>
          <w:tcPr>
            <w:tcW w:type="dxa" w:w="5184"/>
          </w:tcPr>
          <w:p>
            <w:r>
              <w:rPr>
                <w:color w:val="475569"/>
                <w:sz w:val="18"/>
              </w:rPr>
              <w:t>3,500+ - Clients guided across subsidy applications, documentation and business support.</w:t>
            </w:r>
          </w:p>
        </w:tc>
      </w:tr>
      <w:tr>
        <w:trPr>
          <w:cantSplit/>
        </w:trPr>
        <w:tc>
          <w:tcPr>
            <w:tcW w:type="dxa" w:w="5184"/>
            <w:shd w:fill="F8FBFE"/>
          </w:tcPr>
          <w:p>
            <w:r>
              <w:rPr>
                <w:b/>
                <w:color w:val="0D8B8B"/>
                <w:sz w:val="18"/>
              </w:rPr>
              <w:t>Card 3 Text</w:t>
            </w:r>
          </w:p>
        </w:tc>
        <w:tc>
          <w:tcPr>
            <w:tcW w:type="dxa" w:w="5184"/>
          </w:tcPr>
          <w:p>
            <w:r>
              <w:rPr>
                <w:color w:val="475569"/>
                <w:sz w:val="18"/>
              </w:rPr>
              <w:t>Pan-India - Advisory support for Central and State Government subsidy opportunities.</w:t>
            </w:r>
          </w:p>
        </w:tc>
      </w:tr>
      <w:tr>
        <w:trPr>
          <w:cantSplit/>
        </w:trPr>
        <w:tc>
          <w:tcPr>
            <w:tcW w:type="dxa" w:w="5184"/>
            <w:shd w:fill="F8FBFE"/>
          </w:tcPr>
          <w:p>
            <w:r>
              <w:rPr>
                <w:b/>
                <w:color w:val="0D8B8B"/>
                <w:sz w:val="18"/>
              </w:rPr>
              <w:t>Style</w:t>
            </w:r>
          </w:p>
        </w:tc>
        <w:tc>
          <w:tcPr>
            <w:tcW w:type="dxa" w:w="5184"/>
          </w:tcPr>
          <w:p>
            <w:r>
              <w:rPr>
                <w:color w:val="475569"/>
                <w:sz w:val="18"/>
              </w:rPr>
              <w:t>White cards with blue/green/orange accents. Add subtle counter animation.</w:t>
            </w:r>
          </w:p>
        </w:tc>
      </w:tr>
      <w:tr>
        <w:trPr>
          <w:cantSplit/>
        </w:trPr>
        <w:tc>
          <w:tcPr>
            <w:tcW w:type="dxa" w:w="5184"/>
            <w:shd w:fill="F8FBFE"/>
          </w:tcPr>
          <w:p>
            <w:r>
              <w:rPr>
                <w:b/>
                <w:color w:val="0D8B8B"/>
                <w:sz w:val="18"/>
              </w:rPr>
              <w:t>Mobile</w:t>
            </w:r>
          </w:p>
        </w:tc>
        <w:tc>
          <w:tcPr>
            <w:tcW w:type="dxa" w:w="5184"/>
          </w:tcPr>
          <w:p>
            <w:r>
              <w:rPr>
                <w:color w:val="475569"/>
                <w:sz w:val="18"/>
              </w:rPr>
              <w:t>Stack the three cards vertically with equal height.</w:t>
            </w:r>
          </w:p>
        </w:tc>
      </w:tr>
    </w:tbl>
    <w:p/>
    <w:tbl>
      <w:tblPr>
        <w:tblW w:type="auto" w:w="0"/>
        <w:jc w:val="center"/>
        <w:tblLook w:firstColumn="1" w:firstRow="1" w:lastColumn="0" w:lastRow="0" w:noHBand="0" w:noVBand="1" w:val="04A0"/>
      </w:tblPr>
      <w:tblGrid>
        <w:gridCol w:w="5184"/>
        <w:gridCol w:w="5184"/>
      </w:tblGrid>
      <w:tr>
        <w:tc>
          <w:tcPr>
            <w:tcW w:type="dxa" w:w="10368"/>
            <w:gridSpan w:val="2"/>
            <w:shd w:fill="F0FBFB"/>
          </w:tcPr>
          <w:p>
            <w:r>
              <w:rPr>
                <w:b/>
                <w:color w:val="14213D"/>
                <w:sz w:val="24"/>
              </w:rPr>
              <w:t>SECTION 04: Our Purpose / What We Stand For</w:t>
            </w:r>
          </w:p>
        </w:tc>
      </w:tr>
      <w:tr>
        <w:trPr>
          <w:cantSplit/>
        </w:trPr>
        <w:tc>
          <w:tcPr>
            <w:tcW w:type="dxa" w:w="5184"/>
            <w:shd w:fill="F8FBFE"/>
          </w:tcPr>
          <w:p>
            <w:r>
              <w:rPr>
                <w:b/>
                <w:color w:val="0D8B8B"/>
                <w:sz w:val="18"/>
              </w:rPr>
              <w:t>Section Label</w:t>
            </w:r>
          </w:p>
        </w:tc>
        <w:tc>
          <w:tcPr>
            <w:tcW w:type="dxa" w:w="5184"/>
          </w:tcPr>
          <w:p>
            <w:r>
              <w:rPr>
                <w:color w:val="475569"/>
                <w:sz w:val="18"/>
              </w:rPr>
              <w:t>[ Our Purpose ]</w:t>
            </w:r>
          </w:p>
        </w:tc>
      </w:tr>
      <w:tr>
        <w:trPr>
          <w:cantSplit/>
        </w:trPr>
        <w:tc>
          <w:tcPr>
            <w:tcW w:type="dxa" w:w="5184"/>
            <w:shd w:fill="F8FBFE"/>
          </w:tcPr>
          <w:p>
            <w:r>
              <w:rPr>
                <w:b/>
                <w:color w:val="0D8B8B"/>
                <w:sz w:val="18"/>
              </w:rPr>
              <w:t>Main Title</w:t>
            </w:r>
          </w:p>
        </w:tc>
        <w:tc>
          <w:tcPr>
            <w:tcW w:type="dxa" w:w="5184"/>
          </w:tcPr>
          <w:p>
            <w:r>
              <w:rPr>
                <w:color w:val="475569"/>
                <w:sz w:val="18"/>
              </w:rPr>
              <w:t>Making subsidy knowledge accessible, practical and useful for every eligible business.</w:t>
            </w:r>
          </w:p>
        </w:tc>
      </w:tr>
      <w:tr>
        <w:trPr>
          <w:cantSplit/>
        </w:trPr>
        <w:tc>
          <w:tcPr>
            <w:tcW w:type="dxa" w:w="5184"/>
            <w:shd w:fill="F8FBFE"/>
          </w:tcPr>
          <w:p>
            <w:r>
              <w:rPr>
                <w:b/>
                <w:color w:val="0D8B8B"/>
                <w:sz w:val="18"/>
              </w:rPr>
              <w:t>Content Direction</w:t>
            </w:r>
          </w:p>
        </w:tc>
        <w:tc>
          <w:tcPr>
            <w:tcW w:type="dxa" w:w="5184"/>
          </w:tcPr>
          <w:p>
            <w:r>
              <w:rPr>
                <w:color w:val="475569"/>
                <w:sz w:val="18"/>
              </w:rPr>
              <w:t>This section should explain that the organization is not only a file-submission consultant. It helps clients understand schemes, become documentation-ready, plan projects, identify eligibility and move from idea to implementation.</w:t>
            </w:r>
          </w:p>
        </w:tc>
      </w:tr>
      <w:tr>
        <w:trPr>
          <w:cantSplit/>
        </w:trPr>
        <w:tc>
          <w:tcPr>
            <w:tcW w:type="dxa" w:w="5184"/>
            <w:shd w:fill="F8FBFE"/>
          </w:tcPr>
          <w:p>
            <w:r>
              <w:rPr>
                <w:b/>
                <w:color w:val="0D8B8B"/>
                <w:sz w:val="18"/>
              </w:rPr>
              <w:t>Key Message 1</w:t>
            </w:r>
          </w:p>
        </w:tc>
        <w:tc>
          <w:tcPr>
            <w:tcW w:type="dxa" w:w="5184"/>
          </w:tcPr>
          <w:p>
            <w:r>
              <w:rPr>
                <w:color w:val="475569"/>
                <w:sz w:val="18"/>
              </w:rPr>
              <w:t>Create awareness about subsidy opportunities.</w:t>
            </w:r>
          </w:p>
        </w:tc>
      </w:tr>
      <w:tr>
        <w:trPr>
          <w:cantSplit/>
        </w:trPr>
        <w:tc>
          <w:tcPr>
            <w:tcW w:type="dxa" w:w="5184"/>
            <w:shd w:fill="F8FBFE"/>
          </w:tcPr>
          <w:p>
            <w:r>
              <w:rPr>
                <w:b/>
                <w:color w:val="0D8B8B"/>
                <w:sz w:val="18"/>
              </w:rPr>
              <w:t>Key Message 2</w:t>
            </w:r>
          </w:p>
        </w:tc>
        <w:tc>
          <w:tcPr>
            <w:tcW w:type="dxa" w:w="5184"/>
          </w:tcPr>
          <w:p>
            <w:r>
              <w:rPr>
                <w:color w:val="475569"/>
                <w:sz w:val="18"/>
              </w:rPr>
              <w:t>Guide enterprises to secure maximum eligible benefits.</w:t>
            </w:r>
          </w:p>
        </w:tc>
      </w:tr>
      <w:tr>
        <w:trPr>
          <w:cantSplit/>
        </w:trPr>
        <w:tc>
          <w:tcPr>
            <w:tcW w:type="dxa" w:w="5184"/>
            <w:shd w:fill="F8FBFE"/>
          </w:tcPr>
          <w:p>
            <w:r>
              <w:rPr>
                <w:b/>
                <w:color w:val="0D8B8B"/>
                <w:sz w:val="18"/>
              </w:rPr>
              <w:t>Key Message 3</w:t>
            </w:r>
          </w:p>
        </w:tc>
        <w:tc>
          <w:tcPr>
            <w:tcW w:type="dxa" w:w="5184"/>
          </w:tcPr>
          <w:p>
            <w:r>
              <w:rPr>
                <w:color w:val="475569"/>
                <w:sz w:val="18"/>
              </w:rPr>
              <w:t>Support compliance, DPR preparation and government process readiness.</w:t>
            </w:r>
          </w:p>
        </w:tc>
      </w:tr>
      <w:tr>
        <w:trPr>
          <w:cantSplit/>
        </w:trPr>
        <w:tc>
          <w:tcPr>
            <w:tcW w:type="dxa" w:w="5184"/>
            <w:shd w:fill="F8FBFE"/>
          </w:tcPr>
          <w:p>
            <w:r>
              <w:rPr>
                <w:b/>
                <w:color w:val="0D8B8B"/>
                <w:sz w:val="18"/>
              </w:rPr>
              <w:t>Layout</w:t>
            </w:r>
          </w:p>
        </w:tc>
        <w:tc>
          <w:tcPr>
            <w:tcW w:type="dxa" w:w="5184"/>
          </w:tcPr>
          <w:p>
            <w:r>
              <w:rPr>
                <w:color w:val="475569"/>
                <w:sz w:val="18"/>
              </w:rPr>
              <w:t>Left side strong heading + text, right side 3 stacked purpose cards.</w:t>
            </w:r>
          </w:p>
        </w:tc>
      </w:tr>
      <w:tr>
        <w:trPr>
          <w:cantSplit/>
        </w:trPr>
        <w:tc>
          <w:tcPr>
            <w:tcW w:type="dxa" w:w="5184"/>
            <w:shd w:fill="F8FBFE"/>
          </w:tcPr>
          <w:p>
            <w:r>
              <w:rPr>
                <w:b/>
                <w:color w:val="0D8B8B"/>
                <w:sz w:val="18"/>
              </w:rPr>
              <w:t>Design</w:t>
            </w:r>
          </w:p>
        </w:tc>
        <w:tc>
          <w:tcPr>
            <w:tcW w:type="dxa" w:w="5184"/>
          </w:tcPr>
          <w:p>
            <w:r>
              <w:rPr>
                <w:color w:val="475569"/>
                <w:sz w:val="18"/>
              </w:rPr>
              <w:t>Soft green background, white inner cards, simple icons.</w:t>
            </w:r>
          </w:p>
        </w:tc>
      </w:tr>
    </w:tbl>
    <w:p/>
    <w:tbl>
      <w:tblPr>
        <w:tblW w:type="auto" w:w="0"/>
        <w:jc w:val="center"/>
        <w:tblLook w:firstColumn="1" w:firstRow="1" w:lastColumn="0" w:lastRow="0" w:noHBand="0" w:noVBand="1" w:val="04A0"/>
      </w:tblPr>
      <w:tblGrid>
        <w:gridCol w:w="5184"/>
        <w:gridCol w:w="5184"/>
      </w:tblGrid>
      <w:tr>
        <w:tc>
          <w:tcPr>
            <w:tcW w:type="dxa" w:w="10368"/>
            <w:gridSpan w:val="2"/>
            <w:shd w:fill="F4FAFF"/>
          </w:tcPr>
          <w:p>
            <w:r>
              <w:rPr>
                <w:b/>
                <w:color w:val="14213D"/>
                <w:sz w:val="24"/>
              </w:rPr>
              <w:t>SECTION 05: Who We Support Section</w:t>
            </w:r>
          </w:p>
        </w:tc>
      </w:tr>
      <w:tr>
        <w:trPr>
          <w:cantSplit/>
        </w:trPr>
        <w:tc>
          <w:tcPr>
            <w:tcW w:type="dxa" w:w="5184"/>
            <w:shd w:fill="F8FBFE"/>
          </w:tcPr>
          <w:p>
            <w:r>
              <w:rPr>
                <w:b/>
                <w:color w:val="0D8B8B"/>
                <w:sz w:val="18"/>
              </w:rPr>
              <w:t>Section Label</w:t>
            </w:r>
          </w:p>
        </w:tc>
        <w:tc>
          <w:tcPr>
            <w:tcW w:type="dxa" w:w="5184"/>
          </w:tcPr>
          <w:p>
            <w:r>
              <w:rPr>
                <w:color w:val="475569"/>
                <w:sz w:val="18"/>
              </w:rPr>
              <w:t>[ Who We Support ]</w:t>
            </w:r>
          </w:p>
        </w:tc>
      </w:tr>
      <w:tr>
        <w:trPr>
          <w:cantSplit/>
        </w:trPr>
        <w:tc>
          <w:tcPr>
            <w:tcW w:type="dxa" w:w="5184"/>
            <w:shd w:fill="F8FBFE"/>
          </w:tcPr>
          <w:p>
            <w:r>
              <w:rPr>
                <w:b/>
                <w:color w:val="0D8B8B"/>
                <w:sz w:val="18"/>
              </w:rPr>
              <w:t>Main Title</w:t>
            </w:r>
          </w:p>
        </w:tc>
        <w:tc>
          <w:tcPr>
            <w:tcW w:type="dxa" w:w="5184"/>
          </w:tcPr>
          <w:p>
            <w:r>
              <w:rPr>
                <w:color w:val="475569"/>
                <w:sz w:val="18"/>
              </w:rPr>
              <w:t>Supporting entrepreneurs, industries and grassroots enterprises.</w:t>
            </w:r>
          </w:p>
        </w:tc>
      </w:tr>
      <w:tr>
        <w:trPr>
          <w:cantSplit/>
        </w:trPr>
        <w:tc>
          <w:tcPr>
            <w:tcW w:type="dxa" w:w="5184"/>
            <w:shd w:fill="F8FBFE"/>
          </w:tcPr>
          <w:p>
            <w:r>
              <w:rPr>
                <w:b/>
                <w:color w:val="0D8B8B"/>
                <w:sz w:val="18"/>
              </w:rPr>
              <w:t>Intro Text</w:t>
            </w:r>
          </w:p>
        </w:tc>
        <w:tc>
          <w:tcPr>
            <w:tcW w:type="dxa" w:w="5184"/>
          </w:tcPr>
          <w:p>
            <w:r>
              <w:rPr>
                <w:color w:val="475569"/>
                <w:sz w:val="18"/>
              </w:rPr>
              <w:t>Subsidy Gyaan works with a wide range of business categories, from industrial units to micro food processors and home-based enterprises.</w:t>
            </w:r>
          </w:p>
        </w:tc>
      </w:tr>
      <w:tr>
        <w:trPr>
          <w:cantSplit/>
        </w:trPr>
        <w:tc>
          <w:tcPr>
            <w:tcW w:type="dxa" w:w="5184"/>
            <w:shd w:fill="F8FBFE"/>
          </w:tcPr>
          <w:p>
            <w:r>
              <w:rPr>
                <w:b/>
                <w:color w:val="0D8B8B"/>
                <w:sz w:val="18"/>
              </w:rPr>
              <w:t>Audience Cards</w:t>
            </w:r>
          </w:p>
        </w:tc>
        <w:tc>
          <w:tcPr>
            <w:tcW w:type="dxa" w:w="5184"/>
          </w:tcPr>
          <w:p>
            <w:r>
              <w:rPr>
                <w:color w:val="475569"/>
                <w:sz w:val="18"/>
              </w:rPr>
              <w:t>Entrepreneurs; Industrial Units; MSMEs; Micro Food Processors; Gruh Udyog; Self-Help Groups; Farmer Producer Organizations; Cooperatives; Exporters; Growing Businesses.</w:t>
            </w:r>
          </w:p>
        </w:tc>
      </w:tr>
      <w:tr>
        <w:trPr>
          <w:cantSplit/>
        </w:trPr>
        <w:tc>
          <w:tcPr>
            <w:tcW w:type="dxa" w:w="5184"/>
            <w:shd w:fill="F8FBFE"/>
          </w:tcPr>
          <w:p>
            <w:r>
              <w:rPr>
                <w:b/>
                <w:color w:val="0D8B8B"/>
                <w:sz w:val="18"/>
              </w:rPr>
              <w:t>Special Focus</w:t>
            </w:r>
          </w:p>
        </w:tc>
        <w:tc>
          <w:tcPr>
            <w:tcW w:type="dxa" w:w="5184"/>
          </w:tcPr>
          <w:p>
            <w:r>
              <w:rPr>
                <w:color w:val="475569"/>
                <w:sz w:val="18"/>
              </w:rPr>
              <w:t>Highlight the current thrust on strengthening the micro food processing sector through awareness and handholding.</w:t>
            </w:r>
          </w:p>
        </w:tc>
      </w:tr>
      <w:tr>
        <w:trPr>
          <w:cantSplit/>
        </w:trPr>
        <w:tc>
          <w:tcPr>
            <w:tcW w:type="dxa" w:w="5184"/>
            <w:shd w:fill="F8FBFE"/>
          </w:tcPr>
          <w:p>
            <w:r>
              <w:rPr>
                <w:b/>
                <w:color w:val="0D8B8B"/>
                <w:sz w:val="18"/>
              </w:rPr>
              <w:t>Layout</w:t>
            </w:r>
          </w:p>
        </w:tc>
        <w:tc>
          <w:tcPr>
            <w:tcW w:type="dxa" w:w="5184"/>
          </w:tcPr>
          <w:p>
            <w:r>
              <w:rPr>
                <w:color w:val="475569"/>
                <w:sz w:val="18"/>
              </w:rPr>
              <w:t>Icon grid with 10 small cards. Add one highlighted wide card for micro food processing and underserved entrepreneurs.</w:t>
            </w:r>
          </w:p>
        </w:tc>
      </w:tr>
      <w:tr>
        <w:trPr>
          <w:cantSplit/>
        </w:trPr>
        <w:tc>
          <w:tcPr>
            <w:tcW w:type="dxa" w:w="5184"/>
            <w:shd w:fill="F8FBFE"/>
          </w:tcPr>
          <w:p>
            <w:r>
              <w:rPr>
                <w:b/>
                <w:color w:val="0D8B8B"/>
                <w:sz w:val="18"/>
              </w:rPr>
              <w:t>Mobile</w:t>
            </w:r>
          </w:p>
        </w:tc>
        <w:tc>
          <w:tcPr>
            <w:tcW w:type="dxa" w:w="5184"/>
          </w:tcPr>
          <w:p>
            <w:r>
              <w:rPr>
                <w:color w:val="475569"/>
                <w:sz w:val="18"/>
              </w:rPr>
              <w:t>2-column cards on mobile, single-column highlight card.</w:t>
            </w:r>
          </w:p>
        </w:tc>
      </w:tr>
    </w:tbl>
    <w:p/>
    <w:tbl>
      <w:tblPr>
        <w:tblW w:type="auto" w:w="0"/>
        <w:jc w:val="center"/>
        <w:tblLook w:firstColumn="1" w:firstRow="1" w:lastColumn="0" w:lastRow="0" w:noHBand="0" w:noVBand="1" w:val="04A0"/>
      </w:tblPr>
      <w:tblGrid>
        <w:gridCol w:w="5184"/>
        <w:gridCol w:w="5184"/>
      </w:tblGrid>
      <w:tr>
        <w:tc>
          <w:tcPr>
            <w:tcW w:type="dxa" w:w="10368"/>
            <w:gridSpan w:val="2"/>
            <w:shd w:fill="FFF7EF"/>
          </w:tcPr>
          <w:p>
            <w:r>
              <w:rPr>
                <w:b/>
                <w:color w:val="14213D"/>
                <w:sz w:val="24"/>
              </w:rPr>
              <w:t>SECTION 06: Our USP Section</w:t>
            </w:r>
          </w:p>
        </w:tc>
      </w:tr>
      <w:tr>
        <w:trPr>
          <w:cantSplit/>
        </w:trPr>
        <w:tc>
          <w:tcPr>
            <w:tcW w:type="dxa" w:w="5184"/>
            <w:shd w:fill="F8FBFE"/>
          </w:tcPr>
          <w:p>
            <w:r>
              <w:rPr>
                <w:b/>
                <w:color w:val="0D8B8B"/>
                <w:sz w:val="18"/>
              </w:rPr>
              <w:t>Section Label</w:t>
            </w:r>
          </w:p>
        </w:tc>
        <w:tc>
          <w:tcPr>
            <w:tcW w:type="dxa" w:w="5184"/>
          </w:tcPr>
          <w:p>
            <w:r>
              <w:rPr>
                <w:color w:val="475569"/>
                <w:sz w:val="18"/>
              </w:rPr>
              <w:t>[ Our USP ]</w:t>
            </w:r>
          </w:p>
        </w:tc>
      </w:tr>
      <w:tr>
        <w:trPr>
          <w:cantSplit/>
        </w:trPr>
        <w:tc>
          <w:tcPr>
            <w:tcW w:type="dxa" w:w="5184"/>
            <w:shd w:fill="F8FBFE"/>
          </w:tcPr>
          <w:p>
            <w:r>
              <w:rPr>
                <w:b/>
                <w:color w:val="0D8B8B"/>
                <w:sz w:val="18"/>
              </w:rPr>
              <w:t>Main Title</w:t>
            </w:r>
          </w:p>
        </w:tc>
        <w:tc>
          <w:tcPr>
            <w:tcW w:type="dxa" w:w="5184"/>
          </w:tcPr>
          <w:p>
            <w:r>
              <w:rPr>
                <w:color w:val="475569"/>
                <w:sz w:val="18"/>
              </w:rPr>
              <w:t>What makes Subsidy Gyaan different?</w:t>
            </w:r>
          </w:p>
        </w:tc>
      </w:tr>
      <w:tr>
        <w:trPr>
          <w:cantSplit/>
        </w:trPr>
        <w:tc>
          <w:tcPr>
            <w:tcW w:type="dxa" w:w="5184"/>
            <w:shd w:fill="F8FBFE"/>
          </w:tcPr>
          <w:p>
            <w:r>
              <w:rPr>
                <w:b/>
                <w:color w:val="0D8B8B"/>
                <w:sz w:val="18"/>
              </w:rPr>
              <w:t>USP 1</w:t>
            </w:r>
          </w:p>
        </w:tc>
        <w:tc>
          <w:tcPr>
            <w:tcW w:type="dxa" w:w="5184"/>
          </w:tcPr>
          <w:p>
            <w:r>
              <w:rPr>
                <w:color w:val="475569"/>
                <w:sz w:val="18"/>
              </w:rPr>
              <w:t>Expertise - Deep understanding of Central and State Government subsidy schemes. Helps clients follow a streamlined application process.</w:t>
            </w:r>
          </w:p>
        </w:tc>
      </w:tr>
      <w:tr>
        <w:trPr>
          <w:cantSplit/>
        </w:trPr>
        <w:tc>
          <w:tcPr>
            <w:tcW w:type="dxa" w:w="5184"/>
            <w:shd w:fill="F8FBFE"/>
          </w:tcPr>
          <w:p>
            <w:r>
              <w:rPr>
                <w:b/>
                <w:color w:val="0D8B8B"/>
                <w:sz w:val="18"/>
              </w:rPr>
              <w:t>USP 2</w:t>
            </w:r>
          </w:p>
        </w:tc>
        <w:tc>
          <w:tcPr>
            <w:tcW w:type="dxa" w:w="5184"/>
          </w:tcPr>
          <w:p>
            <w:r>
              <w:rPr>
                <w:color w:val="475569"/>
                <w:sz w:val="18"/>
              </w:rPr>
              <w:t>Process Knowledge - Extensive experience with government departments and application flows, helping reduce delays and confusion.</w:t>
            </w:r>
          </w:p>
        </w:tc>
      </w:tr>
      <w:tr>
        <w:trPr>
          <w:cantSplit/>
        </w:trPr>
        <w:tc>
          <w:tcPr>
            <w:tcW w:type="dxa" w:w="5184"/>
            <w:shd w:fill="F8FBFE"/>
          </w:tcPr>
          <w:p>
            <w:r>
              <w:rPr>
                <w:b/>
                <w:color w:val="0D8B8B"/>
                <w:sz w:val="18"/>
              </w:rPr>
              <w:t>USP 3</w:t>
            </w:r>
          </w:p>
        </w:tc>
        <w:tc>
          <w:tcPr>
            <w:tcW w:type="dxa" w:w="5184"/>
          </w:tcPr>
          <w:p>
            <w:r>
              <w:rPr>
                <w:color w:val="475569"/>
                <w:sz w:val="18"/>
              </w:rPr>
              <w:t>Proactive Approach - Stays updated with amendments and policy changes so clients can make informed decisions.</w:t>
            </w:r>
          </w:p>
        </w:tc>
      </w:tr>
      <w:tr>
        <w:trPr>
          <w:cantSplit/>
        </w:trPr>
        <w:tc>
          <w:tcPr>
            <w:tcW w:type="dxa" w:w="5184"/>
            <w:shd w:fill="F8FBFE"/>
          </w:tcPr>
          <w:p>
            <w:r>
              <w:rPr>
                <w:b/>
                <w:color w:val="0D8B8B"/>
                <w:sz w:val="18"/>
              </w:rPr>
              <w:t>USP 4</w:t>
            </w:r>
          </w:p>
        </w:tc>
        <w:tc>
          <w:tcPr>
            <w:tcW w:type="dxa" w:w="5184"/>
          </w:tcPr>
          <w:p>
            <w:r>
              <w:rPr>
                <w:color w:val="475569"/>
                <w:sz w:val="18"/>
              </w:rPr>
              <w:t>Reliability - Transparent and responsive advisory that builds trust with industries across India.</w:t>
            </w:r>
          </w:p>
        </w:tc>
      </w:tr>
      <w:tr>
        <w:trPr>
          <w:cantSplit/>
        </w:trPr>
        <w:tc>
          <w:tcPr>
            <w:tcW w:type="dxa" w:w="5184"/>
            <w:shd w:fill="F8FBFE"/>
          </w:tcPr>
          <w:p>
            <w:r>
              <w:rPr>
                <w:b/>
                <w:color w:val="0D8B8B"/>
                <w:sz w:val="18"/>
              </w:rPr>
              <w:t>Layout</w:t>
            </w:r>
          </w:p>
        </w:tc>
        <w:tc>
          <w:tcPr>
            <w:tcW w:type="dxa" w:w="5184"/>
          </w:tcPr>
          <w:p>
            <w:r>
              <w:rPr>
                <w:color w:val="475569"/>
                <w:sz w:val="18"/>
              </w:rPr>
              <w:t>2x2 premium cards inspired by the brochure USP block but redesigned in modern light theme.</w:t>
            </w:r>
          </w:p>
        </w:tc>
      </w:tr>
      <w:tr>
        <w:trPr>
          <w:cantSplit/>
        </w:trPr>
        <w:tc>
          <w:tcPr>
            <w:tcW w:type="dxa" w:w="5184"/>
            <w:shd w:fill="F8FBFE"/>
          </w:tcPr>
          <w:p>
            <w:r>
              <w:rPr>
                <w:b/>
                <w:color w:val="0D8B8B"/>
                <w:sz w:val="18"/>
              </w:rPr>
              <w:t>Card Style</w:t>
            </w:r>
          </w:p>
        </w:tc>
        <w:tc>
          <w:tcPr>
            <w:tcW w:type="dxa" w:w="5184"/>
          </w:tcPr>
          <w:p>
            <w:r>
              <w:rPr>
                <w:color w:val="475569"/>
                <w:sz w:val="18"/>
              </w:rPr>
              <w:t>White cards with colored top border. Use different soft backgrounds: blue, green, orange and teal.</w:t>
            </w:r>
          </w:p>
        </w:tc>
      </w:tr>
      <w:tr>
        <w:trPr>
          <w:cantSplit/>
        </w:trPr>
        <w:tc>
          <w:tcPr>
            <w:tcW w:type="dxa" w:w="5184"/>
            <w:shd w:fill="F8FBFE"/>
          </w:tcPr>
          <w:p>
            <w:r>
              <w:rPr>
                <w:b/>
                <w:color w:val="0D8B8B"/>
                <w:sz w:val="18"/>
              </w:rPr>
              <w:t>Animation</w:t>
            </w:r>
          </w:p>
        </w:tc>
        <w:tc>
          <w:tcPr>
            <w:tcW w:type="dxa" w:w="5184"/>
          </w:tcPr>
          <w:p>
            <w:r>
              <w:rPr>
                <w:color w:val="475569"/>
                <w:sz w:val="18"/>
              </w:rPr>
              <w:t>Cards fade up one by one. Hover lift with subtle shadow.</w:t>
            </w:r>
          </w:p>
        </w:tc>
      </w:tr>
    </w:tbl>
    <w:p/>
    <w:tbl>
      <w:tblPr>
        <w:tblW w:type="auto" w:w="0"/>
        <w:jc w:val="center"/>
        <w:tblLook w:firstColumn="1" w:firstRow="1" w:lastColumn="0" w:lastRow="0" w:noHBand="0" w:noVBand="1" w:val="04A0"/>
      </w:tblPr>
      <w:tblGrid>
        <w:gridCol w:w="5184"/>
        <w:gridCol w:w="5184"/>
      </w:tblGrid>
      <w:tr>
        <w:tc>
          <w:tcPr>
            <w:tcW w:type="dxa" w:w="10368"/>
            <w:gridSpan w:val="2"/>
            <w:shd w:fill="F5FBF7"/>
          </w:tcPr>
          <w:p>
            <w:r>
              <w:rPr>
                <w:b/>
                <w:color w:val="14213D"/>
                <w:sz w:val="24"/>
              </w:rPr>
              <w:t>SECTION 07: Our Advisory Approach / Process Knowledge</w:t>
            </w:r>
          </w:p>
        </w:tc>
      </w:tr>
      <w:tr>
        <w:trPr>
          <w:cantSplit/>
        </w:trPr>
        <w:tc>
          <w:tcPr>
            <w:tcW w:type="dxa" w:w="5184"/>
            <w:shd w:fill="F8FBFE"/>
          </w:tcPr>
          <w:p>
            <w:r>
              <w:rPr>
                <w:b/>
                <w:color w:val="0D8B8B"/>
                <w:sz w:val="18"/>
              </w:rPr>
              <w:t>Section Label</w:t>
            </w:r>
          </w:p>
        </w:tc>
        <w:tc>
          <w:tcPr>
            <w:tcW w:type="dxa" w:w="5184"/>
          </w:tcPr>
          <w:p>
            <w:r>
              <w:rPr>
                <w:color w:val="475569"/>
                <w:sz w:val="18"/>
              </w:rPr>
              <w:t>[ Our Approach ]</w:t>
            </w:r>
          </w:p>
        </w:tc>
      </w:tr>
      <w:tr>
        <w:trPr>
          <w:cantSplit/>
        </w:trPr>
        <w:tc>
          <w:tcPr>
            <w:tcW w:type="dxa" w:w="5184"/>
            <w:shd w:fill="F8FBFE"/>
          </w:tcPr>
          <w:p>
            <w:r>
              <w:rPr>
                <w:b/>
                <w:color w:val="0D8B8B"/>
                <w:sz w:val="18"/>
              </w:rPr>
              <w:t>Main Title</w:t>
            </w:r>
          </w:p>
        </w:tc>
        <w:tc>
          <w:tcPr>
            <w:tcW w:type="dxa" w:w="5184"/>
          </w:tcPr>
          <w:p>
            <w:r>
              <w:rPr>
                <w:color w:val="475569"/>
                <w:sz w:val="18"/>
              </w:rPr>
              <w:t>A structured advisory process from eligibility to execution.</w:t>
            </w:r>
          </w:p>
        </w:tc>
      </w:tr>
      <w:tr>
        <w:trPr>
          <w:cantSplit/>
        </w:trPr>
        <w:tc>
          <w:tcPr>
            <w:tcW w:type="dxa" w:w="5184"/>
            <w:shd w:fill="F8FBFE"/>
          </w:tcPr>
          <w:p>
            <w:r>
              <w:rPr>
                <w:b/>
                <w:color w:val="0D8B8B"/>
                <w:sz w:val="18"/>
              </w:rPr>
              <w:t>Step 1</w:t>
            </w:r>
          </w:p>
        </w:tc>
        <w:tc>
          <w:tcPr>
            <w:tcW w:type="dxa" w:w="5184"/>
          </w:tcPr>
          <w:p>
            <w:r>
              <w:rPr>
                <w:color w:val="475569"/>
                <w:sz w:val="18"/>
              </w:rPr>
              <w:t>Understand the business, project idea, industry, investment and location.</w:t>
            </w:r>
          </w:p>
        </w:tc>
      </w:tr>
      <w:tr>
        <w:trPr>
          <w:cantSplit/>
        </w:trPr>
        <w:tc>
          <w:tcPr>
            <w:tcW w:type="dxa" w:w="5184"/>
            <w:shd w:fill="F8FBFE"/>
          </w:tcPr>
          <w:p>
            <w:r>
              <w:rPr>
                <w:b/>
                <w:color w:val="0D8B8B"/>
                <w:sz w:val="18"/>
              </w:rPr>
              <w:t>Step 2</w:t>
            </w:r>
          </w:p>
        </w:tc>
        <w:tc>
          <w:tcPr>
            <w:tcW w:type="dxa" w:w="5184"/>
          </w:tcPr>
          <w:p>
            <w:r>
              <w:rPr>
                <w:color w:val="475569"/>
                <w:sz w:val="18"/>
              </w:rPr>
              <w:t>Identify suitable Central or Gujarat Government subsidy schemes.</w:t>
            </w:r>
          </w:p>
        </w:tc>
      </w:tr>
      <w:tr>
        <w:trPr>
          <w:cantSplit/>
        </w:trPr>
        <w:tc>
          <w:tcPr>
            <w:tcW w:type="dxa" w:w="5184"/>
            <w:shd w:fill="F8FBFE"/>
          </w:tcPr>
          <w:p>
            <w:r>
              <w:rPr>
                <w:b/>
                <w:color w:val="0D8B8B"/>
                <w:sz w:val="18"/>
              </w:rPr>
              <w:t>Step 3</w:t>
            </w:r>
          </w:p>
        </w:tc>
        <w:tc>
          <w:tcPr>
            <w:tcW w:type="dxa" w:w="5184"/>
          </w:tcPr>
          <w:p>
            <w:r>
              <w:rPr>
                <w:color w:val="475569"/>
                <w:sz w:val="18"/>
              </w:rPr>
              <w:t>Guide document readiness, registration and compliance requirements.</w:t>
            </w:r>
          </w:p>
        </w:tc>
      </w:tr>
      <w:tr>
        <w:trPr>
          <w:cantSplit/>
        </w:trPr>
        <w:tc>
          <w:tcPr>
            <w:tcW w:type="dxa" w:w="5184"/>
            <w:shd w:fill="F8FBFE"/>
          </w:tcPr>
          <w:p>
            <w:r>
              <w:rPr>
                <w:b/>
                <w:color w:val="0D8B8B"/>
                <w:sz w:val="18"/>
              </w:rPr>
              <w:t>Step 4</w:t>
            </w:r>
          </w:p>
        </w:tc>
        <w:tc>
          <w:tcPr>
            <w:tcW w:type="dxa" w:w="5184"/>
          </w:tcPr>
          <w:p>
            <w:r>
              <w:rPr>
                <w:color w:val="475569"/>
                <w:sz w:val="18"/>
              </w:rPr>
              <w:t>Prepare DPR, project report, viability analysis and subsidy strategy.</w:t>
            </w:r>
          </w:p>
        </w:tc>
      </w:tr>
      <w:tr>
        <w:trPr>
          <w:cantSplit/>
        </w:trPr>
        <w:tc>
          <w:tcPr>
            <w:tcW w:type="dxa" w:w="5184"/>
            <w:shd w:fill="F8FBFE"/>
          </w:tcPr>
          <w:p>
            <w:r>
              <w:rPr>
                <w:b/>
                <w:color w:val="0D8B8B"/>
                <w:sz w:val="18"/>
              </w:rPr>
              <w:t>Step 5</w:t>
            </w:r>
          </w:p>
        </w:tc>
        <w:tc>
          <w:tcPr>
            <w:tcW w:type="dxa" w:w="5184"/>
          </w:tcPr>
          <w:p>
            <w:r>
              <w:rPr>
                <w:color w:val="475569"/>
                <w:sz w:val="18"/>
              </w:rPr>
              <w:t>Support application filing, banking coordination and government liaison.</w:t>
            </w:r>
          </w:p>
        </w:tc>
      </w:tr>
      <w:tr>
        <w:trPr>
          <w:cantSplit/>
        </w:trPr>
        <w:tc>
          <w:tcPr>
            <w:tcW w:type="dxa" w:w="5184"/>
            <w:shd w:fill="F8FBFE"/>
          </w:tcPr>
          <w:p>
            <w:r>
              <w:rPr>
                <w:b/>
                <w:color w:val="0D8B8B"/>
                <w:sz w:val="18"/>
              </w:rPr>
              <w:t>Step 6</w:t>
            </w:r>
          </w:p>
        </w:tc>
        <w:tc>
          <w:tcPr>
            <w:tcW w:type="dxa" w:w="5184"/>
          </w:tcPr>
          <w:p>
            <w:r>
              <w:rPr>
                <w:color w:val="475569"/>
                <w:sz w:val="18"/>
              </w:rPr>
              <w:t>Follow up until approval, claim processing and benefit realization support.</w:t>
            </w:r>
          </w:p>
        </w:tc>
      </w:tr>
      <w:tr>
        <w:trPr>
          <w:cantSplit/>
        </w:trPr>
        <w:tc>
          <w:tcPr>
            <w:tcW w:type="dxa" w:w="5184"/>
            <w:shd w:fill="F8FBFE"/>
          </w:tcPr>
          <w:p>
            <w:r>
              <w:rPr>
                <w:b/>
                <w:color w:val="0D8B8B"/>
                <w:sz w:val="18"/>
              </w:rPr>
              <w:t>Layout</w:t>
            </w:r>
          </w:p>
        </w:tc>
        <w:tc>
          <w:tcPr>
            <w:tcW w:type="dxa" w:w="5184"/>
          </w:tcPr>
          <w:p>
            <w:r>
              <w:rPr>
                <w:color w:val="475569"/>
                <w:sz w:val="18"/>
              </w:rPr>
              <w:t>Vertical timeline on left with detailed explanation on right OR horizontal process cards on desktop.</w:t>
            </w:r>
          </w:p>
        </w:tc>
      </w:tr>
      <w:tr>
        <w:trPr>
          <w:cantSplit/>
        </w:trPr>
        <w:tc>
          <w:tcPr>
            <w:tcW w:type="dxa" w:w="5184"/>
            <w:shd w:fill="F8FBFE"/>
          </w:tcPr>
          <w:p>
            <w:r>
              <w:rPr>
                <w:b/>
                <w:color w:val="0D8B8B"/>
                <w:sz w:val="18"/>
              </w:rPr>
              <w:t>Note</w:t>
            </w:r>
          </w:p>
        </w:tc>
        <w:tc>
          <w:tcPr>
            <w:tcW w:type="dxa" w:w="5184"/>
          </w:tcPr>
          <w:p>
            <w:r>
              <w:rPr>
                <w:color w:val="475569"/>
                <w:sz w:val="18"/>
              </w:rPr>
              <w:t>This section should show that the team understands practical process flow, not just theoretical schemes.</w:t>
            </w:r>
          </w:p>
        </w:tc>
      </w:tr>
    </w:tbl>
    <w:p/>
    <w:tbl>
      <w:tblPr>
        <w:tblW w:type="auto" w:w="0"/>
        <w:jc w:val="center"/>
        <w:tblLook w:firstColumn="1" w:firstRow="1" w:lastColumn="0" w:lastRow="0" w:noHBand="0" w:noVBand="1" w:val="04A0"/>
      </w:tblPr>
      <w:tblGrid>
        <w:gridCol w:w="5184"/>
        <w:gridCol w:w="5184"/>
      </w:tblGrid>
      <w:tr>
        <w:tc>
          <w:tcPr>
            <w:tcW w:type="dxa" w:w="10368"/>
            <w:gridSpan w:val="2"/>
            <w:shd w:fill="F4FAFF"/>
          </w:tcPr>
          <w:p>
            <w:r>
              <w:rPr>
                <w:b/>
                <w:color w:val="14213D"/>
                <w:sz w:val="24"/>
              </w:rPr>
              <w:t>SECTION 08: Knowledge Sharing &amp; Awareness Focus</w:t>
            </w:r>
          </w:p>
        </w:tc>
      </w:tr>
      <w:tr>
        <w:trPr>
          <w:cantSplit/>
        </w:trPr>
        <w:tc>
          <w:tcPr>
            <w:tcW w:type="dxa" w:w="5184"/>
            <w:shd w:fill="F8FBFE"/>
          </w:tcPr>
          <w:p>
            <w:r>
              <w:rPr>
                <w:b/>
                <w:color w:val="0D8B8B"/>
                <w:sz w:val="18"/>
              </w:rPr>
              <w:t>Section Label</w:t>
            </w:r>
          </w:p>
        </w:tc>
        <w:tc>
          <w:tcPr>
            <w:tcW w:type="dxa" w:w="5184"/>
          </w:tcPr>
          <w:p>
            <w:r>
              <w:rPr>
                <w:color w:val="475569"/>
                <w:sz w:val="18"/>
              </w:rPr>
              <w:t>[ Knowledge Platform ]</w:t>
            </w:r>
          </w:p>
        </w:tc>
      </w:tr>
      <w:tr>
        <w:trPr>
          <w:cantSplit/>
        </w:trPr>
        <w:tc>
          <w:tcPr>
            <w:tcW w:type="dxa" w:w="5184"/>
            <w:shd w:fill="F8FBFE"/>
          </w:tcPr>
          <w:p>
            <w:r>
              <w:rPr>
                <w:b/>
                <w:color w:val="0D8B8B"/>
                <w:sz w:val="18"/>
              </w:rPr>
              <w:t>Main Title</w:t>
            </w:r>
          </w:p>
        </w:tc>
        <w:tc>
          <w:tcPr>
            <w:tcW w:type="dxa" w:w="5184"/>
          </w:tcPr>
          <w:p>
            <w:r>
              <w:rPr>
                <w:color w:val="475569"/>
                <w:sz w:val="18"/>
              </w:rPr>
              <w:t>More than consultancy - a knowledge platform for subsidy awareness.</w:t>
            </w:r>
          </w:p>
        </w:tc>
      </w:tr>
      <w:tr>
        <w:trPr>
          <w:cantSplit/>
        </w:trPr>
        <w:tc>
          <w:tcPr>
            <w:tcW w:type="dxa" w:w="5184"/>
            <w:shd w:fill="F8FBFE"/>
          </w:tcPr>
          <w:p>
            <w:r>
              <w:rPr>
                <w:b/>
                <w:color w:val="0D8B8B"/>
                <w:sz w:val="18"/>
              </w:rPr>
              <w:t>Content Direction</w:t>
            </w:r>
          </w:p>
        </w:tc>
        <w:tc>
          <w:tcPr>
            <w:tcW w:type="dxa" w:w="5184"/>
          </w:tcPr>
          <w:p>
            <w:r>
              <w:rPr>
                <w:color w:val="475569"/>
                <w:sz w:val="18"/>
              </w:rPr>
              <w:t>Explain that Subsidy Gyaan focuses on making complex schemes accessible to MSMEs, micro-enterprises and industries. The website should position articles and advisory content as part of the brand value.</w:t>
            </w:r>
          </w:p>
        </w:tc>
      </w:tr>
      <w:tr>
        <w:trPr>
          <w:cantSplit/>
        </w:trPr>
        <w:tc>
          <w:tcPr>
            <w:tcW w:type="dxa" w:w="5184"/>
            <w:shd w:fill="F8FBFE"/>
          </w:tcPr>
          <w:p>
            <w:r>
              <w:rPr>
                <w:b/>
                <w:color w:val="0D8B8B"/>
                <w:sz w:val="18"/>
              </w:rPr>
              <w:t>Highlight Line</w:t>
            </w:r>
          </w:p>
        </w:tc>
        <w:tc>
          <w:tcPr>
            <w:tcW w:type="dxa" w:w="5184"/>
          </w:tcPr>
          <w:p>
            <w:r>
              <w:rPr>
                <w:color w:val="475569"/>
                <w:sz w:val="18"/>
              </w:rPr>
              <w:t>Knowledge democratization: from large industries to micro-enterprises, complex schemes are made accessible.</w:t>
            </w:r>
          </w:p>
        </w:tc>
      </w:tr>
      <w:tr>
        <w:trPr>
          <w:cantSplit/>
        </w:trPr>
        <w:tc>
          <w:tcPr>
            <w:tcW w:type="dxa" w:w="5184"/>
            <w:shd w:fill="F8FBFE"/>
          </w:tcPr>
          <w:p>
            <w:r>
              <w:rPr>
                <w:b/>
                <w:color w:val="0D8B8B"/>
                <w:sz w:val="18"/>
              </w:rPr>
              <w:t>Layout</w:t>
            </w:r>
          </w:p>
        </w:tc>
        <w:tc>
          <w:tcPr>
            <w:tcW w:type="dxa" w:w="5184"/>
          </w:tcPr>
          <w:p>
            <w:r>
              <w:rPr>
                <w:color w:val="475569"/>
                <w:sz w:val="18"/>
              </w:rPr>
              <w:t>Large quote/statement card with supporting text and link to Articles page.</w:t>
            </w:r>
          </w:p>
        </w:tc>
      </w:tr>
      <w:tr>
        <w:trPr>
          <w:cantSplit/>
        </w:trPr>
        <w:tc>
          <w:tcPr>
            <w:tcW w:type="dxa" w:w="5184"/>
            <w:shd w:fill="F8FBFE"/>
          </w:tcPr>
          <w:p>
            <w:r>
              <w:rPr>
                <w:b/>
                <w:color w:val="0D8B8B"/>
                <w:sz w:val="18"/>
              </w:rPr>
              <w:t>CTA</w:t>
            </w:r>
          </w:p>
        </w:tc>
        <w:tc>
          <w:tcPr>
            <w:tcW w:type="dxa" w:w="5184"/>
          </w:tcPr>
          <w:p>
            <w:r>
              <w:rPr>
                <w:color w:val="475569"/>
                <w:sz w:val="18"/>
              </w:rPr>
              <w:t>Read Subsidy Articles</w:t>
            </w:r>
          </w:p>
        </w:tc>
      </w:tr>
      <w:tr>
        <w:trPr>
          <w:cantSplit/>
        </w:trPr>
        <w:tc>
          <w:tcPr>
            <w:tcW w:type="dxa" w:w="5184"/>
            <w:shd w:fill="F8FBFE"/>
          </w:tcPr>
          <w:p>
            <w:r>
              <w:rPr>
                <w:b/>
                <w:color w:val="0D8B8B"/>
                <w:sz w:val="18"/>
              </w:rPr>
              <w:t>Visual</w:t>
            </w:r>
          </w:p>
        </w:tc>
        <w:tc>
          <w:tcPr>
            <w:tcW w:type="dxa" w:w="5184"/>
          </w:tcPr>
          <w:p>
            <w:r>
              <w:rPr>
                <w:color w:val="475569"/>
                <w:sz w:val="18"/>
              </w:rPr>
              <w:t>Use open-book, document, knowledge or growth iconography. Avoid generic finance stock photos.</w:t>
            </w:r>
          </w:p>
        </w:tc>
      </w:tr>
    </w:tbl>
    <w:p/>
    <w:tbl>
      <w:tblPr>
        <w:tblW w:type="auto" w:w="0"/>
        <w:jc w:val="center"/>
        <w:tblLook w:firstColumn="1" w:firstRow="1" w:lastColumn="0" w:lastRow="0" w:noHBand="0" w:noVBand="1" w:val="04A0"/>
      </w:tblPr>
      <w:tblGrid>
        <w:gridCol w:w="5184"/>
        <w:gridCol w:w="5184"/>
      </w:tblGrid>
      <w:tr>
        <w:tc>
          <w:tcPr>
            <w:tcW w:type="dxa" w:w="10368"/>
            <w:gridSpan w:val="2"/>
            <w:shd w:fill="FFF7EF"/>
          </w:tcPr>
          <w:p>
            <w:r>
              <w:rPr>
                <w:b/>
                <w:color w:val="14213D"/>
                <w:sz w:val="24"/>
              </w:rPr>
              <w:t>SECTION 09: Our Commitment Section</w:t>
            </w:r>
          </w:p>
        </w:tc>
      </w:tr>
      <w:tr>
        <w:trPr>
          <w:cantSplit/>
        </w:trPr>
        <w:tc>
          <w:tcPr>
            <w:tcW w:type="dxa" w:w="5184"/>
            <w:shd w:fill="F8FBFE"/>
          </w:tcPr>
          <w:p>
            <w:r>
              <w:rPr>
                <w:b/>
                <w:color w:val="0D8B8B"/>
                <w:sz w:val="18"/>
              </w:rPr>
              <w:t>Section Label</w:t>
            </w:r>
          </w:p>
        </w:tc>
        <w:tc>
          <w:tcPr>
            <w:tcW w:type="dxa" w:w="5184"/>
          </w:tcPr>
          <w:p>
            <w:r>
              <w:rPr>
                <w:color w:val="475569"/>
                <w:sz w:val="18"/>
              </w:rPr>
              <w:t>[ Our Commitment ]</w:t>
            </w:r>
          </w:p>
        </w:tc>
      </w:tr>
      <w:tr>
        <w:trPr>
          <w:cantSplit/>
        </w:trPr>
        <w:tc>
          <w:tcPr>
            <w:tcW w:type="dxa" w:w="5184"/>
            <w:shd w:fill="F8FBFE"/>
          </w:tcPr>
          <w:p>
            <w:r>
              <w:rPr>
                <w:b/>
                <w:color w:val="0D8B8B"/>
                <w:sz w:val="18"/>
              </w:rPr>
              <w:t>Main Title</w:t>
            </w:r>
          </w:p>
        </w:tc>
        <w:tc>
          <w:tcPr>
            <w:tcW w:type="dxa" w:w="5184"/>
          </w:tcPr>
          <w:p>
            <w:r>
              <w:rPr>
                <w:color w:val="475569"/>
                <w:sz w:val="18"/>
              </w:rPr>
              <w:t>Committed to transparent, timely and inclusive advisory support.</w:t>
            </w:r>
          </w:p>
        </w:tc>
      </w:tr>
      <w:tr>
        <w:trPr>
          <w:cantSplit/>
        </w:trPr>
        <w:tc>
          <w:tcPr>
            <w:tcW w:type="dxa" w:w="5184"/>
            <w:shd w:fill="F8FBFE"/>
          </w:tcPr>
          <w:p>
            <w:r>
              <w:rPr>
                <w:b/>
                <w:color w:val="0D8B8B"/>
                <w:sz w:val="18"/>
              </w:rPr>
              <w:t>Commitment 1</w:t>
            </w:r>
          </w:p>
        </w:tc>
        <w:tc>
          <w:tcPr>
            <w:tcW w:type="dxa" w:w="5184"/>
          </w:tcPr>
          <w:p>
            <w:r>
              <w:rPr>
                <w:color w:val="475569"/>
                <w:sz w:val="18"/>
              </w:rPr>
              <w:t>Transparency - In every transaction and advisory interaction.</w:t>
            </w:r>
          </w:p>
        </w:tc>
      </w:tr>
      <w:tr>
        <w:trPr>
          <w:cantSplit/>
        </w:trPr>
        <w:tc>
          <w:tcPr>
            <w:tcW w:type="dxa" w:w="5184"/>
            <w:shd w:fill="F8FBFE"/>
          </w:tcPr>
          <w:p>
            <w:r>
              <w:rPr>
                <w:b/>
                <w:color w:val="0D8B8B"/>
                <w:sz w:val="18"/>
              </w:rPr>
              <w:t>Commitment 2</w:t>
            </w:r>
          </w:p>
        </w:tc>
        <w:tc>
          <w:tcPr>
            <w:tcW w:type="dxa" w:w="5184"/>
          </w:tcPr>
          <w:p>
            <w:r>
              <w:rPr>
                <w:color w:val="475569"/>
                <w:sz w:val="18"/>
              </w:rPr>
              <w:t>Timeliness - In application processing and government follow-ups.</w:t>
            </w:r>
          </w:p>
        </w:tc>
      </w:tr>
      <w:tr>
        <w:trPr>
          <w:cantSplit/>
        </w:trPr>
        <w:tc>
          <w:tcPr>
            <w:tcW w:type="dxa" w:w="5184"/>
            <w:shd w:fill="F8FBFE"/>
          </w:tcPr>
          <w:p>
            <w:r>
              <w:rPr>
                <w:b/>
                <w:color w:val="0D8B8B"/>
                <w:sz w:val="18"/>
              </w:rPr>
              <w:t>Commitment 3</w:t>
            </w:r>
          </w:p>
        </w:tc>
        <w:tc>
          <w:tcPr>
            <w:tcW w:type="dxa" w:w="5184"/>
          </w:tcPr>
          <w:p>
            <w:r>
              <w:rPr>
                <w:color w:val="475569"/>
                <w:sz w:val="18"/>
              </w:rPr>
              <w:t>Excellence - In documentation quality and compliance management.</w:t>
            </w:r>
          </w:p>
        </w:tc>
      </w:tr>
      <w:tr>
        <w:trPr>
          <w:cantSplit/>
        </w:trPr>
        <w:tc>
          <w:tcPr>
            <w:tcW w:type="dxa" w:w="5184"/>
            <w:shd w:fill="F8FBFE"/>
          </w:tcPr>
          <w:p>
            <w:r>
              <w:rPr>
                <w:b/>
                <w:color w:val="0D8B8B"/>
                <w:sz w:val="18"/>
              </w:rPr>
              <w:t>Commitment 4</w:t>
            </w:r>
          </w:p>
        </w:tc>
        <w:tc>
          <w:tcPr>
            <w:tcW w:type="dxa" w:w="5184"/>
          </w:tcPr>
          <w:p>
            <w:r>
              <w:rPr>
                <w:color w:val="475569"/>
                <w:sz w:val="18"/>
              </w:rPr>
              <w:t>Inclusivity - Supporting micro and rural enterprises through free services where applicable.</w:t>
            </w:r>
          </w:p>
        </w:tc>
      </w:tr>
      <w:tr>
        <w:trPr>
          <w:cantSplit/>
        </w:trPr>
        <w:tc>
          <w:tcPr>
            <w:tcW w:type="dxa" w:w="5184"/>
            <w:shd w:fill="F8FBFE"/>
          </w:tcPr>
          <w:p>
            <w:r>
              <w:rPr>
                <w:b/>
                <w:color w:val="0D8B8B"/>
                <w:sz w:val="18"/>
              </w:rPr>
              <w:t>Commitment 5</w:t>
            </w:r>
          </w:p>
        </w:tc>
        <w:tc>
          <w:tcPr>
            <w:tcW w:type="dxa" w:w="5184"/>
          </w:tcPr>
          <w:p>
            <w:r>
              <w:rPr>
                <w:color w:val="475569"/>
                <w:sz w:val="18"/>
              </w:rPr>
              <w:t>Partnership - Supporting the client growth journey from idea to implementation.</w:t>
            </w:r>
          </w:p>
        </w:tc>
      </w:tr>
      <w:tr>
        <w:trPr>
          <w:cantSplit/>
        </w:trPr>
        <w:tc>
          <w:tcPr>
            <w:tcW w:type="dxa" w:w="5184"/>
            <w:shd w:fill="F8FBFE"/>
          </w:tcPr>
          <w:p>
            <w:r>
              <w:rPr>
                <w:b/>
                <w:color w:val="0D8B8B"/>
                <w:sz w:val="18"/>
              </w:rPr>
              <w:t>Layout</w:t>
            </w:r>
          </w:p>
        </w:tc>
        <w:tc>
          <w:tcPr>
            <w:tcW w:type="dxa" w:w="5184"/>
          </w:tcPr>
          <w:p>
            <w:r>
              <w:rPr>
                <w:color w:val="475569"/>
                <w:sz w:val="18"/>
              </w:rPr>
              <w:t>Five horizontal commitment rows or 5-card grid. Use the exact value words prominently.</w:t>
            </w:r>
          </w:p>
        </w:tc>
      </w:tr>
      <w:tr>
        <w:trPr>
          <w:cantSplit/>
        </w:trPr>
        <w:tc>
          <w:tcPr>
            <w:tcW w:type="dxa" w:w="5184"/>
            <w:shd w:fill="F8FBFE"/>
          </w:tcPr>
          <w:p>
            <w:r>
              <w:rPr>
                <w:b/>
                <w:color w:val="0D8B8B"/>
                <w:sz w:val="18"/>
              </w:rPr>
              <w:t>Style</w:t>
            </w:r>
          </w:p>
        </w:tc>
        <w:tc>
          <w:tcPr>
            <w:tcW w:type="dxa" w:w="5184"/>
          </w:tcPr>
          <w:p>
            <w:r>
              <w:rPr>
                <w:color w:val="475569"/>
                <w:sz w:val="18"/>
              </w:rPr>
              <w:t>Soft cream background with white cards and orange/green accent icons.</w:t>
            </w:r>
          </w:p>
        </w:tc>
      </w:tr>
    </w:tbl>
    <w:p/>
    <w:tbl>
      <w:tblPr>
        <w:tblW w:type="auto" w:w="0"/>
        <w:jc w:val="center"/>
        <w:tblLook w:firstColumn="1" w:firstRow="1" w:lastColumn="0" w:lastRow="0" w:noHBand="0" w:noVBand="1" w:val="04A0"/>
      </w:tblPr>
      <w:tblGrid>
        <w:gridCol w:w="5184"/>
        <w:gridCol w:w="5184"/>
      </w:tblGrid>
      <w:tr>
        <w:tc>
          <w:tcPr>
            <w:tcW w:type="dxa" w:w="10368"/>
            <w:gridSpan w:val="2"/>
            <w:shd w:fill="F5FBF7"/>
          </w:tcPr>
          <w:p>
            <w:r>
              <w:rPr>
                <w:b/>
                <w:color w:val="14213D"/>
                <w:sz w:val="24"/>
              </w:rPr>
              <w:t>SECTION 10: Mini Why Choose Block</w:t>
            </w:r>
          </w:p>
        </w:tc>
      </w:tr>
      <w:tr>
        <w:trPr>
          <w:cantSplit/>
        </w:trPr>
        <w:tc>
          <w:tcPr>
            <w:tcW w:type="dxa" w:w="5184"/>
            <w:shd w:fill="F8FBFE"/>
          </w:tcPr>
          <w:p>
            <w:r>
              <w:rPr>
                <w:b/>
                <w:color w:val="0D8B8B"/>
                <w:sz w:val="18"/>
              </w:rPr>
              <w:t>Purpose</w:t>
            </w:r>
          </w:p>
        </w:tc>
        <w:tc>
          <w:tcPr>
            <w:tcW w:type="dxa" w:w="5184"/>
          </w:tcPr>
          <w:p>
            <w:r>
              <w:rPr>
                <w:color w:val="475569"/>
                <w:sz w:val="18"/>
              </w:rPr>
              <w:t>Reinforce trust without creating a separate Why Choose page.</w:t>
            </w:r>
          </w:p>
        </w:tc>
      </w:tr>
      <w:tr>
        <w:trPr>
          <w:cantSplit/>
        </w:trPr>
        <w:tc>
          <w:tcPr>
            <w:tcW w:type="dxa" w:w="5184"/>
            <w:shd w:fill="F8FBFE"/>
          </w:tcPr>
          <w:p>
            <w:r>
              <w:rPr>
                <w:b/>
                <w:color w:val="0D8B8B"/>
                <w:sz w:val="18"/>
              </w:rPr>
              <w:t>Main Title</w:t>
            </w:r>
          </w:p>
        </w:tc>
        <w:tc>
          <w:tcPr>
            <w:tcW w:type="dxa" w:w="5184"/>
          </w:tcPr>
          <w:p>
            <w:r>
              <w:rPr>
                <w:color w:val="475569"/>
                <w:sz w:val="18"/>
              </w:rPr>
              <w:t>Why Businesses Trust Subsidy Gyaan</w:t>
            </w:r>
          </w:p>
        </w:tc>
      </w:tr>
      <w:tr>
        <w:trPr>
          <w:cantSplit/>
        </w:trPr>
        <w:tc>
          <w:tcPr>
            <w:tcW w:type="dxa" w:w="5184"/>
            <w:shd w:fill="F8FBFE"/>
          </w:tcPr>
          <w:p>
            <w:r>
              <w:rPr>
                <w:b/>
                <w:color w:val="0D8B8B"/>
                <w:sz w:val="18"/>
              </w:rPr>
              <w:t>Points</w:t>
            </w:r>
          </w:p>
        </w:tc>
        <w:tc>
          <w:tcPr>
            <w:tcW w:type="dxa" w:w="5184"/>
          </w:tcPr>
          <w:p>
            <w:r>
              <w:rPr>
                <w:color w:val="475569"/>
                <w:sz w:val="18"/>
              </w:rPr>
              <w:t>Holistic Approach; Compliance-First Mindset; Knowledge Democratization; Ecosystem Access; Social Commitment.</w:t>
            </w:r>
          </w:p>
        </w:tc>
      </w:tr>
      <w:tr>
        <w:trPr>
          <w:cantSplit/>
        </w:trPr>
        <w:tc>
          <w:tcPr>
            <w:tcW w:type="dxa" w:w="5184"/>
            <w:shd w:fill="F8FBFE"/>
          </w:tcPr>
          <w:p>
            <w:r>
              <w:rPr>
                <w:b/>
                <w:color w:val="0D8B8B"/>
                <w:sz w:val="18"/>
              </w:rPr>
              <w:t>Layout</w:t>
            </w:r>
          </w:p>
        </w:tc>
        <w:tc>
          <w:tcPr>
            <w:tcW w:type="dxa" w:w="5184"/>
          </w:tcPr>
          <w:p>
            <w:r>
              <w:rPr>
                <w:color w:val="475569"/>
                <w:sz w:val="18"/>
              </w:rPr>
              <w:t>Left: headline and short text. Right: 5 compact trust points in stacked cards.</w:t>
            </w:r>
          </w:p>
        </w:tc>
      </w:tr>
      <w:tr>
        <w:trPr>
          <w:cantSplit/>
        </w:trPr>
        <w:tc>
          <w:tcPr>
            <w:tcW w:type="dxa" w:w="5184"/>
            <w:shd w:fill="F8FBFE"/>
          </w:tcPr>
          <w:p>
            <w:r>
              <w:rPr>
                <w:b/>
                <w:color w:val="0D8B8B"/>
                <w:sz w:val="18"/>
              </w:rPr>
              <w:t>Center Highlight</w:t>
            </w:r>
          </w:p>
        </w:tc>
        <w:tc>
          <w:tcPr>
            <w:tcW w:type="dxa" w:w="5184"/>
          </w:tcPr>
          <w:p>
            <w:r>
              <w:rPr>
                <w:color w:val="475569"/>
                <w:sz w:val="18"/>
              </w:rPr>
              <w:t>Use the line: Gyaan se Pragati, Salah se Samriddhi.</w:t>
            </w:r>
          </w:p>
        </w:tc>
      </w:tr>
      <w:tr>
        <w:trPr>
          <w:cantSplit/>
        </w:trPr>
        <w:tc>
          <w:tcPr>
            <w:tcW w:type="dxa" w:w="5184"/>
            <w:shd w:fill="F8FBFE"/>
          </w:tcPr>
          <w:p>
            <w:r>
              <w:rPr>
                <w:b/>
                <w:color w:val="0D8B8B"/>
                <w:sz w:val="18"/>
              </w:rPr>
              <w:t>CTA</w:t>
            </w:r>
          </w:p>
        </w:tc>
        <w:tc>
          <w:tcPr>
            <w:tcW w:type="dxa" w:w="5184"/>
          </w:tcPr>
          <w:p>
            <w:r>
              <w:rPr>
                <w:color w:val="475569"/>
                <w:sz w:val="18"/>
              </w:rPr>
              <w:t>Talk to Our Subsidy Expert</w:t>
            </w:r>
          </w:p>
        </w:tc>
      </w:tr>
    </w:tbl>
    <w:p/>
    <w:tbl>
      <w:tblPr>
        <w:tblW w:type="auto" w:w="0"/>
        <w:jc w:val="center"/>
        <w:tblLook w:firstColumn="1" w:firstRow="1" w:lastColumn="0" w:lastRow="0" w:noHBand="0" w:noVBand="1" w:val="04A0"/>
      </w:tblPr>
      <w:tblGrid>
        <w:gridCol w:w="5184"/>
        <w:gridCol w:w="5184"/>
      </w:tblGrid>
      <w:tr>
        <w:tc>
          <w:tcPr>
            <w:tcW w:type="dxa" w:w="10368"/>
            <w:gridSpan w:val="2"/>
            <w:shd w:fill="F4FAFF"/>
          </w:tcPr>
          <w:p>
            <w:r>
              <w:rPr>
                <w:b/>
                <w:color w:val="14213D"/>
                <w:sz w:val="24"/>
              </w:rPr>
              <w:t>SECTION 11: Final CTA Section</w:t>
            </w:r>
          </w:p>
        </w:tc>
      </w:tr>
      <w:tr>
        <w:trPr>
          <w:cantSplit/>
        </w:trPr>
        <w:tc>
          <w:tcPr>
            <w:tcW w:type="dxa" w:w="5184"/>
            <w:shd w:fill="F8FBFE"/>
          </w:tcPr>
          <w:p>
            <w:r>
              <w:rPr>
                <w:b/>
                <w:color w:val="0D8B8B"/>
                <w:sz w:val="18"/>
              </w:rPr>
              <w:t>Brand Line</w:t>
            </w:r>
          </w:p>
        </w:tc>
        <w:tc>
          <w:tcPr>
            <w:tcW w:type="dxa" w:w="5184"/>
          </w:tcPr>
          <w:p>
            <w:r>
              <w:rPr>
                <w:color w:val="475569"/>
                <w:sz w:val="18"/>
              </w:rPr>
              <w:t>Gyaan se Pragati, Salah se Samriddhi</w:t>
            </w:r>
          </w:p>
        </w:tc>
      </w:tr>
      <w:tr>
        <w:trPr>
          <w:cantSplit/>
        </w:trPr>
        <w:tc>
          <w:tcPr>
            <w:tcW w:type="dxa" w:w="5184"/>
            <w:shd w:fill="F8FBFE"/>
          </w:tcPr>
          <w:p>
            <w:r>
              <w:rPr>
                <w:b/>
                <w:color w:val="0D8B8B"/>
                <w:sz w:val="18"/>
              </w:rPr>
              <w:t>Main Title</w:t>
            </w:r>
          </w:p>
        </w:tc>
        <w:tc>
          <w:tcPr>
            <w:tcW w:type="dxa" w:w="5184"/>
          </w:tcPr>
          <w:p>
            <w:r>
              <w:rPr>
                <w:color w:val="475569"/>
                <w:sz w:val="18"/>
              </w:rPr>
              <w:t>Ready to understand your subsidy eligibility?</w:t>
            </w:r>
          </w:p>
        </w:tc>
      </w:tr>
      <w:tr>
        <w:trPr>
          <w:cantSplit/>
        </w:trPr>
        <w:tc>
          <w:tcPr>
            <w:tcW w:type="dxa" w:w="5184"/>
            <w:shd w:fill="F8FBFE"/>
          </w:tcPr>
          <w:p>
            <w:r>
              <w:rPr>
                <w:b/>
                <w:color w:val="0D8B8B"/>
                <w:sz w:val="18"/>
              </w:rPr>
              <w:t>Description</w:t>
            </w:r>
          </w:p>
        </w:tc>
        <w:tc>
          <w:tcPr>
            <w:tcW w:type="dxa" w:w="5184"/>
          </w:tcPr>
          <w:p>
            <w:r>
              <w:rPr>
                <w:color w:val="475569"/>
                <w:sz w:val="18"/>
              </w:rPr>
              <w:t>Whether you are starting a new business, expanding an existing industrial unit, setting up a micro food processing project or planning a subsidy-linked investment, Subsidy Gyaan can guide you with eligibility, documents and the right process.</w:t>
            </w:r>
          </w:p>
        </w:tc>
      </w:tr>
      <w:tr>
        <w:trPr>
          <w:cantSplit/>
        </w:trPr>
        <w:tc>
          <w:tcPr>
            <w:tcW w:type="dxa" w:w="5184"/>
            <w:shd w:fill="F8FBFE"/>
          </w:tcPr>
          <w:p>
            <w:r>
              <w:rPr>
                <w:b/>
                <w:color w:val="0D8B8B"/>
                <w:sz w:val="18"/>
              </w:rPr>
              <w:t>Buttons</w:t>
            </w:r>
          </w:p>
        </w:tc>
        <w:tc>
          <w:tcPr>
            <w:tcW w:type="dxa" w:w="5184"/>
          </w:tcPr>
          <w:p>
            <w:r>
              <w:rPr>
                <w:color w:val="475569"/>
                <w:sz w:val="18"/>
              </w:rPr>
              <w:t>Check Eligibility | Contact Us</w:t>
            </w:r>
          </w:p>
        </w:tc>
      </w:tr>
      <w:tr>
        <w:trPr>
          <w:cantSplit/>
        </w:trPr>
        <w:tc>
          <w:tcPr>
            <w:tcW w:type="dxa" w:w="5184"/>
            <w:shd w:fill="F8FBFE"/>
          </w:tcPr>
          <w:p>
            <w:r>
              <w:rPr>
                <w:b/>
                <w:color w:val="0D8B8B"/>
                <w:sz w:val="18"/>
              </w:rPr>
              <w:t>Background</w:t>
            </w:r>
          </w:p>
        </w:tc>
        <w:tc>
          <w:tcPr>
            <w:tcW w:type="dxa" w:w="5184"/>
          </w:tcPr>
          <w:p>
            <w:r>
              <w:rPr>
                <w:color w:val="475569"/>
                <w:sz w:val="18"/>
              </w:rPr>
              <w:t>Soft blue-green gradient with abstract document and growth shapes.</w:t>
            </w:r>
          </w:p>
        </w:tc>
      </w:tr>
      <w:tr>
        <w:trPr>
          <w:cantSplit/>
        </w:trPr>
        <w:tc>
          <w:tcPr>
            <w:tcW w:type="dxa" w:w="5184"/>
            <w:shd w:fill="F8FBFE"/>
          </w:tcPr>
          <w:p>
            <w:r>
              <w:rPr>
                <w:b/>
                <w:color w:val="0D8B8B"/>
                <w:sz w:val="18"/>
              </w:rPr>
              <w:t>Style</w:t>
            </w:r>
          </w:p>
        </w:tc>
        <w:tc>
          <w:tcPr>
            <w:tcW w:type="dxa" w:w="5184"/>
          </w:tcPr>
          <w:p>
            <w:r>
              <w:rPr>
                <w:color w:val="475569"/>
                <w:sz w:val="18"/>
              </w:rPr>
              <w:t>Large rounded CTA block with centered content and strong button contrast.</w:t>
            </w:r>
          </w:p>
        </w:tc>
      </w:tr>
    </w:tbl>
    <w:p/>
    <w:p>
      <w:r>
        <w:br w:type="page"/>
      </w:r>
    </w:p>
    <w:tbl>
      <w:tblPr>
        <w:tblW w:type="auto" w:w="0"/>
        <w:jc w:val="center"/>
        <w:tblLook w:firstColumn="1" w:firstRow="1" w:lastColumn="0" w:lastRow="0" w:noHBand="0" w:noVBand="1" w:val="04A0"/>
      </w:tblPr>
      <w:tblGrid>
        <w:gridCol w:w="5184"/>
        <w:gridCol w:w="5184"/>
      </w:tblGrid>
      <w:tr>
        <w:tc>
          <w:tcPr>
            <w:tcW w:type="dxa" w:w="10368"/>
            <w:gridSpan w:val="2"/>
            <w:shd w:fill="F0FBFB"/>
          </w:tcPr>
          <w:p>
            <w:r>
              <w:rPr>
                <w:b/>
                <w:color w:val="14213D"/>
                <w:sz w:val="24"/>
              </w:rPr>
              <w:t>SECTION 12: Footer</w:t>
            </w:r>
          </w:p>
        </w:tc>
      </w:tr>
      <w:tr>
        <w:trPr>
          <w:cantSplit/>
        </w:trPr>
        <w:tc>
          <w:tcPr>
            <w:tcW w:type="dxa" w:w="5184"/>
            <w:shd w:fill="F8FBFE"/>
          </w:tcPr>
          <w:p>
            <w:r>
              <w:rPr>
                <w:b/>
                <w:color w:val="0D8B8B"/>
                <w:sz w:val="18"/>
              </w:rPr>
              <w:t>Column 1</w:t>
            </w:r>
          </w:p>
        </w:tc>
        <w:tc>
          <w:tcPr>
            <w:tcW w:type="dxa" w:w="5184"/>
          </w:tcPr>
          <w:p>
            <w:r>
              <w:rPr>
                <w:color w:val="475569"/>
                <w:sz w:val="18"/>
              </w:rPr>
              <w:t>Logo, short about text and brand line.</w:t>
            </w:r>
          </w:p>
        </w:tc>
      </w:tr>
      <w:tr>
        <w:trPr>
          <w:cantSplit/>
        </w:trPr>
        <w:tc>
          <w:tcPr>
            <w:tcW w:type="dxa" w:w="5184"/>
            <w:shd w:fill="F8FBFE"/>
          </w:tcPr>
          <w:p>
            <w:r>
              <w:rPr>
                <w:b/>
                <w:color w:val="0D8B8B"/>
                <w:sz w:val="18"/>
              </w:rPr>
              <w:t>Column 2</w:t>
            </w:r>
          </w:p>
        </w:tc>
        <w:tc>
          <w:tcPr>
            <w:tcW w:type="dxa" w:w="5184"/>
          </w:tcPr>
          <w:p>
            <w:r>
              <w:rPr>
                <w:color w:val="475569"/>
                <w:sz w:val="18"/>
              </w:rPr>
              <w:t>Quick Links: Home, About, Services, Industries, Articles, Contact.</w:t>
            </w:r>
          </w:p>
        </w:tc>
      </w:tr>
      <w:tr>
        <w:trPr>
          <w:cantSplit/>
        </w:trPr>
        <w:tc>
          <w:tcPr>
            <w:tcW w:type="dxa" w:w="5184"/>
            <w:shd w:fill="F8FBFE"/>
          </w:tcPr>
          <w:p>
            <w:r>
              <w:rPr>
                <w:b/>
                <w:color w:val="0D8B8B"/>
                <w:sz w:val="18"/>
              </w:rPr>
              <w:t>Column 3</w:t>
            </w:r>
          </w:p>
        </w:tc>
        <w:tc>
          <w:tcPr>
            <w:tcW w:type="dxa" w:w="5184"/>
          </w:tcPr>
          <w:p>
            <w:r>
              <w:rPr>
                <w:color w:val="475569"/>
                <w:sz w:val="18"/>
              </w:rPr>
              <w:t>Subsidies: Central Government Subsidies, Gujarat Government Subsidies, PMFME, MSME, Textile, Logistics.</w:t>
            </w:r>
          </w:p>
        </w:tc>
      </w:tr>
      <w:tr>
        <w:trPr>
          <w:cantSplit/>
        </w:trPr>
        <w:tc>
          <w:tcPr>
            <w:tcW w:type="dxa" w:w="5184"/>
            <w:shd w:fill="F8FBFE"/>
          </w:tcPr>
          <w:p>
            <w:r>
              <w:rPr>
                <w:b/>
                <w:color w:val="0D8B8B"/>
                <w:sz w:val="18"/>
              </w:rPr>
              <w:t>Column 4</w:t>
            </w:r>
          </w:p>
        </w:tc>
        <w:tc>
          <w:tcPr>
            <w:tcW w:type="dxa" w:w="5184"/>
          </w:tcPr>
          <w:p>
            <w:r>
              <w:rPr>
                <w:color w:val="475569"/>
                <w:sz w:val="18"/>
              </w:rPr>
              <w:t>Phone, email, Ahmedabad headquarters and Across India service area.</w:t>
            </w:r>
          </w:p>
        </w:tc>
      </w:tr>
      <w:tr>
        <w:trPr>
          <w:cantSplit/>
        </w:trPr>
        <w:tc>
          <w:tcPr>
            <w:tcW w:type="dxa" w:w="5184"/>
            <w:shd w:fill="F8FBFE"/>
          </w:tcPr>
          <w:p>
            <w:r>
              <w:rPr>
                <w:b/>
                <w:color w:val="0D8B8B"/>
                <w:sz w:val="18"/>
              </w:rPr>
              <w:t>Footer Bottom</w:t>
            </w:r>
          </w:p>
        </w:tc>
        <w:tc>
          <w:tcPr>
            <w:tcW w:type="dxa" w:w="5184"/>
          </w:tcPr>
          <w:p>
            <w:r>
              <w:rPr>
                <w:color w:val="475569"/>
                <w:sz w:val="18"/>
              </w:rPr>
              <w:t>Copyright, legal links and subsidy disclaimer.</w:t>
            </w:r>
          </w:p>
        </w:tc>
      </w:tr>
      <w:tr>
        <w:trPr>
          <w:cantSplit/>
        </w:trPr>
        <w:tc>
          <w:tcPr>
            <w:tcW w:type="dxa" w:w="5184"/>
            <w:shd w:fill="F8FBFE"/>
          </w:tcPr>
          <w:p>
            <w:r>
              <w:rPr>
                <w:b/>
                <w:color w:val="0D8B8B"/>
                <w:sz w:val="18"/>
              </w:rPr>
              <w:t>Disclaimer</w:t>
            </w:r>
          </w:p>
        </w:tc>
        <w:tc>
          <w:tcPr>
            <w:tcW w:type="dxa" w:w="5184"/>
          </w:tcPr>
          <w:p>
            <w:r>
              <w:rPr>
                <w:color w:val="475569"/>
                <w:sz w:val="18"/>
              </w:rPr>
              <w:t>Subsidy eligibility, benefit amount, approval and disbursement depend on applicable government policy, project category, location, investment, documents and department verification.</w:t>
            </w:r>
          </w:p>
        </w:tc>
      </w:tr>
    </w:tbl>
    <w:p/>
    <w:p>
      <w:r>
        <w:br w:type="page"/>
      </w:r>
    </w:p>
    <w:p>
      <w:pPr>
        <w:pStyle w:val="Heading1"/>
      </w:pPr>
      <w:r>
        <w:rPr>
          <w:rFonts w:ascii="Aptos Display" w:hAnsi="Aptos Display"/>
          <w:b/>
          <w:color w:val="14213D"/>
          <w:sz w:val="36"/>
        </w:rPr>
        <w:t>6. About Page Copy Ready for Design</w:t>
      </w:r>
    </w:p>
    <w:p>
      <w:pPr>
        <w:pStyle w:val="Heading2"/>
      </w:pPr>
      <w:r>
        <w:rPr>
          <w:rFonts w:ascii="Aptos Display" w:hAnsi="Aptos Display"/>
          <w:b/>
          <w:color w:val="0D8B8B"/>
          <w:sz w:val="30"/>
        </w:rPr>
        <w:t>Hero Copy</w:t>
      </w:r>
    </w:p>
    <w:p>
      <w:pPr>
        <w:spacing w:after="120"/>
      </w:pPr>
      <w:r>
        <w:rPr>
          <w:b/>
          <w:color w:val="F28C28"/>
          <w:sz w:val="20"/>
        </w:rPr>
        <w:t>[ About Subsidy Gyaan ]</w:t>
      </w:r>
    </w:p>
    <w:p>
      <w:pPr>
        <w:spacing w:after="120"/>
      </w:pPr>
      <w:r>
        <w:rPr>
          <w:b/>
          <w:color w:val="F28C28"/>
          <w:sz w:val="22"/>
        </w:rPr>
        <w:t>Gyaan se Pragati, Salah se Samriddhi</w:t>
      </w:r>
    </w:p>
    <w:p>
      <w:pPr>
        <w:spacing w:after="120"/>
      </w:pPr>
      <w:r>
        <w:rPr>
          <w:b/>
          <w:color w:val="14213D"/>
          <w:sz w:val="26"/>
        </w:rPr>
        <w:t>Guiding Businesses from Subsidy Awareness to Successful Availment</w:t>
      </w:r>
    </w:p>
    <w:p>
      <w:pPr>
        <w:spacing w:after="120"/>
      </w:pPr>
      <w:r>
        <w:rPr>
          <w:b w:val="0"/>
          <w:color w:val="475569"/>
          <w:sz w:val="20"/>
        </w:rPr>
        <w:t>Subsidy Gyaan by Advait Associates is an Ahmedabad-based advisory platform helping industries, MSMEs, entrepreneurs, micro food processors, SHGs, FPOs and growing enterprises avail eligible Central and Gujarat Government subsidy benefits with clarity and confidence.</w:t>
      </w:r>
    </w:p>
    <w:p>
      <w:pPr>
        <w:pStyle w:val="Heading2"/>
      </w:pPr>
      <w:r>
        <w:rPr>
          <w:rFonts w:ascii="Aptos Display" w:hAnsi="Aptos Display"/>
          <w:b/>
          <w:color w:val="0D8B8B"/>
          <w:sz w:val="30"/>
        </w:rPr>
        <w:t>Brand Introduction Copy</w:t>
      </w:r>
    </w:p>
    <w:p>
      <w:pPr>
        <w:spacing w:after="120"/>
      </w:pPr>
      <w:r>
        <w:rPr>
          <w:b w:val="0"/>
          <w:color w:val="475569"/>
          <w:sz w:val="20"/>
        </w:rPr>
        <w:t>Subsidy Gyaan by Advait Associates is a leading advisory firm based in Ahmedabad, Gujarat, offering end-to-end consultancy services across India. The organization specializes in assisting industries and enterprises with subsidy availment under various schemes of the Central Government and the Government of Gujarat.</w:t>
      </w:r>
    </w:p>
    <w:p>
      <w:pPr>
        <w:spacing w:after="120"/>
      </w:pPr>
      <w:r>
        <w:rPr>
          <w:b w:val="0"/>
          <w:color w:val="475569"/>
          <w:sz w:val="20"/>
        </w:rPr>
        <w:t>Since its inception in 2011, Subsidy Gyaan has guided over 3,500 clients in navigating the complexities of subsidy applications, documentation, project reports, compliance requirements and government processes.</w:t>
      </w:r>
    </w:p>
    <w:p>
      <w:pPr>
        <w:pStyle w:val="Heading2"/>
      </w:pPr>
      <w:r>
        <w:rPr>
          <w:rFonts w:ascii="Aptos Display" w:hAnsi="Aptos Display"/>
          <w:b/>
          <w:color w:val="0D8B8B"/>
          <w:sz w:val="30"/>
        </w:rPr>
        <w:t>Purpose Copy</w:t>
      </w:r>
    </w:p>
    <w:p>
      <w:pPr>
        <w:spacing w:after="120"/>
      </w:pPr>
      <w:r>
        <w:rPr>
          <w:b w:val="0"/>
          <w:color w:val="475569"/>
          <w:sz w:val="20"/>
        </w:rPr>
        <w:t>Subsidy Gyaan is a knowledge-sharing and advisory platform focused on creating awareness about subsidy opportunities available to MSME industries and guiding enterprises to secure maximum eligible benefits under Central and State Government schemes.</w:t>
      </w:r>
    </w:p>
    <w:p>
      <w:pPr>
        <w:spacing w:after="120"/>
      </w:pPr>
      <w:r>
        <w:rPr>
          <w:b w:val="0"/>
          <w:color w:val="475569"/>
          <w:sz w:val="20"/>
        </w:rPr>
        <w:t>The platform combines practical subsidy advisory, compliance guidance, project report preparation and ecosystem support services to help businesses move from idea to implementation with greater clarity and confidence.</w:t>
      </w:r>
    </w:p>
    <w:p>
      <w:pPr>
        <w:pStyle w:val="Heading2"/>
      </w:pPr>
      <w:r>
        <w:rPr>
          <w:rFonts w:ascii="Aptos Display" w:hAnsi="Aptos Display"/>
          <w:b/>
          <w:color w:val="0D8B8B"/>
          <w:sz w:val="30"/>
        </w:rPr>
        <w:t>Who We Support Copy</w:t>
      </w:r>
    </w:p>
    <w:p>
      <w:pPr>
        <w:spacing w:after="120"/>
      </w:pPr>
      <w:r>
        <w:rPr>
          <w:b w:val="0"/>
          <w:color w:val="475569"/>
          <w:sz w:val="20"/>
        </w:rPr>
        <w:t>We support entrepreneurs, industrial units, micro food processors, gruh udyog, self-help groups, farmer producer organizations and growing businesses that need both strategic guidance and execution support. Our current focus is also on strengthening the micro food processing sector through awareness, handholding and subsidy-readiness support.</w:t>
      </w:r>
    </w:p>
    <w:p>
      <w:pPr>
        <w:pStyle w:val="Heading2"/>
      </w:pPr>
      <w:r>
        <w:rPr>
          <w:rFonts w:ascii="Aptos Display" w:hAnsi="Aptos Display"/>
          <w:b/>
          <w:color w:val="0D8B8B"/>
          <w:sz w:val="30"/>
        </w:rPr>
        <w:t>USP Copy Blocks</w:t>
      </w:r>
    </w:p>
    <w:p>
      <w:pPr>
        <w:pStyle w:val="ListBullet"/>
        <w:spacing w:after="40"/>
        <w:ind w:left="288"/>
      </w:pPr>
      <w:r>
        <w:rPr>
          <w:color w:val="475569"/>
          <w:sz w:val="19"/>
        </w:rPr>
        <w:t>Expertise: Deep understanding of government schemes at Central and State levels, helping clients benefit from a streamlined subsidy application process.</w:t>
      </w:r>
    </w:p>
    <w:p>
      <w:pPr>
        <w:pStyle w:val="ListBullet"/>
        <w:spacing w:after="40"/>
        <w:ind w:left="288"/>
      </w:pPr>
      <w:r>
        <w:rPr>
          <w:color w:val="475569"/>
          <w:sz w:val="19"/>
        </w:rPr>
        <w:t>Process Knowledge: Experience in dealing with government departments and application flows, helping ensure better clarity and timely movement of applications.</w:t>
      </w:r>
    </w:p>
    <w:p>
      <w:pPr>
        <w:pStyle w:val="ListBullet"/>
        <w:spacing w:after="40"/>
        <w:ind w:left="288"/>
      </w:pPr>
      <w:r>
        <w:rPr>
          <w:color w:val="475569"/>
          <w:sz w:val="19"/>
        </w:rPr>
        <w:t>Proactive Approach: Continuous updates on policy changes and amendments so clients can make informed decisions.</w:t>
      </w:r>
    </w:p>
    <w:p>
      <w:pPr>
        <w:pStyle w:val="ListBullet"/>
        <w:spacing w:after="40"/>
        <w:ind w:left="288"/>
      </w:pPr>
      <w:r>
        <w:rPr>
          <w:color w:val="475569"/>
          <w:sz w:val="19"/>
        </w:rPr>
        <w:t>Reliability: Transparent and responsive guidance that has helped earn the trust of industries across India.</w:t>
      </w:r>
    </w:p>
    <w:p>
      <w:pPr>
        <w:pStyle w:val="Heading2"/>
      </w:pPr>
      <w:r>
        <w:rPr>
          <w:rFonts w:ascii="Aptos Display" w:hAnsi="Aptos Display"/>
          <w:b/>
          <w:color w:val="0D8B8B"/>
          <w:sz w:val="30"/>
        </w:rPr>
        <w:t>Commitment Copy</w:t>
      </w:r>
    </w:p>
    <w:p>
      <w:pPr>
        <w:spacing w:after="120"/>
      </w:pPr>
      <w:r>
        <w:rPr>
          <w:b w:val="0"/>
          <w:color w:val="475569"/>
          <w:sz w:val="20"/>
        </w:rPr>
        <w:t>At Subsidy Gyaan, every eligible industry - whether a large industrial unit or a home-based gruh udyog - deserves expert guidance to access government support. The organization is committed to transparency, timeliness, excellence, inclusivity and long-term partnership in every client growth journey.</w:t>
      </w:r>
    </w:p>
    <w:p>
      <w:pPr>
        <w:pStyle w:val="Heading2"/>
      </w:pPr>
      <w:r>
        <w:rPr>
          <w:rFonts w:ascii="Aptos Display" w:hAnsi="Aptos Display"/>
          <w:b/>
          <w:color w:val="0D8B8B"/>
          <w:sz w:val="30"/>
        </w:rPr>
        <w:t>CTA Copy</w:t>
      </w:r>
    </w:p>
    <w:p>
      <w:pPr>
        <w:spacing w:after="120"/>
      </w:pPr>
      <w:r>
        <w:rPr>
          <w:b w:val="0"/>
          <w:color w:val="475569"/>
          <w:sz w:val="20"/>
        </w:rPr>
        <w:t>Ready to understand your subsidy eligibility?</w:t>
      </w:r>
    </w:p>
    <w:p>
      <w:pPr>
        <w:spacing w:after="120"/>
      </w:pPr>
      <w:r>
        <w:rPr>
          <w:b w:val="0"/>
          <w:color w:val="475569"/>
          <w:sz w:val="20"/>
        </w:rPr>
        <w:t>Share your business idea, investment plan, industry and location. Subsidy Gyaan will help you understand suitable Central and Gujarat Government subsidy opportunities and the process required to move ahead.</w:t>
      </w:r>
    </w:p>
    <w:p>
      <w:r>
        <w:br w:type="page"/>
      </w:r>
    </w:p>
    <w:p>
      <w:pPr>
        <w:pStyle w:val="Heading1"/>
      </w:pPr>
      <w:r>
        <w:rPr>
          <w:rFonts w:ascii="Aptos Display" w:hAnsi="Aptos Display"/>
          <w:b/>
          <w:color w:val="14213D"/>
          <w:sz w:val="36"/>
        </w:rPr>
        <w:t>7. UI and Responsive Notes for Developer</w:t>
      </w:r>
    </w:p>
    <w:tbl>
      <w:tblPr>
        <w:tblW w:type="auto" w:w="0"/>
        <w:jc w:val="center"/>
        <w:tblLook w:firstColumn="1" w:firstRow="1" w:lastColumn="0" w:lastRow="0" w:noHBand="0" w:noVBand="1" w:val="04A0"/>
      </w:tblPr>
      <w:tblGrid>
        <w:gridCol w:w="5184"/>
        <w:gridCol w:w="5184"/>
      </w:tblGrid>
      <w:tr>
        <w:trPr>
          <w:tblHeader w:val="true"/>
        </w:trPr>
        <w:tc>
          <w:tcPr>
            <w:tcW w:type="dxa" w:w="3024"/>
            <w:tcBorders>
              <w:top w:sz="8" w:val="single" w:color="D9E6F2"/>
              <w:left w:sz="8" w:val="single" w:color="D9E6F2"/>
              <w:bottom w:sz="8" w:val="single" w:color="D9E6F2"/>
              <w:right w:sz="8" w:val="single" w:color="D9E6F2"/>
            </w:tcBorders>
            <w:shd w:fill="1E73BE"/>
          </w:tcPr>
          <w:p>
            <w:r>
              <w:rPr>
                <w:b/>
                <w:color w:val="FFFFFF"/>
                <w:sz w:val="19"/>
              </w:rPr>
              <w:t>Area</w:t>
            </w:r>
          </w:p>
        </w:tc>
        <w:tc>
          <w:tcPr>
            <w:tcW w:type="dxa" w:w="6624"/>
            <w:tcBorders>
              <w:top w:sz="8" w:val="single" w:color="D9E6F2"/>
              <w:left w:sz="8" w:val="single" w:color="D9E6F2"/>
              <w:bottom w:sz="8" w:val="single" w:color="D9E6F2"/>
              <w:right w:sz="8" w:val="single" w:color="D9E6F2"/>
            </w:tcBorders>
            <w:shd w:fill="1E73BE"/>
          </w:tcPr>
          <w:p>
            <w:r>
              <w:rPr>
                <w:b/>
                <w:color w:val="FFFFFF"/>
                <w:sz w:val="19"/>
              </w:rPr>
              <w:t>Developer Direction</w:t>
            </w:r>
          </w:p>
        </w:tc>
      </w:tr>
      <w:tr>
        <w:trPr>
          <w:cantSplit/>
        </w:trPr>
        <w:tc>
          <w:tcPr>
            <w:tcW w:type="dxa" w:w="3024"/>
            <w:shd w:fill="F8FBFE"/>
          </w:tcPr>
          <w:p>
            <w:r>
              <w:rPr>
                <w:b/>
                <w:color w:val="14213D"/>
                <w:sz w:val="18"/>
              </w:rPr>
              <w:t>Desktop Layout</w:t>
            </w:r>
          </w:p>
        </w:tc>
        <w:tc>
          <w:tcPr>
            <w:tcW w:type="dxa" w:w="6624"/>
          </w:tcPr>
          <w:p>
            <w:r>
              <w:rPr>
                <w:color w:val="475569"/>
                <w:sz w:val="18"/>
              </w:rPr>
              <w:t>Use wide sections with 1100px to 1240px max-width. Keep generous vertical spacing. Use two-column sections for hero, intro and purpose blocks.</w:t>
            </w:r>
          </w:p>
        </w:tc>
      </w:tr>
      <w:tr>
        <w:trPr>
          <w:cantSplit/>
        </w:trPr>
        <w:tc>
          <w:tcPr>
            <w:tcW w:type="dxa" w:w="3024"/>
            <w:shd w:fill="F8FBFE"/>
          </w:tcPr>
          <w:p>
            <w:r>
              <w:rPr>
                <w:b/>
                <w:color w:val="14213D"/>
                <w:sz w:val="18"/>
              </w:rPr>
              <w:t>Tablet Layout</w:t>
            </w:r>
          </w:p>
        </w:tc>
        <w:tc>
          <w:tcPr>
            <w:tcW w:type="dxa" w:w="6624"/>
          </w:tcPr>
          <w:p>
            <w:r>
              <w:rPr>
                <w:color w:val="475569"/>
                <w:sz w:val="18"/>
              </w:rPr>
              <w:t>Convert two-column sections into balanced stacked layouts. Keep cards in 2-column grids where possible.</w:t>
            </w:r>
          </w:p>
        </w:tc>
      </w:tr>
      <w:tr>
        <w:trPr>
          <w:cantSplit/>
        </w:trPr>
        <w:tc>
          <w:tcPr>
            <w:tcW w:type="dxa" w:w="3024"/>
            <w:shd w:fill="F8FBFE"/>
          </w:tcPr>
          <w:p>
            <w:r>
              <w:rPr>
                <w:b/>
                <w:color w:val="14213D"/>
                <w:sz w:val="18"/>
              </w:rPr>
              <w:t>Mobile Layout</w:t>
            </w:r>
          </w:p>
        </w:tc>
        <w:tc>
          <w:tcPr>
            <w:tcW w:type="dxa" w:w="6624"/>
          </w:tcPr>
          <w:p>
            <w:r>
              <w:rPr>
                <w:color w:val="475569"/>
                <w:sz w:val="18"/>
              </w:rPr>
              <w:t>Single column sections, larger tap targets, readable 32px to 38px hero title, no horizontal overflow.</w:t>
            </w:r>
          </w:p>
        </w:tc>
      </w:tr>
      <w:tr>
        <w:trPr>
          <w:cantSplit/>
        </w:trPr>
        <w:tc>
          <w:tcPr>
            <w:tcW w:type="dxa" w:w="3024"/>
            <w:shd w:fill="F8FBFE"/>
          </w:tcPr>
          <w:p>
            <w:r>
              <w:rPr>
                <w:b/>
                <w:color w:val="14213D"/>
                <w:sz w:val="18"/>
              </w:rPr>
              <w:t>Navigation</w:t>
            </w:r>
          </w:p>
        </w:tc>
        <w:tc>
          <w:tcPr>
            <w:tcW w:type="dxa" w:w="6624"/>
          </w:tcPr>
          <w:p>
            <w:r>
              <w:rPr>
                <w:color w:val="475569"/>
                <w:sz w:val="18"/>
              </w:rPr>
              <w:t>Same header as homepage. About page should highlight About as active.</w:t>
            </w:r>
          </w:p>
        </w:tc>
      </w:tr>
      <w:tr>
        <w:trPr>
          <w:cantSplit/>
        </w:trPr>
        <w:tc>
          <w:tcPr>
            <w:tcW w:type="dxa" w:w="3024"/>
            <w:shd w:fill="F8FBFE"/>
          </w:tcPr>
          <w:p>
            <w:r>
              <w:rPr>
                <w:b/>
                <w:color w:val="14213D"/>
                <w:sz w:val="18"/>
              </w:rPr>
              <w:t>Hero Height</w:t>
            </w:r>
          </w:p>
        </w:tc>
        <w:tc>
          <w:tcPr>
            <w:tcW w:type="dxa" w:w="6624"/>
          </w:tcPr>
          <w:p>
            <w:r>
              <w:rPr>
                <w:color w:val="475569"/>
                <w:sz w:val="18"/>
              </w:rPr>
              <w:t>Do not make the inner page hero too tall. Keep it around 65vh max on desktop and auto-height on mobile.</w:t>
            </w:r>
          </w:p>
        </w:tc>
      </w:tr>
      <w:tr>
        <w:trPr>
          <w:cantSplit/>
        </w:trPr>
        <w:tc>
          <w:tcPr>
            <w:tcW w:type="dxa" w:w="3024"/>
            <w:shd w:fill="F8FBFE"/>
          </w:tcPr>
          <w:p>
            <w:r>
              <w:rPr>
                <w:b/>
                <w:color w:val="14213D"/>
                <w:sz w:val="18"/>
              </w:rPr>
              <w:t>Animations</w:t>
            </w:r>
          </w:p>
        </w:tc>
        <w:tc>
          <w:tcPr>
            <w:tcW w:type="dxa" w:w="6624"/>
          </w:tcPr>
          <w:p>
            <w:r>
              <w:rPr>
                <w:color w:val="475569"/>
                <w:sz w:val="18"/>
              </w:rPr>
              <w:t>Use simple fade-up and stat counters only. Avoid heavy scroll effects on About page.</w:t>
            </w:r>
          </w:p>
        </w:tc>
      </w:tr>
      <w:tr>
        <w:trPr>
          <w:cantSplit/>
        </w:trPr>
        <w:tc>
          <w:tcPr>
            <w:tcW w:type="dxa" w:w="3024"/>
            <w:shd w:fill="F8FBFE"/>
          </w:tcPr>
          <w:p>
            <w:r>
              <w:rPr>
                <w:b/>
                <w:color w:val="14213D"/>
                <w:sz w:val="18"/>
              </w:rPr>
              <w:t>Images</w:t>
            </w:r>
          </w:p>
        </w:tc>
        <w:tc>
          <w:tcPr>
            <w:tcW w:type="dxa" w:w="6624"/>
          </w:tcPr>
          <w:p>
            <w:r>
              <w:rPr>
                <w:color w:val="475569"/>
                <w:sz w:val="18"/>
              </w:rPr>
              <w:t>Use business advisory, documents, entrepreneur, government approval, growth and knowledge-sharing visuals. Avoid random generic office photos.</w:t>
            </w:r>
          </w:p>
        </w:tc>
      </w:tr>
      <w:tr>
        <w:trPr>
          <w:cantSplit/>
        </w:trPr>
        <w:tc>
          <w:tcPr>
            <w:tcW w:type="dxa" w:w="3024"/>
            <w:shd w:fill="F8FBFE"/>
          </w:tcPr>
          <w:p>
            <w:r>
              <w:rPr>
                <w:b/>
                <w:color w:val="14213D"/>
                <w:sz w:val="18"/>
              </w:rPr>
              <w:t>CTA Placement</w:t>
            </w:r>
          </w:p>
        </w:tc>
        <w:tc>
          <w:tcPr>
            <w:tcW w:type="dxa" w:w="6624"/>
          </w:tcPr>
          <w:p>
            <w:r>
              <w:rPr>
                <w:color w:val="475569"/>
                <w:sz w:val="18"/>
              </w:rPr>
              <w:t>Place one CTA near the top hero, one after USP/process section, and a strong final CTA before footer.</w:t>
            </w:r>
          </w:p>
        </w:tc>
      </w:tr>
      <w:tr>
        <w:trPr>
          <w:cantSplit/>
        </w:trPr>
        <w:tc>
          <w:tcPr>
            <w:tcW w:type="dxa" w:w="3024"/>
            <w:shd w:fill="F8FBFE"/>
          </w:tcPr>
          <w:p>
            <w:r>
              <w:rPr>
                <w:b/>
                <w:color w:val="14213D"/>
                <w:sz w:val="18"/>
              </w:rPr>
              <w:t>SEO Focus</w:t>
            </w:r>
          </w:p>
        </w:tc>
        <w:tc>
          <w:tcPr>
            <w:tcW w:type="dxa" w:w="6624"/>
          </w:tcPr>
          <w:p>
            <w:r>
              <w:rPr>
                <w:color w:val="475569"/>
                <w:sz w:val="18"/>
              </w:rPr>
              <w:t>Use keywords naturally: subsidy consultancy in Gujarat, Gujarat government subsidy consultant, Central government subsidy advisory, MSME subsidy consultant, DPR preparation for subsidy.</w:t>
            </w:r>
          </w:p>
        </w:tc>
      </w:tr>
    </w:tbl>
    <w:p/>
    <w:p>
      <w:pPr>
        <w:pStyle w:val="Heading1"/>
      </w:pPr>
      <w:r>
        <w:rPr>
          <w:rFonts w:ascii="Aptos Display" w:hAnsi="Aptos Display"/>
          <w:b/>
          <w:color w:val="14213D"/>
          <w:sz w:val="36"/>
        </w:rPr>
        <w:t>8. About Page SEO Draft</w:t>
      </w:r>
    </w:p>
    <w:tbl>
      <w:tblPr>
        <w:tblW w:type="auto" w:w="0"/>
        <w:jc w:val="center"/>
        <w:tblLook w:firstColumn="1" w:firstRow="1" w:lastColumn="0" w:lastRow="0" w:noHBand="0" w:noVBand="1" w:val="04A0"/>
      </w:tblPr>
      <w:tblGrid>
        <w:gridCol w:w="5184"/>
        <w:gridCol w:w="5184"/>
      </w:tblGrid>
      <w:tr>
        <w:trPr>
          <w:tblHeader w:val="true"/>
        </w:trPr>
        <w:tc>
          <w:tcPr>
            <w:tcW w:type="dxa" w:w="3024"/>
            <w:tcBorders>
              <w:top w:sz="8" w:val="single" w:color="D9E6F2"/>
              <w:left w:sz="8" w:val="single" w:color="D9E6F2"/>
              <w:bottom w:sz="8" w:val="single" w:color="D9E6F2"/>
              <w:right w:sz="8" w:val="single" w:color="D9E6F2"/>
            </w:tcBorders>
            <w:shd w:fill="1E73BE"/>
          </w:tcPr>
          <w:p>
            <w:r>
              <w:rPr>
                <w:b/>
                <w:color w:val="FFFFFF"/>
                <w:sz w:val="19"/>
              </w:rPr>
              <w:t>SEO Element</w:t>
            </w:r>
          </w:p>
        </w:tc>
        <w:tc>
          <w:tcPr>
            <w:tcW w:type="dxa" w:w="6624"/>
            <w:tcBorders>
              <w:top w:sz="8" w:val="single" w:color="D9E6F2"/>
              <w:left w:sz="8" w:val="single" w:color="D9E6F2"/>
              <w:bottom w:sz="8" w:val="single" w:color="D9E6F2"/>
              <w:right w:sz="8" w:val="single" w:color="D9E6F2"/>
            </w:tcBorders>
            <w:shd w:fill="1E73BE"/>
          </w:tcPr>
          <w:p>
            <w:r>
              <w:rPr>
                <w:b/>
                <w:color w:val="FFFFFF"/>
                <w:sz w:val="19"/>
              </w:rPr>
              <w:t>Recommended Text</w:t>
            </w:r>
          </w:p>
        </w:tc>
      </w:tr>
      <w:tr>
        <w:trPr>
          <w:cantSplit/>
        </w:trPr>
        <w:tc>
          <w:tcPr>
            <w:tcW w:type="dxa" w:w="3024"/>
            <w:shd w:fill="F8FBFE"/>
          </w:tcPr>
          <w:p>
            <w:r>
              <w:rPr>
                <w:b/>
                <w:color w:val="14213D"/>
                <w:sz w:val="18"/>
              </w:rPr>
              <w:t>SEO Title</w:t>
            </w:r>
          </w:p>
        </w:tc>
        <w:tc>
          <w:tcPr>
            <w:tcW w:type="dxa" w:w="6624"/>
          </w:tcPr>
          <w:p>
            <w:r>
              <w:rPr>
                <w:color w:val="475569"/>
                <w:sz w:val="18"/>
              </w:rPr>
              <w:t>About Subsidy Gyaan | Gujarat &amp; Central Government Subsidy Consultancy</w:t>
            </w:r>
          </w:p>
        </w:tc>
      </w:tr>
      <w:tr>
        <w:trPr>
          <w:cantSplit/>
        </w:trPr>
        <w:tc>
          <w:tcPr>
            <w:tcW w:type="dxa" w:w="3024"/>
            <w:shd w:fill="F8FBFE"/>
          </w:tcPr>
          <w:p>
            <w:r>
              <w:rPr>
                <w:b/>
                <w:color w:val="14213D"/>
                <w:sz w:val="18"/>
              </w:rPr>
              <w:t>Meta Description</w:t>
            </w:r>
          </w:p>
        </w:tc>
        <w:tc>
          <w:tcPr>
            <w:tcW w:type="dxa" w:w="6624"/>
          </w:tcPr>
          <w:p>
            <w:r>
              <w:rPr>
                <w:color w:val="475569"/>
                <w:sz w:val="18"/>
              </w:rPr>
              <w:t>Learn about Subsidy Gyaan by Advait Associates, Ahmedabad-based subsidy advisory firm helping MSMEs, industries, entrepreneurs, SHGs and FPOs with Central and Gujarat Government subsidy consultancy, DPR preparation and documentation support.</w:t>
            </w:r>
          </w:p>
        </w:tc>
      </w:tr>
      <w:tr>
        <w:trPr>
          <w:cantSplit/>
        </w:trPr>
        <w:tc>
          <w:tcPr>
            <w:tcW w:type="dxa" w:w="3024"/>
            <w:shd w:fill="F8FBFE"/>
          </w:tcPr>
          <w:p>
            <w:r>
              <w:rPr>
                <w:b/>
                <w:color w:val="14213D"/>
                <w:sz w:val="18"/>
              </w:rPr>
              <w:t>H1</w:t>
            </w:r>
          </w:p>
        </w:tc>
        <w:tc>
          <w:tcPr>
            <w:tcW w:type="dxa" w:w="6624"/>
          </w:tcPr>
          <w:p>
            <w:r>
              <w:rPr>
                <w:color w:val="475569"/>
                <w:sz w:val="18"/>
              </w:rPr>
              <w:t>Guiding Businesses from Subsidy Awareness to Successful Availment</w:t>
            </w:r>
          </w:p>
        </w:tc>
      </w:tr>
      <w:tr>
        <w:trPr>
          <w:cantSplit/>
        </w:trPr>
        <w:tc>
          <w:tcPr>
            <w:tcW w:type="dxa" w:w="3024"/>
            <w:shd w:fill="F8FBFE"/>
          </w:tcPr>
          <w:p>
            <w:r>
              <w:rPr>
                <w:b/>
                <w:color w:val="14213D"/>
                <w:sz w:val="18"/>
              </w:rPr>
              <w:t>Primary Keywords</w:t>
            </w:r>
          </w:p>
        </w:tc>
        <w:tc>
          <w:tcPr>
            <w:tcW w:type="dxa" w:w="6624"/>
          </w:tcPr>
          <w:p>
            <w:r>
              <w:rPr>
                <w:color w:val="475569"/>
                <w:sz w:val="18"/>
              </w:rPr>
              <w:t>Subsidy Gyaan, subsidy consultant Gujarat, government subsidy consultant Ahmedabad, MSME subsidy consultant, Central Government subsidy advisory, Gujarat Government subsidy consultancy.</w:t>
            </w:r>
          </w:p>
        </w:tc>
      </w:tr>
      <w:tr>
        <w:trPr>
          <w:cantSplit/>
        </w:trPr>
        <w:tc>
          <w:tcPr>
            <w:tcW w:type="dxa" w:w="3024"/>
            <w:shd w:fill="F8FBFE"/>
          </w:tcPr>
          <w:p>
            <w:r>
              <w:rPr>
                <w:b/>
                <w:color w:val="14213D"/>
                <w:sz w:val="18"/>
              </w:rPr>
              <w:t>Internal Links</w:t>
            </w:r>
          </w:p>
        </w:tc>
        <w:tc>
          <w:tcPr>
            <w:tcW w:type="dxa" w:w="6624"/>
          </w:tcPr>
          <w:p>
            <w:r>
              <w:rPr>
                <w:color w:val="475569"/>
                <w:sz w:val="18"/>
              </w:rPr>
              <w:t>Services, Central Government Subsidies, Gujarat Government Subsidies, Industries, Articles, Contact.</w:t>
            </w:r>
          </w:p>
        </w:tc>
      </w:tr>
    </w:tbl>
    <w:p/>
    <w:tbl>
      <w:tblPr>
        <w:tblW w:type="auto" w:w="0"/>
        <w:jc w:val="center"/>
        <w:tblLook w:firstColumn="1" w:firstRow="1" w:lastColumn="0" w:lastRow="0" w:noHBand="0" w:noVBand="1" w:val="04A0"/>
      </w:tblPr>
      <w:tblGrid>
        <w:gridCol w:w="10368"/>
      </w:tblGrid>
      <w:tr>
        <w:tc>
          <w:tcPr>
            <w:tcW w:type="dxa" w:w="10368"/>
            <w:shd w:fill="FFF7EF"/>
            <w:tcBorders>
              <w:top w:sz="10" w:val="single" w:color="F28C28"/>
              <w:left w:sz="10" w:val="single" w:color="F28C28"/>
              <w:bottom w:sz="10" w:val="single" w:color="F28C28"/>
              <w:right w:sz="10" w:val="single" w:color="F28C28"/>
            </w:tcBorders>
            <w:vAlign w:val="center"/>
          </w:tcPr>
          <w:p>
            <w:r>
              <w:rPr>
                <w:b/>
                <w:color w:val="F28C28"/>
                <w:sz w:val="22"/>
              </w:rPr>
              <w:t>Final About Page Direction</w:t>
            </w:r>
          </w:p>
          <w:p>
            <w:r>
              <w:rPr>
                <w:color w:val="475569"/>
                <w:sz w:val="20"/>
              </w:rPr>
              <w:t>The About page should not feel like a simple company profile. It should feel like a trust-building story of knowledge, process expertise, subsidy awareness and practical handholding for entrepreneurs and industries.</w:t>
            </w:r>
          </w:p>
        </w:tc>
      </w:tr>
    </w:tbl>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Prepared for HTML/CSS/JS website build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6"/>
      </w:rPr>
      <w:t>Subsidy Gyaan - About Page Layout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47556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