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4B3D" w:rsidRDefault="00FD174C">
      <w:pPr>
        <w:spacing w:after="60"/>
      </w:pPr>
      <w:r>
        <w:rPr>
          <w:b/>
          <w:bCs/>
          <w:color w:val="1F3A5F"/>
          <w:sz w:val="40"/>
          <w:szCs w:val="40"/>
        </w:rPr>
        <w:t>Documents Required for Subsidy Application</w:t>
      </w:r>
    </w:p>
    <w:p w:rsidR="002F4B3D" w:rsidRDefault="00FD174C">
      <w:pPr>
        <w:pBdr>
          <w:bottom w:val="single" w:sz="12" w:space="4" w:color="B8860B"/>
        </w:pBdr>
        <w:spacing w:after="220"/>
      </w:pPr>
      <w:r>
        <w:rPr>
          <w:i/>
          <w:iCs/>
          <w:color w:val="555555"/>
          <w:sz w:val="22"/>
          <w:szCs w:val="22"/>
        </w:rPr>
        <w:t>A Practical Guide to Getting Your Documentation Right the First Time</w:t>
      </w:r>
    </w:p>
    <w:p w:rsidR="002F4B3D" w:rsidRDefault="00FD174C">
      <w:pPr>
        <w:spacing w:after="200"/>
      </w:pPr>
      <w:r>
        <w:rPr>
          <w:color w:val="333333"/>
          <w:sz w:val="22"/>
          <w:szCs w:val="22"/>
        </w:rPr>
        <w:t>A subsidy application is only as strong as its documentation. Missing, mismatched, or improperly certified documents are among the most common reasons applications face delays or rejection — so preparing this checklist in advance is one of the smartest steps an applicant can take.</w:t>
      </w:r>
    </w:p>
    <w:p w:rsidR="002F4B3D" w:rsidRDefault="00FD174C">
      <w:pPr>
        <w:spacing w:before="260" w:after="100"/>
      </w:pPr>
      <w:r>
        <w:rPr>
          <w:b/>
          <w:bCs/>
          <w:color w:val="1F3A5F"/>
          <w:sz w:val="24"/>
          <w:szCs w:val="24"/>
        </w:rPr>
        <w:t>Business Registration Documents</w:t>
      </w:r>
    </w:p>
    <w:p w:rsidR="002F4B3D" w:rsidRDefault="00FD174C">
      <w:pPr>
        <w:spacing w:after="160"/>
      </w:pPr>
      <w:proofErr w:type="spellStart"/>
      <w:r>
        <w:rPr>
          <w:color w:val="333333"/>
          <w:sz w:val="22"/>
          <w:szCs w:val="22"/>
        </w:rPr>
        <w:t>Udyam</w:t>
      </w:r>
      <w:proofErr w:type="spellEnd"/>
      <w:r>
        <w:rPr>
          <w:color w:val="333333"/>
          <w:sz w:val="22"/>
          <w:szCs w:val="22"/>
        </w:rPr>
        <w:t xml:space="preserve"> Registration, GST Certificate, and Incorporation documents (Company / LLP / Partnership deed, as applicable) — establishing the legal identity and eligibility of the applicant entity.</w:t>
      </w:r>
    </w:p>
    <w:p w:rsidR="002F4B3D" w:rsidRDefault="00FD174C">
      <w:pPr>
        <w:spacing w:before="260" w:after="100"/>
      </w:pPr>
      <w:r>
        <w:rPr>
          <w:b/>
          <w:bCs/>
          <w:color w:val="1F3A5F"/>
          <w:sz w:val="24"/>
          <w:szCs w:val="24"/>
        </w:rPr>
        <w:t>Project Financial Documents</w:t>
      </w:r>
    </w:p>
    <w:p w:rsidR="002F4B3D" w:rsidRDefault="00FD174C">
      <w:pPr>
        <w:spacing w:after="160"/>
      </w:pPr>
      <w:r>
        <w:rPr>
          <w:color w:val="333333"/>
          <w:sz w:val="22"/>
          <w:szCs w:val="22"/>
        </w:rPr>
        <w:t>A Detailed Project Report (DPR), Bank Sanction Letter, Term Loan account statement, and a CA-certified cost of project — together forming the financial backbone of the application and the basis on which subsidy eligibility is assessed.</w:t>
      </w:r>
    </w:p>
    <w:p w:rsidR="002F4B3D" w:rsidRDefault="00FD174C">
      <w:pPr>
        <w:spacing w:before="260" w:after="100"/>
      </w:pPr>
      <w:r>
        <w:rPr>
          <w:b/>
          <w:bCs/>
          <w:color w:val="1F3A5F"/>
          <w:sz w:val="24"/>
          <w:szCs w:val="24"/>
        </w:rPr>
        <w:t>Statutory Compliance Documents</w:t>
      </w:r>
    </w:p>
    <w:p w:rsidR="002F4B3D" w:rsidRDefault="00FD174C">
      <w:pPr>
        <w:spacing w:after="160"/>
      </w:pPr>
      <w:r>
        <w:rPr>
          <w:color w:val="333333"/>
          <w:sz w:val="22"/>
          <w:szCs w:val="22"/>
        </w:rPr>
        <w:t>Consent to Establish (GPCB), FSSAI license (for food processing units), approved factory layout plan, and building permission — confirming that the project meets all regulatory and safety requirements.</w:t>
      </w:r>
    </w:p>
    <w:p w:rsidR="002F4B3D" w:rsidRDefault="00FD174C">
      <w:pPr>
        <w:spacing w:before="260" w:after="100"/>
      </w:pPr>
      <w:r>
        <w:rPr>
          <w:b/>
          <w:bCs/>
          <w:color w:val="1F3A5F"/>
          <w:sz w:val="24"/>
          <w:szCs w:val="24"/>
        </w:rPr>
        <w:t>Invoices &amp; Purchase Documents</w:t>
      </w:r>
    </w:p>
    <w:p w:rsidR="002F4B3D" w:rsidRDefault="00FD174C">
      <w:pPr>
        <w:spacing w:after="220"/>
      </w:pPr>
      <w:r>
        <w:rPr>
          <w:color w:val="333333"/>
          <w:sz w:val="22"/>
          <w:szCs w:val="22"/>
        </w:rPr>
        <w:t xml:space="preserve">Quotations, </w:t>
      </w:r>
      <w:proofErr w:type="spellStart"/>
      <w:r>
        <w:rPr>
          <w:color w:val="333333"/>
          <w:sz w:val="22"/>
          <w:szCs w:val="22"/>
        </w:rPr>
        <w:t>proforma</w:t>
      </w:r>
      <w:proofErr w:type="spellEnd"/>
      <w:r>
        <w:rPr>
          <w:color w:val="333333"/>
          <w:sz w:val="22"/>
          <w:szCs w:val="22"/>
        </w:rPr>
        <w:t xml:space="preserve"> invoices, and final tax invoices for machinery and equipment — used to verify and substantiate the actual project investment claimed.</w:t>
      </w:r>
    </w:p>
    <w:tbl>
      <w:tblPr>
        <w:tblW w:w="9360" w:type="dxa"/>
        <w:tblInd w:w="-15" w:type="dxa"/>
        <w:tblBorders>
          <w:top w:val="single" w:sz="4" w:space="0" w:color="B8860B"/>
          <w:left w:val="single" w:sz="4" w:space="0" w:color="B8860B"/>
          <w:bottom w:val="single" w:sz="4" w:space="0" w:color="B8860B"/>
          <w:right w:val="single" w:sz="4" w:space="0" w:color="B8860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F4B3D">
        <w:tc>
          <w:tcPr>
            <w:tcW w:w="9360" w:type="dxa"/>
            <w:shd w:val="clear" w:color="auto" w:fill="F6F1E4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2F4B3D" w:rsidRDefault="00FD174C">
            <w:r>
              <w:rPr>
                <w:i/>
                <w:iCs/>
                <w:color w:val="333333"/>
                <w:sz w:val="22"/>
                <w:szCs w:val="22"/>
              </w:rPr>
              <w:t xml:space="preserve">Every subsidy scheme has its own documentation nuances, and even small inconsistencies — a mismatched figure between the DPR and CA certificate, </w:t>
            </w:r>
            <w:proofErr w:type="gramStart"/>
            <w:r>
              <w:rPr>
                <w:i/>
                <w:iCs/>
                <w:color w:val="333333"/>
                <w:sz w:val="22"/>
                <w:szCs w:val="22"/>
              </w:rPr>
              <w:t>or</w:t>
            </w:r>
            <w:proofErr w:type="gramEnd"/>
            <w:r>
              <w:rPr>
                <w:i/>
                <w:iCs/>
                <w:color w:val="333333"/>
                <w:sz w:val="22"/>
                <w:szCs w:val="22"/>
              </w:rPr>
              <w:t xml:space="preserve"> an expired compliance certificate — can hold up disbursement. Working with an experienced advisory team ensures your documentation is complete, accurate, and aligned with the specific scheme's requirements from the outset.</w:t>
            </w:r>
          </w:p>
        </w:tc>
      </w:tr>
    </w:tbl>
    <w:p w:rsidR="00920829" w:rsidRDefault="00920829" w:rsidP="00920829">
      <w:pPr>
        <w:spacing w:before="320" w:after="60"/>
      </w:pPr>
      <w:r>
        <w:rPr>
          <w:b/>
          <w:bCs/>
          <w:color w:val="1F3A5F"/>
          <w:sz w:val="24"/>
          <w:szCs w:val="24"/>
        </w:rPr>
        <w:t>Need Help Getting Your Documents Right?</w:t>
      </w:r>
    </w:p>
    <w:p w:rsidR="00920829" w:rsidRDefault="00920829" w:rsidP="00920829">
      <w:pPr>
        <w:spacing w:after="200"/>
      </w:pPr>
      <w:r>
        <w:rPr>
          <w:color w:val="333333"/>
          <w:sz w:val="22"/>
          <w:szCs w:val="22"/>
        </w:rPr>
        <w:t>Our advisory team reviews your documentation against the exact requirements of your chosen subsidy scheme — so your application goes in complete, accurate, and ready for approval.</w:t>
      </w:r>
    </w:p>
    <w:p w:rsidR="00920829" w:rsidRDefault="00920829" w:rsidP="00920829">
      <w:pPr>
        <w:spacing w:after="260"/>
      </w:pPr>
      <w:r>
        <w:rPr>
          <w:rFonts w:ascii="Segoe UI Symbol" w:hAnsi="Segoe UI Symbol" w:cs="Segoe UI Symbol"/>
          <w:sz w:val="22"/>
          <w:szCs w:val="22"/>
        </w:rPr>
        <w:t>📞</w:t>
      </w:r>
      <w:r>
        <w:rPr>
          <w:sz w:val="22"/>
          <w:szCs w:val="22"/>
        </w:rPr>
        <w:t xml:space="preserve"> </w:t>
      </w:r>
      <w:r>
        <w:rPr>
          <w:b/>
          <w:bCs/>
          <w:color w:val="B8860B"/>
          <w:sz w:val="22"/>
          <w:szCs w:val="22"/>
          <w:u w:val="single" w:color="B8860B"/>
        </w:rPr>
        <w:t>Get a Free Eligibility &amp; Document Check →</w:t>
      </w:r>
    </w:p>
    <w:p w:rsidR="002F4B3D" w:rsidRDefault="002F4B3D" w:rsidP="00FD174C">
      <w:pPr>
        <w:spacing w:before="260"/>
      </w:pPr>
      <w:bookmarkStart w:id="0" w:name="_GoBack"/>
      <w:bookmarkEnd w:id="0"/>
    </w:p>
    <w:sectPr w:rsidR="002F4B3D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4C1C01"/>
    <w:multiLevelType w:val="hybridMultilevel"/>
    <w:tmpl w:val="22C67B0A"/>
    <w:lvl w:ilvl="0" w:tplc="B1CC5692">
      <w:start w:val="1"/>
      <w:numFmt w:val="bullet"/>
      <w:lvlText w:val="●"/>
      <w:lvlJc w:val="left"/>
      <w:pPr>
        <w:ind w:left="720" w:hanging="360"/>
      </w:pPr>
    </w:lvl>
    <w:lvl w:ilvl="1" w:tplc="AF42E932">
      <w:start w:val="1"/>
      <w:numFmt w:val="bullet"/>
      <w:lvlText w:val="○"/>
      <w:lvlJc w:val="left"/>
      <w:pPr>
        <w:ind w:left="1440" w:hanging="360"/>
      </w:pPr>
    </w:lvl>
    <w:lvl w:ilvl="2" w:tplc="EB5CCB42">
      <w:start w:val="1"/>
      <w:numFmt w:val="bullet"/>
      <w:lvlText w:val="■"/>
      <w:lvlJc w:val="left"/>
      <w:pPr>
        <w:ind w:left="2160" w:hanging="360"/>
      </w:pPr>
    </w:lvl>
    <w:lvl w:ilvl="3" w:tplc="16CE6528">
      <w:start w:val="1"/>
      <w:numFmt w:val="bullet"/>
      <w:lvlText w:val="●"/>
      <w:lvlJc w:val="left"/>
      <w:pPr>
        <w:ind w:left="2880" w:hanging="360"/>
      </w:pPr>
    </w:lvl>
    <w:lvl w:ilvl="4" w:tplc="062E8C64">
      <w:start w:val="1"/>
      <w:numFmt w:val="bullet"/>
      <w:lvlText w:val="○"/>
      <w:lvlJc w:val="left"/>
      <w:pPr>
        <w:ind w:left="3600" w:hanging="360"/>
      </w:pPr>
    </w:lvl>
    <w:lvl w:ilvl="5" w:tplc="6284E3C0">
      <w:start w:val="1"/>
      <w:numFmt w:val="bullet"/>
      <w:lvlText w:val="■"/>
      <w:lvlJc w:val="left"/>
      <w:pPr>
        <w:ind w:left="4320" w:hanging="360"/>
      </w:pPr>
    </w:lvl>
    <w:lvl w:ilvl="6" w:tplc="DB5ABC08">
      <w:start w:val="1"/>
      <w:numFmt w:val="bullet"/>
      <w:lvlText w:val="●"/>
      <w:lvlJc w:val="left"/>
      <w:pPr>
        <w:ind w:left="5040" w:hanging="360"/>
      </w:pPr>
    </w:lvl>
    <w:lvl w:ilvl="7" w:tplc="07802FA2">
      <w:start w:val="1"/>
      <w:numFmt w:val="bullet"/>
      <w:lvlText w:val="●"/>
      <w:lvlJc w:val="left"/>
      <w:pPr>
        <w:ind w:left="5760" w:hanging="360"/>
      </w:pPr>
    </w:lvl>
    <w:lvl w:ilvl="8" w:tplc="D410E8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B3D"/>
    <w:rsid w:val="002F4B3D"/>
    <w:rsid w:val="00920829"/>
    <w:rsid w:val="00FD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BCA35E9-5589-49C9-9EE4-F27C386B3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59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2026-07-22T05:03:00Z</dcterms:created>
  <dcterms:modified xsi:type="dcterms:W3CDTF">2026-07-22T05:16:00Z</dcterms:modified>
</cp:coreProperties>
</file>