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E73BE"/>
          <w:sz w:val="54"/>
        </w:rPr>
        <w:t>SUBSIDY GYAAN</w:t>
      </w:r>
    </w:p>
    <w:p>
      <w:pPr>
        <w:spacing w:after="320"/>
        <w:jc w:val="center"/>
      </w:pPr>
      <w:r>
        <w:rPr>
          <w:b w:val="0"/>
          <w:i w:val="0"/>
          <w:color w:val="0D7C83"/>
          <w:sz w:val="22"/>
        </w:rPr>
        <w:t>by Advait Associates</w:t>
      </w:r>
    </w:p>
    <w:p>
      <w:pPr>
        <w:spacing w:after="80"/>
        <w:jc w:val="center"/>
      </w:pPr>
      <w:r>
        <w:rPr>
          <w:b/>
          <w:i w:val="0"/>
          <w:color w:val="14213D"/>
          <w:sz w:val="44"/>
        </w:rPr>
        <w:t>SERVICES PAGE</w:t>
      </w:r>
    </w:p>
    <w:p>
      <w:pPr>
        <w:spacing w:after="160"/>
        <w:jc w:val="center"/>
      </w:pPr>
      <w:r>
        <w:rPr>
          <w:b/>
          <w:i w:val="0"/>
          <w:color w:val="F28C28"/>
          <w:sz w:val="26"/>
        </w:rPr>
        <w:t>Modern Light-Theme Website Layout Document</w:t>
      </w:r>
    </w:p>
    <w:p>
      <w:pPr>
        <w:spacing w:after="360"/>
        <w:jc w:val="center"/>
      </w:pPr>
      <w:r>
        <w:rPr>
          <w:b w:val="0"/>
          <w:i w:val="0"/>
          <w:color w:val="475569"/>
          <w:sz w:val="21"/>
        </w:rPr>
        <w:t>For HTML, CSS and JavaScript Website Development</w:t>
      </w:r>
    </w:p>
    <w:tbl>
      <w:tblPr>
        <w:tblW w:type="auto" w:w="0"/>
        <w:jc w:val="center"/>
        <w:tblLook w:firstColumn="1" w:firstRow="1" w:lastColumn="0" w:lastRow="0" w:noHBand="0" w:noVBand="1" w:val="04A0"/>
      </w:tblPr>
      <w:tblGrid>
        <w:gridCol w:w="3485"/>
        <w:gridCol w:w="3485"/>
        <w:gridCol w:w="3485"/>
      </w:tblGrid>
      <w:tr>
        <w:tc>
          <w:tcPr>
            <w:tcW w:type="dxa" w:w="3485"/>
            <w:shd w:fill="F4FAFF"/>
            <w:tcBorders>
              <w:top w:val="single" w:sz="6" w:space="0" w:color="FFFFFF"/>
              <w:left w:val="single" w:sz="6" w:space="0" w:color="FFFFFF"/>
              <w:bottom w:val="single" w:sz="6" w:space="0" w:color="FFFFFF"/>
              <w:right w:val="single" w:sz="6" w:space="0" w:color="FFFFFF"/>
            </w:tcBorders>
            <w:tcMar>
              <w:top w:w="160" w:type="dxa"/>
              <w:start w:w="160" w:type="dxa"/>
              <w:bottom w:w="120" w:type="dxa"/>
              <w:end w:w="160" w:type="dxa"/>
            </w:tcMar>
          </w:tcPr>
          <w:p>
            <w:pPr>
              <w:jc w:val="center"/>
            </w:pPr>
            <w:r/>
            <w:r>
              <w:rPr>
                <w:b/>
                <w:i w:val="0"/>
                <w:color w:val="F28C28"/>
                <w:sz w:val="32"/>
              </w:rPr>
              <w:t>2011</w:t>
            </w:r>
          </w:p>
        </w:tc>
        <w:tc>
          <w:tcPr>
            <w:tcW w:type="dxa" w:w="3485"/>
            <w:shd w:fill="F5FBF7"/>
            <w:tcBorders>
              <w:top w:val="single" w:sz="6" w:space="0" w:color="FFFFFF"/>
              <w:left w:val="single" w:sz="6" w:space="0" w:color="FFFFFF"/>
              <w:bottom w:val="single" w:sz="6" w:space="0" w:color="FFFFFF"/>
              <w:right w:val="single" w:sz="6" w:space="0" w:color="FFFFFF"/>
            </w:tcBorders>
            <w:tcMar>
              <w:top w:w="160" w:type="dxa"/>
              <w:start w:w="160" w:type="dxa"/>
              <w:bottom w:w="120" w:type="dxa"/>
              <w:end w:w="160" w:type="dxa"/>
            </w:tcMar>
          </w:tcPr>
          <w:p>
            <w:pPr>
              <w:jc w:val="center"/>
            </w:pPr>
            <w:r/>
            <w:r>
              <w:rPr>
                <w:b/>
                <w:i w:val="0"/>
                <w:color w:val="F28C28"/>
                <w:sz w:val="32"/>
              </w:rPr>
              <w:t>3,500+</w:t>
            </w:r>
          </w:p>
        </w:tc>
        <w:tc>
          <w:tcPr>
            <w:tcW w:type="dxa" w:w="3485"/>
            <w:shd w:fill="F4FAFF"/>
            <w:tcBorders>
              <w:top w:val="single" w:sz="6" w:space="0" w:color="FFFFFF"/>
              <w:left w:val="single" w:sz="6" w:space="0" w:color="FFFFFF"/>
              <w:bottom w:val="single" w:sz="6" w:space="0" w:color="FFFFFF"/>
              <w:right w:val="single" w:sz="6" w:space="0" w:color="FFFFFF"/>
            </w:tcBorders>
            <w:tcMar>
              <w:top w:w="160" w:type="dxa"/>
              <w:start w:w="160" w:type="dxa"/>
              <w:bottom w:w="120" w:type="dxa"/>
              <w:end w:w="160" w:type="dxa"/>
            </w:tcMar>
          </w:tcPr>
          <w:p>
            <w:pPr>
              <w:jc w:val="center"/>
            </w:pPr>
            <w:r/>
            <w:r>
              <w:rPr>
                <w:b/>
                <w:i w:val="0"/>
                <w:color w:val="0D7C83"/>
                <w:sz w:val="32"/>
              </w:rPr>
              <w:t>Pan-India</w:t>
            </w:r>
          </w:p>
        </w:tc>
      </w:tr>
      <w:tr>
        <w:tc>
          <w:tcPr>
            <w:tcW w:type="dxa" w:w="3485"/>
            <w:shd w:fill="F4FAFF"/>
            <w:tcBorders>
              <w:top w:val="single" w:sz="6" w:space="0" w:color="FFFFFF"/>
              <w:left w:val="single" w:sz="6" w:space="0" w:color="FFFFFF"/>
              <w:bottom w:val="single" w:sz="6" w:space="0" w:color="FFFFFF"/>
              <w:right w:val="single" w:sz="6" w:space="0" w:color="FFFFFF"/>
            </w:tcBorders>
            <w:tcMar>
              <w:top w:w="60" w:type="dxa"/>
              <w:start w:w="160" w:type="dxa"/>
              <w:bottom w:w="140" w:type="dxa"/>
              <w:end w:w="160" w:type="dxa"/>
            </w:tcMar>
          </w:tcPr>
          <w:p>
            <w:pPr>
              <w:jc w:val="center"/>
            </w:pPr>
            <w:r/>
            <w:r>
              <w:rPr>
                <w:b/>
                <w:i w:val="0"/>
                <w:color w:val="14213D"/>
                <w:sz w:val="17"/>
              </w:rPr>
              <w:t>Year Established</w:t>
            </w:r>
          </w:p>
        </w:tc>
        <w:tc>
          <w:tcPr>
            <w:tcW w:type="dxa" w:w="3485"/>
            <w:shd w:fill="F5FBF7"/>
            <w:tcBorders>
              <w:top w:val="single" w:sz="6" w:space="0" w:color="FFFFFF"/>
              <w:left w:val="single" w:sz="6" w:space="0" w:color="FFFFFF"/>
              <w:bottom w:val="single" w:sz="6" w:space="0" w:color="FFFFFF"/>
              <w:right w:val="single" w:sz="6" w:space="0" w:color="FFFFFF"/>
            </w:tcBorders>
            <w:tcMar>
              <w:top w:w="60" w:type="dxa"/>
              <w:start w:w="160" w:type="dxa"/>
              <w:bottom w:w="140" w:type="dxa"/>
              <w:end w:w="160" w:type="dxa"/>
            </w:tcMar>
          </w:tcPr>
          <w:p>
            <w:pPr>
              <w:jc w:val="center"/>
            </w:pPr>
            <w:r/>
            <w:r>
              <w:rPr>
                <w:b/>
                <w:i w:val="0"/>
                <w:color w:val="14213D"/>
                <w:sz w:val="17"/>
              </w:rPr>
              <w:t>Clients Served</w:t>
            </w:r>
          </w:p>
        </w:tc>
        <w:tc>
          <w:tcPr>
            <w:tcW w:type="dxa" w:w="3485"/>
            <w:shd w:fill="F4FAFF"/>
            <w:tcBorders>
              <w:top w:val="single" w:sz="6" w:space="0" w:color="FFFFFF"/>
              <w:left w:val="single" w:sz="6" w:space="0" w:color="FFFFFF"/>
              <w:bottom w:val="single" w:sz="6" w:space="0" w:color="FFFFFF"/>
              <w:right w:val="single" w:sz="6" w:space="0" w:color="FFFFFF"/>
            </w:tcBorders>
            <w:tcMar>
              <w:top w:w="60" w:type="dxa"/>
              <w:start w:w="160" w:type="dxa"/>
              <w:bottom w:w="140" w:type="dxa"/>
              <w:end w:w="160" w:type="dxa"/>
            </w:tcMar>
          </w:tcPr>
          <w:p>
            <w:pPr>
              <w:jc w:val="center"/>
            </w:pPr>
            <w:r/>
            <w:r>
              <w:rPr>
                <w:b/>
                <w:i w:val="0"/>
                <w:color w:val="14213D"/>
                <w:sz w:val="17"/>
              </w:rPr>
              <w:t>Advisory Reach</w:t>
            </w:r>
          </w:p>
        </w:tc>
      </w:tr>
    </w:tbl>
    <w:p>
      <w:pPr>
        <w:spacing w:before="520"/>
        <w:jc w:val="center"/>
      </w:pPr>
      <w:r>
        <w:rPr>
          <w:b/>
          <w:i w:val="0"/>
          <w:color w:val="14213D"/>
          <w:sz w:val="20"/>
        </w:rPr>
        <w:t>Brand Line</w:t>
      </w:r>
    </w:p>
    <w:p>
      <w:pPr>
        <w:jc w:val="center"/>
      </w:pPr>
      <w:r>
        <w:rPr>
          <w:b/>
          <w:i/>
          <w:color w:val="1E73BE"/>
          <w:sz w:val="36"/>
        </w:rPr>
        <w:t>“Gyaan se Pragati, Salah se Samriddhi”</w:t>
      </w:r>
    </w:p>
    <w:p>
      <w:pPr>
        <w:spacing w:before="360"/>
        <w:jc w:val="center"/>
      </w:pPr>
      <w:r>
        <w:rPr>
          <w:b w:val="0"/>
          <w:i w:val="0"/>
          <w:color w:val="475569"/>
          <w:sz w:val="18"/>
        </w:rPr>
        <w:t>Prepared as the main Services page planning document. This is not for individual service or scheme inner pages.</w:t>
      </w:r>
    </w:p>
    <w:p>
      <w:r>
        <w:br w:type="page"/>
      </w:r>
    </w:p>
    <w:p>
      <w:pPr>
        <w:spacing w:after="80"/>
        <w:jc w:val="left"/>
      </w:pPr>
      <w:r>
        <w:rPr>
          <w:b/>
          <w:color w:val="0D7C83"/>
          <w:sz w:val="18"/>
        </w:rPr>
        <w:t>[ PAGE PURPOSE ]</w:t>
      </w:r>
    </w:p>
    <w:p>
      <w:pPr>
        <w:pStyle w:val="Heading1"/>
        <w:spacing w:before="200" w:after="80"/>
      </w:pPr>
      <w:r>
        <w:rPr>
          <w:b/>
          <w:color w:val="14213D"/>
          <w:sz w:val="40"/>
        </w:rPr>
        <w:t>Services Page Goal</w:t>
      </w:r>
    </w:p>
    <w:p>
      <w:pPr>
        <w:spacing w:after="120" w:line="276" w:lineRule="auto"/>
      </w:pPr>
      <w:r>
        <w:rPr>
          <w:b w:val="0"/>
          <w:i w:val="0"/>
          <w:color w:val="475569"/>
          <w:sz w:val="19"/>
        </w:rPr>
        <w:t>The Services page should clearly explain what Subsidy Gyaan does, how each service helps entrepreneurs and industries, and how the advisory process moves from business idea to subsidy-ready execution. This page is not an inner service-detail page; it is the main service overview page that connects visitors to consultation, Central Government subsidy pages, Gujarat Government subsidy pages, and contact enquiry.</w:t>
      </w:r>
    </w:p>
    <w:tbl>
      <w:tblPr>
        <w:tblW w:type="auto" w:w="0"/>
        <w:jc w:val="center"/>
        <w:tblLook w:firstColumn="1" w:firstRow="1" w:lastColumn="0" w:lastRow="0" w:noHBand="0" w:noVBand="1" w:val="04A0"/>
      </w:tblPr>
      <w:tblGrid>
        <w:gridCol w:w="10454"/>
      </w:tblGrid>
      <w:tr>
        <w:tc>
          <w:tcPr>
            <w:tcW w:type="dxa" w:w="10454"/>
            <w:shd w:fill="F5FBF7"/>
            <w:tcBorders>
              <w:top w:val="single" w:sz="8" w:space="0" w:color="82B440"/>
              <w:left w:val="single" w:sz="8" w:space="0" w:color="82B440"/>
              <w:bottom w:val="single" w:sz="8" w:space="0" w:color="82B440"/>
              <w:right w:val="single" w:sz="8" w:space="0" w:color="82B440"/>
            </w:tcBorders>
            <w:tcMar>
              <w:top w:w="180" w:type="dxa"/>
              <w:start w:w="180" w:type="dxa"/>
              <w:bottom w:w="180" w:type="dxa"/>
              <w:end w:w="180" w:type="dxa"/>
            </w:tcMar>
          </w:tcPr>
          <w:p>
            <w:pPr>
              <w:spacing w:after="40"/>
            </w:pPr>
            <w:r/>
            <w:r>
              <w:rPr>
                <w:b/>
                <w:i w:val="0"/>
                <w:color w:val="14213D"/>
                <w:sz w:val="20"/>
              </w:rPr>
              <w:t>Primary Conversion Goal</w:t>
            </w:r>
          </w:p>
          <w:p>
            <w:pPr>
              <w:spacing w:after="0" w:line="259" w:lineRule="auto"/>
            </w:pPr>
            <w:r>
              <w:rPr>
                <w:b w:val="0"/>
                <w:i w:val="0"/>
                <w:color w:val="475569"/>
                <w:sz w:val="18"/>
              </w:rPr>
              <w:t>Encourage visitors to check eligibility, contact the advisory team, or understand which service they need: subsidy advisory, DPR, registration, certification, banking liaison, government liaison, or ecosystem support.</w:t>
            </w:r>
          </w:p>
        </w:tc>
      </w:tr>
    </w:tbl>
    <w:p>
      <w:pPr>
        <w:spacing w:after="40"/>
      </w:pPr>
    </w:p>
    <w:p>
      <w:pPr>
        <w:pStyle w:val="Heading2"/>
        <w:spacing w:before="160" w:after="80"/>
      </w:pPr>
      <w:r>
        <w:rPr>
          <w:b/>
          <w:color w:val="14213D"/>
          <w:sz w:val="30"/>
        </w:rPr>
        <w:t>Source Content to Use</w:t>
      </w:r>
    </w:p>
    <w:p>
      <w:pPr>
        <w:pStyle w:val="ListBullet"/>
        <w:spacing w:after="40" w:line="264" w:lineRule="auto"/>
      </w:pPr>
      <w:r>
        <w:rPr>
          <w:b w:val="0"/>
          <w:i w:val="0"/>
          <w:color w:val="475569"/>
          <w:sz w:val="18"/>
        </w:rPr>
        <w:t>Subsidy Gyaan by Advait Associates is an Ahmedabad-based advisory platform for Central and State Government subsidy schemes.</w:t>
      </w:r>
    </w:p>
    <w:p>
      <w:pPr>
        <w:pStyle w:val="ListBullet"/>
        <w:spacing w:after="40" w:line="264" w:lineRule="auto"/>
      </w:pPr>
      <w:r>
        <w:rPr>
          <w:b w:val="0"/>
          <w:i w:val="0"/>
          <w:color w:val="475569"/>
          <w:sz w:val="18"/>
        </w:rPr>
        <w:t>The brochure positions the firm as a consultancy for subsidy availment, DPR preparation, compliance guidance, registration support, and ecosystem services.</w:t>
      </w:r>
    </w:p>
    <w:p>
      <w:pPr>
        <w:pStyle w:val="ListBullet"/>
        <w:spacing w:after="40" w:line="264" w:lineRule="auto"/>
      </w:pPr>
      <w:r>
        <w:rPr>
          <w:b w:val="0"/>
          <w:i w:val="0"/>
          <w:color w:val="475569"/>
          <w:sz w:val="18"/>
        </w:rPr>
        <w:t>Important service areas include Central Government Subsidy Schemes, State Government Subsidy Schemes, Detailed Project Report preparation, Registration &amp; Certification services, and Networking &amp; Allied Services.</w:t>
      </w:r>
    </w:p>
    <w:p>
      <w:pPr>
        <w:pStyle w:val="ListBullet"/>
        <w:spacing w:after="40" w:line="264" w:lineRule="auto"/>
      </w:pPr>
      <w:r>
        <w:rPr>
          <w:b w:val="0"/>
          <w:i w:val="0"/>
          <w:color w:val="475569"/>
          <w:sz w:val="18"/>
        </w:rPr>
        <w:t>The page should maintain the emotional brand line: “Gyaan se Pragati, Salah se Samriddhi”.</w:t>
      </w:r>
    </w:p>
    <w:p>
      <w:pPr>
        <w:pStyle w:val="Heading2"/>
        <w:spacing w:before="160" w:after="80"/>
      </w:pPr>
      <w:r>
        <w:rPr>
          <w:b/>
          <w:color w:val="14213D"/>
          <w:sz w:val="30"/>
        </w:rPr>
        <w:t>Page Design Direction</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448"/>
            <w:shd w:fill="0D7C83"/>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Element</w:t>
            </w:r>
          </w:p>
        </w:tc>
        <w:tc>
          <w:tcPr>
            <w:tcW w:type="dxa" w:w="7056"/>
            <w:shd w:fill="0D7C83"/>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Direction</w:t>
            </w:r>
          </w:p>
        </w:tc>
      </w:tr>
      <w:tr>
        <w:tc>
          <w:tcPr>
            <w:tcW w:type="dxa" w:w="2448"/>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Theme</w:t>
            </w:r>
          </w:p>
        </w:tc>
        <w:tc>
          <w:tcPr>
            <w:tcW w:type="dxa" w:w="7056"/>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Full light theme with white, soft blue, soft green and clean advisory-style cards.</w:t>
            </w:r>
          </w:p>
        </w:tc>
      </w:tr>
      <w:tr>
        <w:tc>
          <w:tcPr>
            <w:tcW w:type="dxa" w:w="2448"/>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Visual Style</w:t>
            </w:r>
          </w:p>
        </w:tc>
        <w:tc>
          <w:tcPr>
            <w:tcW w:type="dxa" w:w="7056"/>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Modern consulting layout inspired by Enviro reference: large typography, section labels, rounded cards, open spacing, clean grids and soft CTA sections.</w:t>
            </w:r>
          </w:p>
        </w:tc>
      </w:tr>
      <w:tr>
        <w:tc>
          <w:tcPr>
            <w:tcW w:type="dxa" w:w="2448"/>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Tone</w:t>
            </w:r>
          </w:p>
        </w:tc>
        <w:tc>
          <w:tcPr>
            <w:tcW w:type="dxa" w:w="7056"/>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Professional, helpful, transparent, practical and trust-building.</w:t>
            </w:r>
          </w:p>
        </w:tc>
      </w:tr>
      <w:tr>
        <w:tc>
          <w:tcPr>
            <w:tcW w:type="dxa" w:w="2448"/>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Animations</w:t>
            </w:r>
          </w:p>
        </w:tc>
        <w:tc>
          <w:tcPr>
            <w:tcW w:type="dxa" w:w="7056"/>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Simple fade-up, card hover lift, smooth accordion, sticky header shadow and button hover transitions.</w:t>
            </w:r>
          </w:p>
        </w:tc>
      </w:tr>
      <w:tr>
        <w:tc>
          <w:tcPr>
            <w:tcW w:type="dxa" w:w="2448"/>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Avoid</w:t>
            </w:r>
          </w:p>
        </w:tc>
        <w:tc>
          <w:tcPr>
            <w:tcW w:type="dxa" w:w="7056"/>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Avoid dark theme, heavy 3D, over-glassmorphism, too many colors, and cluttered tables on the services page.</w:t>
            </w:r>
          </w:p>
        </w:tc>
      </w:tr>
    </w:tbl>
    <w:p>
      <w:pPr>
        <w:spacing w:after="60"/>
      </w:pPr>
    </w:p>
    <w:p>
      <w:pPr>
        <w:spacing w:after="120"/>
      </w:pPr>
      <w:r>
        <w:rPr>
          <w:b w:val="0"/>
          <w:i w:val="0"/>
          <w:color w:val="D7E7F3"/>
          <w:sz w:val="16"/>
        </w:rPr>
        <w:t>——————————————————————————————————————————</w:t>
      </w:r>
    </w:p>
    <w:p>
      <w:pPr>
        <w:spacing w:after="80"/>
        <w:jc w:val="left"/>
      </w:pPr>
      <w:r>
        <w:rPr>
          <w:b/>
          <w:color w:val="0D7C83"/>
          <w:sz w:val="18"/>
        </w:rPr>
        <w:t>[ PAGE FLOW ]</w:t>
      </w:r>
    </w:p>
    <w:p>
      <w:pPr>
        <w:pStyle w:val="Heading1"/>
        <w:spacing w:before="200" w:after="80"/>
      </w:pPr>
      <w:r>
        <w:rPr>
          <w:b/>
          <w:color w:val="14213D"/>
          <w:sz w:val="40"/>
        </w:rPr>
        <w:t>Final Services Page Section Order</w:t>
      </w:r>
    </w:p>
    <w:p>
      <w:pPr>
        <w:pStyle w:val="ListNumber"/>
        <w:spacing w:after="60" w:line="264" w:lineRule="auto"/>
      </w:pPr>
      <w:r>
        <w:rPr>
          <w:b/>
          <w:i w:val="0"/>
          <w:color w:val="14213D"/>
          <w:sz w:val="18"/>
        </w:rPr>
        <w:t>Services Hero Section</w:t>
      </w:r>
      <w:r>
        <w:rPr>
          <w:b w:val="0"/>
          <w:i w:val="0"/>
          <w:color w:val="475569"/>
          <w:sz w:val="18"/>
        </w:rPr>
        <w:t xml:space="preserve"> — page title, brand line, short service promise and CTA buttons.</w:t>
      </w:r>
    </w:p>
    <w:p>
      <w:pPr>
        <w:pStyle w:val="ListNumber"/>
        <w:spacing w:after="60" w:line="264" w:lineRule="auto"/>
      </w:pPr>
      <w:r>
        <w:rPr>
          <w:b/>
          <w:i w:val="0"/>
          <w:color w:val="14213D"/>
          <w:sz w:val="18"/>
        </w:rPr>
        <w:t>Service Overview Strip</w:t>
      </w:r>
      <w:r>
        <w:rPr>
          <w:b w:val="0"/>
          <w:i w:val="0"/>
          <w:color w:val="475569"/>
          <w:sz w:val="18"/>
        </w:rPr>
        <w:t xml:space="preserve"> — 4 to 5 quick service pillars.</w:t>
      </w:r>
    </w:p>
    <w:p>
      <w:pPr>
        <w:pStyle w:val="ListNumber"/>
        <w:spacing w:after="60" w:line="264" w:lineRule="auto"/>
      </w:pPr>
      <w:r>
        <w:rPr>
          <w:b/>
          <w:i w:val="0"/>
          <w:color w:val="14213D"/>
          <w:sz w:val="18"/>
        </w:rPr>
        <w:t>Main Services Grid</w:t>
      </w:r>
      <w:r>
        <w:rPr>
          <w:b w:val="0"/>
          <w:i w:val="0"/>
          <w:color w:val="475569"/>
          <w:sz w:val="18"/>
        </w:rPr>
        <w:t xml:space="preserve"> — all core services in modern card layout.</w:t>
      </w:r>
    </w:p>
    <w:p>
      <w:pPr>
        <w:pStyle w:val="ListNumber"/>
        <w:spacing w:after="60" w:line="264" w:lineRule="auto"/>
      </w:pPr>
      <w:r>
        <w:rPr>
          <w:b/>
          <w:i w:val="0"/>
          <w:color w:val="14213D"/>
          <w:sz w:val="18"/>
        </w:rPr>
        <w:t>Subsidy Advisory Block</w:t>
      </w:r>
      <w:r>
        <w:rPr>
          <w:b w:val="0"/>
          <w:i w:val="0"/>
          <w:color w:val="475569"/>
          <w:sz w:val="18"/>
        </w:rPr>
        <w:t xml:space="preserve"> — Central and Gujarat Government subsidy advisory explanation.</w:t>
      </w:r>
    </w:p>
    <w:p>
      <w:pPr>
        <w:pStyle w:val="ListNumber"/>
        <w:spacing w:after="60" w:line="264" w:lineRule="auto"/>
      </w:pPr>
      <w:r>
        <w:rPr>
          <w:b/>
          <w:i w:val="0"/>
          <w:color w:val="14213D"/>
          <w:sz w:val="18"/>
        </w:rPr>
        <w:t>DPR, Registration &amp; Documentation Block</w:t>
      </w:r>
      <w:r>
        <w:rPr>
          <w:b w:val="0"/>
          <w:i w:val="0"/>
          <w:color w:val="475569"/>
          <w:sz w:val="18"/>
        </w:rPr>
        <w:t xml:space="preserve"> — explain documentation-oriented services.</w:t>
      </w:r>
    </w:p>
    <w:p>
      <w:pPr>
        <w:pStyle w:val="ListNumber"/>
        <w:spacing w:after="60" w:line="264" w:lineRule="auto"/>
      </w:pPr>
      <w:r>
        <w:rPr>
          <w:b/>
          <w:i w:val="0"/>
          <w:color w:val="14213D"/>
          <w:sz w:val="18"/>
        </w:rPr>
        <w:t>Networking &amp; Allied Services Block</w:t>
      </w:r>
      <w:r>
        <w:rPr>
          <w:b w:val="0"/>
          <w:i w:val="0"/>
          <w:color w:val="475569"/>
          <w:sz w:val="18"/>
        </w:rPr>
        <w:t xml:space="preserve"> — machinery suppliers, food technologists, compliance partners, banking and government liaison.</w:t>
      </w:r>
    </w:p>
    <w:p>
      <w:pPr>
        <w:pStyle w:val="ListNumber"/>
        <w:spacing w:after="60" w:line="264" w:lineRule="auto"/>
      </w:pPr>
      <w:r>
        <w:rPr>
          <w:b/>
          <w:i w:val="0"/>
          <w:color w:val="14213D"/>
          <w:sz w:val="18"/>
        </w:rPr>
        <w:t>How Our Service Process Works</w:t>
      </w:r>
      <w:r>
        <w:rPr>
          <w:b w:val="0"/>
          <w:i w:val="0"/>
          <w:color w:val="475569"/>
          <w:sz w:val="18"/>
        </w:rPr>
        <w:t xml:space="preserve"> — 6-step advisory process.</w:t>
      </w:r>
    </w:p>
    <w:p>
      <w:pPr>
        <w:pStyle w:val="ListNumber"/>
        <w:spacing w:after="60" w:line="264" w:lineRule="auto"/>
      </w:pPr>
      <w:r>
        <w:rPr>
          <w:b/>
          <w:i w:val="0"/>
          <w:color w:val="14213D"/>
          <w:sz w:val="18"/>
        </w:rPr>
        <w:t>Who Can Use Our Services</w:t>
      </w:r>
      <w:r>
        <w:rPr>
          <w:b w:val="0"/>
          <w:i w:val="0"/>
          <w:color w:val="475569"/>
          <w:sz w:val="18"/>
        </w:rPr>
        <w:t xml:space="preserve"> — target clients and business types.</w:t>
      </w:r>
    </w:p>
    <w:p>
      <w:pPr>
        <w:pStyle w:val="ListNumber"/>
        <w:spacing w:after="60" w:line="264" w:lineRule="auto"/>
      </w:pPr>
      <w:r>
        <w:rPr>
          <w:b/>
          <w:i w:val="0"/>
          <w:color w:val="14213D"/>
          <w:sz w:val="18"/>
        </w:rPr>
        <w:t>Documents / Inputs Needed Preview</w:t>
      </w:r>
      <w:r>
        <w:rPr>
          <w:b w:val="0"/>
          <w:i w:val="0"/>
          <w:color w:val="475569"/>
          <w:sz w:val="18"/>
        </w:rPr>
        <w:t xml:space="preserve"> — short practical checklist.</w:t>
      </w:r>
    </w:p>
    <w:p>
      <w:pPr>
        <w:pStyle w:val="ListNumber"/>
        <w:spacing w:after="60" w:line="264" w:lineRule="auto"/>
      </w:pPr>
      <w:r>
        <w:rPr>
          <w:b/>
          <w:i w:val="0"/>
          <w:color w:val="14213D"/>
          <w:sz w:val="18"/>
        </w:rPr>
        <w:t>Final Consultation CTA</w:t>
      </w:r>
      <w:r>
        <w:rPr>
          <w:b w:val="0"/>
          <w:i w:val="0"/>
          <w:color w:val="475569"/>
          <w:sz w:val="18"/>
        </w:rPr>
        <w:t xml:space="preserve"> — strong enquiry section with contact trigger.</w:t>
      </w:r>
    </w:p>
    <w:p>
      <w:pPr>
        <w:pStyle w:val="ListNumber"/>
        <w:spacing w:after="60" w:line="264" w:lineRule="auto"/>
      </w:pPr>
      <w:r>
        <w:rPr>
          <w:b/>
          <w:i w:val="0"/>
          <w:color w:val="14213D"/>
          <w:sz w:val="18"/>
        </w:rPr>
        <w:t>Footer</w:t>
      </w:r>
      <w:r>
        <w:rPr>
          <w:b w:val="0"/>
          <w:i w:val="0"/>
          <w:color w:val="475569"/>
          <w:sz w:val="18"/>
        </w:rPr>
        <w:t xml:space="preserve"> — same global footer as home page.</w:t>
      </w:r>
    </w:p>
    <w:p>
      <w:pPr>
        <w:pStyle w:val="Heading2"/>
        <w:spacing w:before="160" w:after="80"/>
      </w:pPr>
      <w:r>
        <w:rPr>
          <w:b/>
          <w:color w:val="14213D"/>
          <w:sz w:val="30"/>
        </w:rPr>
        <w:t>Recommended Services Page H1</w:t>
      </w:r>
    </w:p>
    <w:tbl>
      <w:tblPr>
        <w:tblW w:type="auto" w:w="0"/>
        <w:jc w:val="center"/>
        <w:tblLook w:firstColumn="1" w:firstRow="1" w:lastColumn="0" w:lastRow="0" w:noHBand="0" w:noVBand="1" w:val="04A0"/>
      </w:tblPr>
      <w:tblGrid>
        <w:gridCol w:w="10454"/>
      </w:tblGrid>
      <w:tr>
        <w:tc>
          <w:tcPr>
            <w:tcW w:type="dxa" w:w="10454"/>
            <w:shd w:fill="F4FAFF"/>
            <w:tcBorders>
              <w:top w:val="single" w:sz="8" w:space="0" w:color="1E73BE"/>
              <w:left w:val="single" w:sz="8" w:space="0" w:color="1E73BE"/>
              <w:bottom w:val="single" w:sz="8" w:space="0" w:color="1E73BE"/>
              <w:right w:val="single" w:sz="8" w:space="0" w:color="1E73BE"/>
            </w:tcBorders>
            <w:tcMar>
              <w:top w:w="180" w:type="dxa"/>
              <w:start w:w="180" w:type="dxa"/>
              <w:bottom w:w="180" w:type="dxa"/>
              <w:end w:w="180" w:type="dxa"/>
            </w:tcMar>
          </w:tcPr>
          <w:p>
            <w:pPr>
              <w:spacing w:after="40"/>
            </w:pPr>
            <w:r/>
            <w:r>
              <w:rPr>
                <w:b/>
                <w:i w:val="0"/>
                <w:color w:val="14213D"/>
                <w:sz w:val="20"/>
              </w:rPr>
              <w:t>H1 Title</w:t>
            </w:r>
          </w:p>
          <w:p>
            <w:pPr>
              <w:spacing w:after="0" w:line="259" w:lineRule="auto"/>
            </w:pPr>
            <w:r>
              <w:rPr>
                <w:b w:val="0"/>
                <w:i w:val="0"/>
                <w:color w:val="475569"/>
                <w:sz w:val="18"/>
              </w:rPr>
              <w:t>Complete Subsidy &amp; Business Advisory Services</w:t>
            </w:r>
          </w:p>
        </w:tc>
      </w:tr>
    </w:tbl>
    <w:p>
      <w:pPr>
        <w:spacing w:after="40"/>
      </w:pPr>
    </w:p>
    <w:p>
      <w:pPr>
        <w:spacing w:after="120"/>
      </w:pPr>
      <w:r>
        <w:rPr>
          <w:b w:val="0"/>
          <w:i w:val="0"/>
          <w:color w:val="D7E7F3"/>
          <w:sz w:val="16"/>
        </w:rPr>
        <w:t>——————————————————————————————————————————</w:t>
      </w:r>
    </w:p>
    <w:p>
      <w:pPr>
        <w:spacing w:after="80"/>
        <w:jc w:val="left"/>
      </w:pPr>
      <w:r>
        <w:rPr>
          <w:b/>
          <w:color w:val="0D7C83"/>
          <w:sz w:val="18"/>
        </w:rPr>
        <w:t>[ SECTION 01 ]</w:t>
      </w:r>
    </w:p>
    <w:p>
      <w:pPr>
        <w:pStyle w:val="Heading1"/>
        <w:spacing w:before="200" w:after="80"/>
      </w:pPr>
      <w:r>
        <w:rPr>
          <w:b/>
          <w:color w:val="14213D"/>
          <w:sz w:val="40"/>
        </w:rPr>
        <w:t>Hero Section</w:t>
      </w:r>
    </w:p>
    <w:p>
      <w:pPr>
        <w:spacing w:after="120" w:line="276" w:lineRule="auto"/>
      </w:pPr>
      <w:r>
        <w:rPr>
          <w:b w:val="0"/>
          <w:i w:val="0"/>
          <w:color w:val="475569"/>
          <w:sz w:val="19"/>
        </w:rPr>
        <w:t>The hero should immediately explain that this page contains all major services offered by Subsidy Gyaan. It should look clean, bright and advisory-focused, with a soft blue-green background and a right-side visual of documents, approval, consultation and growth.</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160"/>
            <w:shd w:fill="1E73BE"/>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Part</w:t>
            </w:r>
          </w:p>
        </w:tc>
        <w:tc>
          <w:tcPr>
            <w:tcW w:type="dxa" w:w="7344"/>
            <w:shd w:fill="1E73BE"/>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Content / Placement</w:t>
            </w:r>
          </w:p>
        </w:tc>
      </w:tr>
      <w:tr>
        <w:tc>
          <w:tcPr>
            <w:tcW w:type="dxa" w:w="216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Small Label</w:t>
            </w:r>
          </w:p>
        </w:tc>
        <w:tc>
          <w:tcPr>
            <w:tcW w:type="dxa" w:w="734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 Services ]</w:t>
            </w:r>
          </w:p>
        </w:tc>
      </w:tr>
      <w:tr>
        <w:tc>
          <w:tcPr>
            <w:tcW w:type="dxa" w:w="2160"/>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Brand Line</w:t>
            </w:r>
          </w:p>
        </w:tc>
        <w:tc>
          <w:tcPr>
            <w:tcW w:type="dxa" w:w="734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Gyaan se Pragati, Salah se Samriddhi</w:t>
            </w:r>
          </w:p>
        </w:tc>
      </w:tr>
      <w:tr>
        <w:tc>
          <w:tcPr>
            <w:tcW w:type="dxa" w:w="216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Main Title</w:t>
            </w:r>
          </w:p>
        </w:tc>
        <w:tc>
          <w:tcPr>
            <w:tcW w:type="dxa" w:w="734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Complete Subsidy &amp; Business Advisory Services</w:t>
            </w:r>
          </w:p>
        </w:tc>
      </w:tr>
      <w:tr>
        <w:tc>
          <w:tcPr>
            <w:tcW w:type="dxa" w:w="2160"/>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Description</w:t>
            </w:r>
          </w:p>
        </w:tc>
        <w:tc>
          <w:tcPr>
            <w:tcW w:type="dxa" w:w="734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From subsidy eligibility guidance to DPR preparation, registrations, documentation, banking liaison and government follow-up, Subsidy Gyaan supports entrepreneurs and industries through every important stage of subsidy availment.</w:t>
            </w:r>
          </w:p>
        </w:tc>
      </w:tr>
      <w:tr>
        <w:tc>
          <w:tcPr>
            <w:tcW w:type="dxa" w:w="216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Primary CTA</w:t>
            </w:r>
          </w:p>
        </w:tc>
        <w:tc>
          <w:tcPr>
            <w:tcW w:type="dxa" w:w="734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Check Subsidy Eligibility</w:t>
            </w:r>
          </w:p>
        </w:tc>
      </w:tr>
      <w:tr>
        <w:tc>
          <w:tcPr>
            <w:tcW w:type="dxa" w:w="2160"/>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Secondary CTA</w:t>
            </w:r>
          </w:p>
        </w:tc>
        <w:tc>
          <w:tcPr>
            <w:tcW w:type="dxa" w:w="734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Talk to Our Expert</w:t>
            </w:r>
          </w:p>
        </w:tc>
      </w:tr>
      <w:tr>
        <w:tc>
          <w:tcPr>
            <w:tcW w:type="dxa" w:w="216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Right Visual</w:t>
            </w:r>
          </w:p>
        </w:tc>
        <w:tc>
          <w:tcPr>
            <w:tcW w:type="dxa" w:w="734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Illustration or image composition showing consultant, subsidy documents, approval stamp, growth chart, government building icon and floating service labels.</w:t>
            </w:r>
          </w:p>
        </w:tc>
      </w:tr>
    </w:tbl>
    <w:p>
      <w:pPr>
        <w:spacing w:after="60"/>
      </w:pPr>
    </w:p>
    <w:p>
      <w:pPr>
        <w:pStyle w:val="Heading2"/>
        <w:spacing w:before="160" w:after="80"/>
      </w:pPr>
      <w:r>
        <w:rPr>
          <w:b/>
          <w:color w:val="14213D"/>
          <w:sz w:val="30"/>
        </w:rPr>
        <w:t>Hero Visual Notes</w:t>
      </w:r>
    </w:p>
    <w:p>
      <w:pPr>
        <w:pStyle w:val="ListBullet"/>
        <w:spacing w:after="40" w:line="264" w:lineRule="auto"/>
      </w:pPr>
      <w:r>
        <w:rPr>
          <w:b w:val="0"/>
          <w:i w:val="0"/>
          <w:color w:val="475569"/>
          <w:sz w:val="18"/>
        </w:rPr>
        <w:t>Use the same header and footer style as the Home page document.</w:t>
      </w:r>
    </w:p>
    <w:p>
      <w:pPr>
        <w:pStyle w:val="ListBullet"/>
        <w:spacing w:after="40" w:line="264" w:lineRule="auto"/>
      </w:pPr>
      <w:r>
        <w:rPr>
          <w:b w:val="0"/>
          <w:i w:val="0"/>
          <w:color w:val="475569"/>
          <w:sz w:val="18"/>
        </w:rPr>
        <w:t>Hero background can use soft gradient: #F4FAFF to #F5FBF7.</w:t>
      </w:r>
    </w:p>
    <w:p>
      <w:pPr>
        <w:pStyle w:val="ListBullet"/>
        <w:spacing w:after="40" w:line="264" w:lineRule="auto"/>
      </w:pPr>
      <w:r>
        <w:rPr>
          <w:b w:val="0"/>
          <w:i w:val="0"/>
          <w:color w:val="475569"/>
          <w:sz w:val="18"/>
        </w:rPr>
        <w:t>Show subtle floating tags like DPR, Udyam, FSSAI, GST, PMFME, MSME and Gujarat Subsidy.</w:t>
      </w:r>
    </w:p>
    <w:p>
      <w:pPr>
        <w:pStyle w:val="ListBullet"/>
        <w:spacing w:after="40" w:line="264" w:lineRule="auto"/>
      </w:pPr>
      <w:r>
        <w:rPr>
          <w:b w:val="0"/>
          <w:i w:val="0"/>
          <w:color w:val="475569"/>
          <w:sz w:val="18"/>
        </w:rPr>
        <w:t>Do not make the hero too busy. Keep a strong headline and clear CTA.</w:t>
      </w:r>
    </w:p>
    <w:p>
      <w:pPr>
        <w:spacing w:after="120"/>
      </w:pPr>
      <w:r>
        <w:rPr>
          <w:b w:val="0"/>
          <w:i w:val="0"/>
          <w:color w:val="D7E7F3"/>
          <w:sz w:val="16"/>
        </w:rPr>
        <w:t>——————————————————————————————————————————</w:t>
      </w:r>
    </w:p>
    <w:p>
      <w:pPr>
        <w:spacing w:after="80"/>
        <w:jc w:val="left"/>
      </w:pPr>
      <w:r>
        <w:rPr>
          <w:b/>
          <w:color w:val="0D7C83"/>
          <w:sz w:val="18"/>
        </w:rPr>
        <w:t>[ SECTION 02 ]</w:t>
      </w:r>
    </w:p>
    <w:p>
      <w:pPr>
        <w:pStyle w:val="Heading1"/>
        <w:spacing w:before="200" w:after="80"/>
      </w:pPr>
      <w:r>
        <w:rPr>
          <w:b/>
          <w:color w:val="14213D"/>
          <w:sz w:val="40"/>
        </w:rPr>
        <w:t>Service Overview Strip</w:t>
      </w:r>
    </w:p>
    <w:p>
      <w:pPr>
        <w:spacing w:after="120" w:line="276" w:lineRule="auto"/>
      </w:pPr>
      <w:r>
        <w:rPr>
          <w:b w:val="0"/>
          <w:i w:val="0"/>
          <w:color w:val="475569"/>
          <w:sz w:val="19"/>
        </w:rPr>
        <w:t>Place this directly after the hero as a short trust-building strip. It should summarize the service scope before visitors enter the detailed service grid.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3024"/>
            <w:shd w:fill="0D7C83"/>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Pillar</w:t>
            </w:r>
          </w:p>
        </w:tc>
        <w:tc>
          <w:tcPr>
            <w:tcW w:type="dxa" w:w="6480"/>
            <w:shd w:fill="0D7C83"/>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Short Label</w:t>
            </w:r>
          </w:p>
        </w:tc>
      </w:tr>
      <w:tr>
        <w:tc>
          <w:tcPr>
            <w:tcW w:type="dxa" w:w="302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Subsidy Advisory</w:t>
            </w:r>
          </w:p>
        </w:tc>
        <w:tc>
          <w:tcPr>
            <w:tcW w:type="dxa" w:w="648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Central &amp; Gujarat Government schemes</w:t>
            </w:r>
          </w:p>
        </w:tc>
      </w:tr>
      <w:tr>
        <w:tc>
          <w:tcPr>
            <w:tcW w:type="dxa" w:w="302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DPR Preparation</w:t>
            </w:r>
          </w:p>
        </w:tc>
        <w:tc>
          <w:tcPr>
            <w:tcW w:type="dxa" w:w="6480"/>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Bank and government-ready project reports</w:t>
            </w:r>
          </w:p>
        </w:tc>
      </w:tr>
      <w:tr>
        <w:tc>
          <w:tcPr>
            <w:tcW w:type="dxa" w:w="302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Registrations</w:t>
            </w:r>
          </w:p>
        </w:tc>
        <w:tc>
          <w:tcPr>
            <w:tcW w:type="dxa" w:w="648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Udyam, FSSAI, GST, IEC and compliance support</w:t>
            </w:r>
          </w:p>
        </w:tc>
      </w:tr>
      <w:tr>
        <w:tc>
          <w:tcPr>
            <w:tcW w:type="dxa" w:w="302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Liaison Support</w:t>
            </w:r>
          </w:p>
        </w:tc>
        <w:tc>
          <w:tcPr>
            <w:tcW w:type="dxa" w:w="6480"/>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Banking, financial and government coordination</w:t>
            </w:r>
          </w:p>
        </w:tc>
      </w:tr>
      <w:tr>
        <w:tc>
          <w:tcPr>
            <w:tcW w:type="dxa" w:w="302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Ecosystem Access</w:t>
            </w:r>
          </w:p>
        </w:tc>
        <w:tc>
          <w:tcPr>
            <w:tcW w:type="dxa" w:w="648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Machinery, food technology and compliance partner network</w:t>
            </w:r>
          </w:p>
        </w:tc>
      </w:tr>
    </w:tbl>
    <w:p>
      <w:pPr>
        <w:spacing w:after="60"/>
      </w:pPr>
    </w:p>
    <w:p>
      <w:pPr>
        <w:pStyle w:val="Heading2"/>
        <w:spacing w:before="160" w:after="80"/>
      </w:pPr>
      <w:r>
        <w:rPr>
          <w:b/>
          <w:color w:val="14213D"/>
          <w:sz w:val="30"/>
        </w:rPr>
        <w:t>Design Style</w:t>
      </w:r>
    </w:p>
    <w:p>
      <w:pPr>
        <w:pStyle w:val="ListBullet"/>
        <w:spacing w:after="40" w:line="264" w:lineRule="auto"/>
      </w:pPr>
      <w:r>
        <w:rPr>
          <w:b w:val="0"/>
          <w:i w:val="0"/>
          <w:color w:val="475569"/>
          <w:sz w:val="18"/>
        </w:rPr>
        <w:t>Use one rounded white container overlapping hero bottom slightly.</w:t>
      </w:r>
    </w:p>
    <w:p>
      <w:pPr>
        <w:pStyle w:val="ListBullet"/>
        <w:spacing w:after="40" w:line="264" w:lineRule="auto"/>
      </w:pPr>
      <w:r>
        <w:rPr>
          <w:b w:val="0"/>
          <w:i w:val="0"/>
          <w:color w:val="475569"/>
          <w:sz w:val="18"/>
        </w:rPr>
        <w:t>Five compact columns on desktop, two columns on tablet, one column on mobile.</w:t>
      </w:r>
    </w:p>
    <w:p>
      <w:pPr>
        <w:pStyle w:val="ListBullet"/>
        <w:spacing w:after="40" w:line="264" w:lineRule="auto"/>
      </w:pPr>
      <w:r>
        <w:rPr>
          <w:b w:val="0"/>
          <w:i w:val="0"/>
          <w:color w:val="475569"/>
          <w:sz w:val="18"/>
        </w:rPr>
        <w:t>Each item should have a simple line icon and 1-line text.</w:t>
      </w:r>
    </w:p>
    <w:p>
      <w:pPr>
        <w:spacing w:after="120"/>
      </w:pPr>
      <w:r>
        <w:rPr>
          <w:b w:val="0"/>
          <w:i w:val="0"/>
          <w:color w:val="D7E7F3"/>
          <w:sz w:val="16"/>
        </w:rPr>
        <w:t>——————————————————————————————————————————</w:t>
      </w:r>
    </w:p>
    <w:p>
      <w:pPr>
        <w:spacing w:after="80"/>
        <w:jc w:val="left"/>
      </w:pPr>
      <w:r>
        <w:rPr>
          <w:b/>
          <w:color w:val="0D7C83"/>
          <w:sz w:val="18"/>
        </w:rPr>
        <w:t>[ SECTION 03 ]</w:t>
      </w:r>
    </w:p>
    <w:p>
      <w:pPr>
        <w:pStyle w:val="Heading1"/>
        <w:spacing w:before="200" w:after="80"/>
      </w:pPr>
      <w:r>
        <w:rPr>
          <w:b/>
          <w:color w:val="14213D"/>
          <w:sz w:val="40"/>
        </w:rPr>
        <w:t>Main Services Grid</w:t>
      </w:r>
    </w:p>
    <w:p>
      <w:pPr>
        <w:spacing w:after="120" w:line="276" w:lineRule="auto"/>
      </w:pPr>
      <w:r>
        <w:rPr>
          <w:b w:val="0"/>
          <w:i w:val="0"/>
          <w:color w:val="475569"/>
          <w:sz w:val="19"/>
        </w:rPr>
        <w:t>This is the main section of the Services page. Use a modern card grid with 8 service cards. Each card should have a title, 3-line explanation, small icon, card number and a hover arrow.</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792"/>
            <w:shd w:fill="1E73BE"/>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No.</w:t>
            </w:r>
          </w:p>
        </w:tc>
        <w:tc>
          <w:tcPr>
            <w:tcW w:type="dxa" w:w="3168"/>
            <w:shd w:fill="1E73BE"/>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Service Card Title</w:t>
            </w:r>
          </w:p>
        </w:tc>
        <w:tc>
          <w:tcPr>
            <w:tcW w:type="dxa" w:w="5544"/>
            <w:shd w:fill="1E73BE"/>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Card Description</w:t>
            </w:r>
          </w:p>
        </w:tc>
      </w:tr>
      <w:tr>
        <w:tc>
          <w:tcPr>
            <w:tcW w:type="dxa" w:w="792"/>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01</w:t>
            </w:r>
          </w:p>
        </w:tc>
        <w:tc>
          <w:tcPr>
            <w:tcW w:type="dxa" w:w="3168"/>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Central Government Subsidy Advisory</w:t>
            </w:r>
          </w:p>
        </w:tc>
        <w:tc>
          <w:tcPr>
            <w:tcW w:type="dxa" w:w="554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Guidance for schemes such as PMFME, NABARD / AMIGS, AIF, EPCG, APEDA, Cold Storage, MOFPI and Biomass / Renewable Energy subsidy opportunities.</w:t>
            </w:r>
          </w:p>
        </w:tc>
      </w:tr>
      <w:tr>
        <w:tc>
          <w:tcPr>
            <w:tcW w:type="dxa" w:w="792"/>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02</w:t>
            </w:r>
          </w:p>
        </w:tc>
        <w:tc>
          <w:tcPr>
            <w:tcW w:type="dxa" w:w="3168"/>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Gujarat Government Subsidy Advisory</w:t>
            </w:r>
          </w:p>
        </w:tc>
        <w:tc>
          <w:tcPr>
            <w:tcW w:type="dxa" w:w="554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Support for Gujarat-based units to understand MSME assistance, textile incentives, logistic park assistance, electric duty benefits, marketing support and sector policies.</w:t>
            </w:r>
          </w:p>
        </w:tc>
      </w:tr>
      <w:tr>
        <w:tc>
          <w:tcPr>
            <w:tcW w:type="dxa" w:w="792"/>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03</w:t>
            </w:r>
          </w:p>
        </w:tc>
        <w:tc>
          <w:tcPr>
            <w:tcW w:type="dxa" w:w="3168"/>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Detailed Project Report Preparation</w:t>
            </w:r>
          </w:p>
        </w:tc>
        <w:tc>
          <w:tcPr>
            <w:tcW w:type="dxa" w:w="554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Preparation of DPRs structured for government requirements, banking standards, viability analysis, financial projections and subsidy optimization.</w:t>
            </w:r>
          </w:p>
        </w:tc>
      </w:tr>
      <w:tr>
        <w:tc>
          <w:tcPr>
            <w:tcW w:type="dxa" w:w="792"/>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04</w:t>
            </w:r>
          </w:p>
        </w:tc>
        <w:tc>
          <w:tcPr>
            <w:tcW w:type="dxa" w:w="3168"/>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Registration &amp; Certification Services</w:t>
            </w:r>
          </w:p>
        </w:tc>
        <w:tc>
          <w:tcPr>
            <w:tcW w:type="dxa" w:w="554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Facilitation support for Udyam, FSSAI, GST, Import Export License and other industry-specific certificates required for eligibility and compliance.</w:t>
            </w:r>
          </w:p>
        </w:tc>
      </w:tr>
      <w:tr>
        <w:tc>
          <w:tcPr>
            <w:tcW w:type="dxa" w:w="792"/>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05</w:t>
            </w:r>
          </w:p>
        </w:tc>
        <w:tc>
          <w:tcPr>
            <w:tcW w:type="dxa" w:w="3168"/>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Banking &amp; Financial Liaison</w:t>
            </w:r>
          </w:p>
        </w:tc>
        <w:tc>
          <w:tcPr>
            <w:tcW w:type="dxa" w:w="554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Coordination support with term loan providers, financial institutions and bank documentation for subsidy-linked projects and project finance.</w:t>
            </w:r>
          </w:p>
        </w:tc>
      </w:tr>
      <w:tr>
        <w:tc>
          <w:tcPr>
            <w:tcW w:type="dxa" w:w="792"/>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06</w:t>
            </w:r>
          </w:p>
        </w:tc>
        <w:tc>
          <w:tcPr>
            <w:tcW w:type="dxa" w:w="3168"/>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Government Liaison &amp; Follow-Up</w:t>
            </w:r>
          </w:p>
        </w:tc>
        <w:tc>
          <w:tcPr>
            <w:tcW w:type="dxa" w:w="554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Application flow support, department coordination, nodal agency follow-up and document readiness to reduce delays and rejection risk.</w:t>
            </w:r>
          </w:p>
        </w:tc>
      </w:tr>
      <w:tr>
        <w:tc>
          <w:tcPr>
            <w:tcW w:type="dxa" w:w="792"/>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07</w:t>
            </w:r>
          </w:p>
        </w:tc>
        <w:tc>
          <w:tcPr>
            <w:tcW w:type="dxa" w:w="3168"/>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Machinery Supplier Networking</w:t>
            </w:r>
          </w:p>
        </w:tc>
        <w:tc>
          <w:tcPr>
            <w:tcW w:type="dxa" w:w="554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Access to trusted equipment and machinery vendors relevant to food processing, manufacturing and industrial setup needs.</w:t>
            </w:r>
          </w:p>
        </w:tc>
      </w:tr>
      <w:tr>
        <w:tc>
          <w:tcPr>
            <w:tcW w:type="dxa" w:w="792"/>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08</w:t>
            </w:r>
          </w:p>
        </w:tc>
        <w:tc>
          <w:tcPr>
            <w:tcW w:type="dxa" w:w="3168"/>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Food Technologist &amp; Compliance Support</w:t>
            </w:r>
          </w:p>
        </w:tc>
        <w:tc>
          <w:tcPr>
            <w:tcW w:type="dxa" w:w="554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Expert ecosystem support for food processing units, micro food processors, gruh udyog and businesses needing technical compliance guidance.</w:t>
            </w:r>
          </w:p>
        </w:tc>
      </w:tr>
    </w:tbl>
    <w:p>
      <w:pPr>
        <w:spacing w:after="60"/>
      </w:pPr>
    </w:p>
    <w:p>
      <w:pPr>
        <w:pStyle w:val="Heading2"/>
        <w:spacing w:before="160" w:after="80"/>
      </w:pPr>
      <w:r>
        <w:rPr>
          <w:b/>
          <w:color w:val="14213D"/>
          <w:sz w:val="30"/>
        </w:rPr>
        <w:t>Card UI Direction</w:t>
      </w:r>
    </w:p>
    <w:p>
      <w:pPr>
        <w:pStyle w:val="ListBullet"/>
        <w:spacing w:after="40" w:line="264" w:lineRule="auto"/>
      </w:pPr>
      <w:r>
        <w:rPr>
          <w:b w:val="0"/>
          <w:i w:val="0"/>
          <w:color w:val="475569"/>
          <w:sz w:val="18"/>
        </w:rPr>
        <w:t>Desktop: 4 cards per row or 3 cards per row depending on available section width.</w:t>
      </w:r>
    </w:p>
    <w:p>
      <w:pPr>
        <w:pStyle w:val="ListBullet"/>
        <w:spacing w:after="40" w:line="264" w:lineRule="auto"/>
      </w:pPr>
      <w:r>
        <w:rPr>
          <w:b w:val="0"/>
          <w:i w:val="0"/>
          <w:color w:val="475569"/>
          <w:sz w:val="18"/>
        </w:rPr>
        <w:t>Each card: white background, thin #E4ECF3 border, top-right number, icon circle, title, short text, small arrow.</w:t>
      </w:r>
    </w:p>
    <w:p>
      <w:pPr>
        <w:pStyle w:val="ListBullet"/>
        <w:spacing w:after="40" w:line="264" w:lineRule="auto"/>
      </w:pPr>
      <w:r>
        <w:rPr>
          <w:b w:val="0"/>
          <w:i w:val="0"/>
          <w:color w:val="475569"/>
          <w:sz w:val="18"/>
        </w:rPr>
        <w:t>Hover: lift card slightly, blue/green border glow, arrow slides right.</w:t>
      </w:r>
    </w:p>
    <w:p>
      <w:pPr>
        <w:pStyle w:val="ListBullet"/>
        <w:spacing w:after="40" w:line="264" w:lineRule="auto"/>
      </w:pPr>
      <w:r>
        <w:rPr>
          <w:b w:val="0"/>
          <w:i w:val="0"/>
          <w:color w:val="475569"/>
          <w:sz w:val="18"/>
        </w:rPr>
        <w:t>Mobile: 1 card per row with comfortable spacing.</w:t>
      </w:r>
    </w:p>
    <w:p>
      <w:pPr>
        <w:spacing w:after="120"/>
      </w:pPr>
      <w:r>
        <w:rPr>
          <w:b w:val="0"/>
          <w:i w:val="0"/>
          <w:color w:val="D7E7F3"/>
          <w:sz w:val="16"/>
        </w:rPr>
        <w:t>——————————————————————————————————————————</w:t>
      </w:r>
    </w:p>
    <w:p>
      <w:pPr>
        <w:spacing w:after="80"/>
        <w:jc w:val="left"/>
      </w:pPr>
      <w:r>
        <w:rPr>
          <w:b/>
          <w:color w:val="0D7C83"/>
          <w:sz w:val="18"/>
        </w:rPr>
        <w:t>[ SECTION 04 ]</w:t>
      </w:r>
    </w:p>
    <w:p>
      <w:pPr>
        <w:pStyle w:val="Heading1"/>
        <w:spacing w:before="200" w:after="80"/>
      </w:pPr>
      <w:r>
        <w:rPr>
          <w:b/>
          <w:color w:val="14213D"/>
          <w:sz w:val="40"/>
        </w:rPr>
        <w:t>Subsidy Advisory Block</w:t>
      </w:r>
    </w:p>
    <w:p>
      <w:pPr>
        <w:spacing w:after="120" w:line="276" w:lineRule="auto"/>
      </w:pPr>
      <w:r>
        <w:rPr>
          <w:b w:val="0"/>
          <w:i w:val="0"/>
          <w:color w:val="475569"/>
          <w:sz w:val="19"/>
        </w:rPr>
        <w:t>After the main grid, create a visually strong two-column section explaining the most important service: subsidy advisory for Central and Gujarat Government schemes.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4752"/>
            <w:shd w:fill="0D7C83"/>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Left Column</w:t>
            </w:r>
          </w:p>
        </w:tc>
        <w:tc>
          <w:tcPr>
            <w:tcW w:type="dxa" w:w="4752"/>
            <w:shd w:fill="0D7C83"/>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Right Column</w:t>
            </w:r>
          </w:p>
        </w:tc>
      </w:tr>
      <w:tr>
        <w:tc>
          <w:tcPr>
            <w:tcW w:type="dxa" w:w="4752"/>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i w:val="0"/>
                <w:color w:val="0D7C83"/>
                <w:sz w:val="16"/>
              </w:rPr>
              <w:t>Central Government Subsidy Advisory</w:t>
            </w:r>
            <w:r>
              <w:rPr>
                <w:b w:val="0"/>
                <w:i w:val="0"/>
                <w:color w:val="475569"/>
                <w:sz w:val="16"/>
              </w:rPr>
              <w:br/>
              <w:t>Best for national schemes related to food processing, agriculture infrastructure, export promotion, cold storage, capital equipment, renewable energy and MSME-linked benefits.</w:t>
            </w:r>
          </w:p>
        </w:tc>
        <w:tc>
          <w:tcPr>
            <w:tcW w:type="dxa" w:w="4752"/>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i w:val="0"/>
                <w:color w:val="0D7C83"/>
                <w:sz w:val="16"/>
              </w:rPr>
              <w:t>Gujarat Government Subsidy Advisory</w:t>
            </w:r>
            <w:r>
              <w:rPr>
                <w:b w:val="0"/>
                <w:i w:val="0"/>
                <w:color w:val="475569"/>
                <w:sz w:val="16"/>
              </w:rPr>
              <w:br/>
              <w:t>Best for Gujarat-based entrepreneurs, MSMEs, textile units, logistics projects, manufacturing units, large projects and sector-specific policy benefits.</w:t>
            </w:r>
          </w:p>
        </w:tc>
      </w:tr>
      <w:tr>
        <w:tc>
          <w:tcPr>
            <w:tcW w:type="dxa" w:w="4752"/>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i w:val="0"/>
                <w:color w:val="0D7C83"/>
                <w:sz w:val="16"/>
              </w:rPr>
              <w:t>Suggested visual</w:t>
            </w:r>
            <w:r>
              <w:rPr>
                <w:b w:val="0"/>
                <w:i w:val="0"/>
                <w:color w:val="475569"/>
                <w:sz w:val="16"/>
              </w:rPr>
              <w:br/>
              <w:t>Soft blue card with India map / government document icon.</w:t>
            </w:r>
          </w:p>
        </w:tc>
        <w:tc>
          <w:tcPr>
            <w:tcW w:type="dxa" w:w="4752"/>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i w:val="0"/>
                <w:color w:val="0D7C83"/>
                <w:sz w:val="16"/>
              </w:rPr>
              <w:t>Suggested visual</w:t>
            </w:r>
            <w:r>
              <w:rPr>
                <w:b w:val="0"/>
                <w:i w:val="0"/>
                <w:color w:val="475569"/>
                <w:sz w:val="16"/>
              </w:rPr>
              <w:br/>
              <w:t>Soft green card with Gujarat map / industrial growth icon.</w:t>
            </w:r>
          </w:p>
        </w:tc>
      </w:tr>
      <w:tr>
        <w:tc>
          <w:tcPr>
            <w:tcW w:type="dxa" w:w="4752"/>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i w:val="0"/>
                <w:color w:val="0D7C83"/>
                <w:sz w:val="16"/>
              </w:rPr>
              <w:t>CTA</w:t>
            </w:r>
            <w:r>
              <w:rPr>
                <w:b w:val="0"/>
                <w:i w:val="0"/>
                <w:color w:val="475569"/>
                <w:sz w:val="16"/>
              </w:rPr>
              <w:br/>
              <w:t>View Central Subsidies</w:t>
            </w:r>
          </w:p>
        </w:tc>
        <w:tc>
          <w:tcPr>
            <w:tcW w:type="dxa" w:w="4752"/>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i w:val="0"/>
                <w:color w:val="0D7C83"/>
                <w:sz w:val="16"/>
              </w:rPr>
              <w:t>CTA</w:t>
            </w:r>
            <w:r>
              <w:rPr>
                <w:b w:val="0"/>
                <w:i w:val="0"/>
                <w:color w:val="475569"/>
                <w:sz w:val="16"/>
              </w:rPr>
              <w:br/>
              <w:t>View Gujarat Subsidies</w:t>
            </w:r>
          </w:p>
        </w:tc>
      </w:tr>
    </w:tbl>
    <w:p>
      <w:pPr>
        <w:spacing w:after="60"/>
      </w:pPr>
    </w:p>
    <w:p>
      <w:pPr>
        <w:pStyle w:val="Heading2"/>
        <w:spacing w:before="160" w:after="80"/>
      </w:pPr>
      <w:r>
        <w:rPr>
          <w:b/>
          <w:color w:val="14213D"/>
          <w:sz w:val="30"/>
        </w:rPr>
        <w:t>Section Copy</w:t>
      </w:r>
    </w:p>
    <w:p>
      <w:pPr>
        <w:spacing w:after="120" w:line="276" w:lineRule="auto"/>
      </w:pPr>
      <w:r>
        <w:rPr>
          <w:b w:val="0"/>
          <w:i w:val="0"/>
          <w:color w:val="475569"/>
          <w:sz w:val="19"/>
        </w:rPr>
        <w:t>Subsidy schemes can be complex because eligibility depends on investment, industry, location, documents, policy conditions and department verification. Subsidy Gyaan helps businesses understand which schemes may apply, what documents are needed and how to move forward with a structured subsidy strategy.</w:t>
      </w:r>
    </w:p>
    <w:p>
      <w:pPr>
        <w:spacing w:after="120"/>
      </w:pPr>
      <w:r>
        <w:rPr>
          <w:b w:val="0"/>
          <w:i w:val="0"/>
          <w:color w:val="D7E7F3"/>
          <w:sz w:val="16"/>
        </w:rPr>
        <w:t>——————————————————————————————————————————</w:t>
      </w:r>
    </w:p>
    <w:p>
      <w:pPr>
        <w:spacing w:after="80"/>
        <w:jc w:val="left"/>
      </w:pPr>
      <w:r>
        <w:rPr>
          <w:b/>
          <w:color w:val="0D7C83"/>
          <w:sz w:val="18"/>
        </w:rPr>
        <w:t>[ SECTION 05 ]</w:t>
      </w:r>
    </w:p>
    <w:p>
      <w:pPr>
        <w:pStyle w:val="Heading1"/>
        <w:spacing w:before="200" w:after="80"/>
      </w:pPr>
      <w:r>
        <w:rPr>
          <w:b/>
          <w:color w:val="14213D"/>
          <w:sz w:val="40"/>
        </w:rPr>
        <w:t>DPR, Registration &amp; Documentation Block</w:t>
      </w:r>
    </w:p>
    <w:p>
      <w:pPr>
        <w:spacing w:after="120" w:line="276" w:lineRule="auto"/>
      </w:pPr>
      <w:r>
        <w:rPr>
          <w:b w:val="0"/>
          <w:i w:val="0"/>
          <w:color w:val="475569"/>
          <w:sz w:val="19"/>
        </w:rPr>
        <w:t>This section should explain practical execution services. It should feel document-focused and reliable because many visitors may need help preparing applications, reports and compliance files.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3168"/>
            <w:shd w:fill="F28C28"/>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Service Area</w:t>
            </w:r>
          </w:p>
        </w:tc>
        <w:tc>
          <w:tcPr>
            <w:tcW w:type="dxa" w:w="6336"/>
            <w:shd w:fill="F28C28"/>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What to Show on Page</w:t>
            </w:r>
          </w:p>
        </w:tc>
      </w:tr>
      <w:tr>
        <w:tc>
          <w:tcPr>
            <w:tcW w:type="dxa" w:w="3168"/>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Detailed Project Report (DPR)</w:t>
            </w:r>
          </w:p>
        </w:tc>
        <w:tc>
          <w:tcPr>
            <w:tcW w:type="dxa" w:w="6336"/>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Comprehensive DPR preparation, project viability analysis, financial projections, technical specifications, scheme-wise structuring and subsidy optimization strategy.</w:t>
            </w:r>
          </w:p>
        </w:tc>
      </w:tr>
      <w:tr>
        <w:tc>
          <w:tcPr>
            <w:tcW w:type="dxa" w:w="3168"/>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Registration &amp; Certification</w:t>
            </w:r>
          </w:p>
        </w:tc>
        <w:tc>
          <w:tcPr>
            <w:tcW w:type="dxa" w:w="6336"/>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Udyam Registration, FSSAI Certificate, GST Certificate, GST compliance advisory, Import Export License and other industry-specific certificates.</w:t>
            </w:r>
          </w:p>
        </w:tc>
      </w:tr>
      <w:tr>
        <w:tc>
          <w:tcPr>
            <w:tcW w:type="dxa" w:w="3168"/>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Documentation Readiness</w:t>
            </w:r>
          </w:p>
        </w:tc>
        <w:tc>
          <w:tcPr>
            <w:tcW w:type="dxa" w:w="6336"/>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Business documents, project documents, financial documents, machinery details, certificates and eligibility-related application files.</w:t>
            </w:r>
          </w:p>
        </w:tc>
      </w:tr>
      <w:tr>
        <w:tc>
          <w:tcPr>
            <w:tcW w:type="dxa" w:w="3168"/>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Compliance Guidance</w:t>
            </w:r>
          </w:p>
        </w:tc>
        <w:tc>
          <w:tcPr>
            <w:tcW w:type="dxa" w:w="6336"/>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Compliance-first approach to reduce rejection risk and improve clarity before subsidy or loan submission.</w:t>
            </w:r>
          </w:p>
        </w:tc>
      </w:tr>
    </w:tbl>
    <w:p>
      <w:pPr>
        <w:spacing w:after="60"/>
      </w:pPr>
    </w:p>
    <w:p>
      <w:pPr>
        <w:pStyle w:val="Heading2"/>
        <w:spacing w:before="160" w:after="80"/>
      </w:pPr>
      <w:r>
        <w:rPr>
          <w:b/>
          <w:color w:val="14213D"/>
          <w:sz w:val="30"/>
        </w:rPr>
        <w:t>Layout Direction</w:t>
      </w:r>
    </w:p>
    <w:p>
      <w:pPr>
        <w:pStyle w:val="ListBullet"/>
        <w:spacing w:after="40" w:line="264" w:lineRule="auto"/>
      </w:pPr>
      <w:r>
        <w:rPr>
          <w:b w:val="0"/>
          <w:i w:val="0"/>
          <w:color w:val="475569"/>
          <w:sz w:val="18"/>
        </w:rPr>
        <w:t>Use left side image block: clean desk with reports, approval stamp and business documents.</w:t>
      </w:r>
    </w:p>
    <w:p>
      <w:pPr>
        <w:pStyle w:val="ListBullet"/>
        <w:spacing w:after="40" w:line="264" w:lineRule="auto"/>
      </w:pPr>
      <w:r>
        <w:rPr>
          <w:b w:val="0"/>
          <w:i w:val="0"/>
          <w:color w:val="475569"/>
          <w:sz w:val="18"/>
        </w:rPr>
        <w:t>Right side: vertical list of service features with icons.</w:t>
      </w:r>
    </w:p>
    <w:p>
      <w:pPr>
        <w:pStyle w:val="ListBullet"/>
        <w:spacing w:after="40" w:line="264" w:lineRule="auto"/>
      </w:pPr>
      <w:r>
        <w:rPr>
          <w:b w:val="0"/>
          <w:i w:val="0"/>
          <w:color w:val="475569"/>
          <w:sz w:val="18"/>
        </w:rPr>
        <w:t>Use a soft orange accent only for document / report-related highlights.</w:t>
      </w:r>
    </w:p>
    <w:p>
      <w:pPr>
        <w:spacing w:after="120"/>
      </w:pPr>
      <w:r>
        <w:rPr>
          <w:b w:val="0"/>
          <w:i w:val="0"/>
          <w:color w:val="D7E7F3"/>
          <w:sz w:val="16"/>
        </w:rPr>
        <w:t>——————————————————————————————————————————</w:t>
      </w:r>
    </w:p>
    <w:p>
      <w:pPr>
        <w:spacing w:after="80"/>
        <w:jc w:val="left"/>
      </w:pPr>
      <w:r>
        <w:rPr>
          <w:b/>
          <w:color w:val="0D7C83"/>
          <w:sz w:val="18"/>
        </w:rPr>
        <w:t>[ SECTION 06 ]</w:t>
      </w:r>
    </w:p>
    <w:p>
      <w:pPr>
        <w:pStyle w:val="Heading1"/>
        <w:spacing w:before="200" w:after="80"/>
      </w:pPr>
      <w:r>
        <w:rPr>
          <w:b/>
          <w:color w:val="14213D"/>
          <w:sz w:val="40"/>
        </w:rPr>
        <w:t>Networking &amp; Allied Services Block</w:t>
      </w:r>
    </w:p>
    <w:p>
      <w:pPr>
        <w:spacing w:after="120" w:line="276" w:lineRule="auto"/>
      </w:pPr>
      <w:r>
        <w:rPr>
          <w:b w:val="0"/>
          <w:i w:val="0"/>
          <w:color w:val="475569"/>
          <w:sz w:val="19"/>
        </w:rPr>
        <w:t>This section is important because Subsidy Gyaan is not only about filing applications. The brochure presents the platform as a strategic bridge connecting industries with verified ecosystem partners.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3024"/>
            <w:shd w:fill="82B440"/>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Allied Service</w:t>
            </w:r>
          </w:p>
        </w:tc>
        <w:tc>
          <w:tcPr>
            <w:tcW w:type="dxa" w:w="6480"/>
            <w:shd w:fill="82B440"/>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Page Text</w:t>
            </w:r>
          </w:p>
        </w:tc>
      </w:tr>
      <w:tr>
        <w:tc>
          <w:tcPr>
            <w:tcW w:type="dxa" w:w="302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Machinery Suppliers</w:t>
            </w:r>
          </w:p>
        </w:tc>
        <w:tc>
          <w:tcPr>
            <w:tcW w:type="dxa" w:w="648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Network of trusted equipment and machinery vendors for relevant industrial and food processing projects.</w:t>
            </w:r>
          </w:p>
        </w:tc>
      </w:tr>
      <w:tr>
        <w:tc>
          <w:tcPr>
            <w:tcW w:type="dxa" w:w="302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Food Technologists</w:t>
            </w:r>
          </w:p>
        </w:tc>
        <w:tc>
          <w:tcPr>
            <w:tcW w:type="dxa" w:w="6480"/>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Expert consultation support for food processing units and micro food businesses.</w:t>
            </w:r>
          </w:p>
        </w:tc>
      </w:tr>
      <w:tr>
        <w:tc>
          <w:tcPr>
            <w:tcW w:type="dxa" w:w="302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Compliance Partners</w:t>
            </w:r>
          </w:p>
        </w:tc>
        <w:tc>
          <w:tcPr>
            <w:tcW w:type="dxa" w:w="648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Coordination with chartered accountants, legal advisors and documentation specialists where required.</w:t>
            </w:r>
          </w:p>
        </w:tc>
      </w:tr>
      <w:tr>
        <w:tc>
          <w:tcPr>
            <w:tcW w:type="dxa" w:w="302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Banking &amp; Financial Liaison</w:t>
            </w:r>
          </w:p>
        </w:tc>
        <w:tc>
          <w:tcPr>
            <w:tcW w:type="dxa" w:w="6480"/>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Coordination with term loan providers and financial institutions.</w:t>
            </w:r>
          </w:p>
        </w:tc>
      </w:tr>
      <w:tr>
        <w:tc>
          <w:tcPr>
            <w:tcW w:type="dxa" w:w="302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Government Liaison</w:t>
            </w:r>
          </w:p>
        </w:tc>
        <w:tc>
          <w:tcPr>
            <w:tcW w:type="dxa" w:w="648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Facilitation with relevant departments and nodal agencies for application movement and follow-up.</w:t>
            </w:r>
          </w:p>
        </w:tc>
      </w:tr>
    </w:tbl>
    <w:p>
      <w:pPr>
        <w:spacing w:after="60"/>
      </w:pPr>
    </w:p>
    <w:p>
      <w:pPr>
        <w:pStyle w:val="Heading2"/>
        <w:spacing w:before="160" w:after="80"/>
      </w:pPr>
      <w:r>
        <w:rPr>
          <w:b/>
          <w:color w:val="14213D"/>
          <w:sz w:val="30"/>
        </w:rPr>
        <w:t>Design Option</w:t>
      </w:r>
    </w:p>
    <w:p>
      <w:pPr>
        <w:spacing w:after="120" w:line="276" w:lineRule="auto"/>
      </w:pPr>
      <w:r>
        <w:rPr>
          <w:b w:val="0"/>
          <w:i w:val="0"/>
          <w:color w:val="475569"/>
          <w:sz w:val="19"/>
        </w:rPr>
        <w:t>Create this as a light green ecosystem section. Place “Subsidy Gyaan” in the center and connect 5 rounded nodes around it: Machinery, Technology, Compliance, Banking and Government Liaison. On mobile, convert the nodes into stacked cards.</w:t>
      </w:r>
    </w:p>
    <w:p>
      <w:pPr>
        <w:spacing w:after="120"/>
      </w:pPr>
      <w:r>
        <w:rPr>
          <w:b w:val="0"/>
          <w:i w:val="0"/>
          <w:color w:val="D7E7F3"/>
          <w:sz w:val="16"/>
        </w:rPr>
        <w:t>——————————————————————————————————————————</w:t>
      </w:r>
    </w:p>
    <w:p>
      <w:pPr>
        <w:spacing w:after="80"/>
        <w:jc w:val="left"/>
      </w:pPr>
      <w:r>
        <w:rPr>
          <w:b/>
          <w:color w:val="0D7C83"/>
          <w:sz w:val="18"/>
        </w:rPr>
        <w:t>[ SECTION 07 ]</w:t>
      </w:r>
    </w:p>
    <w:p>
      <w:pPr>
        <w:pStyle w:val="Heading1"/>
        <w:spacing w:before="200" w:after="80"/>
      </w:pPr>
      <w:r>
        <w:rPr>
          <w:b/>
          <w:color w:val="14213D"/>
          <w:sz w:val="40"/>
        </w:rPr>
        <w:t>How Our Service Process Works</w:t>
      </w:r>
    </w:p>
    <w:p>
      <w:pPr>
        <w:spacing w:after="120" w:line="276" w:lineRule="auto"/>
      </w:pPr>
      <w:r>
        <w:rPr>
          <w:b w:val="0"/>
          <w:i w:val="0"/>
          <w:color w:val="475569"/>
          <w:sz w:val="19"/>
        </w:rPr>
        <w:t>Use a clean six-step process section. This makes the service easy to understand for first-time entrepreneurs and MSME clients.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792"/>
            <w:shd w:fill="1E73BE"/>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Step</w:t>
            </w:r>
          </w:p>
        </w:tc>
        <w:tc>
          <w:tcPr>
            <w:tcW w:type="dxa" w:w="2520"/>
            <w:shd w:fill="1E73BE"/>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Title</w:t>
            </w:r>
          </w:p>
        </w:tc>
        <w:tc>
          <w:tcPr>
            <w:tcW w:type="dxa" w:w="6192"/>
            <w:shd w:fill="1E73BE"/>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Description</w:t>
            </w:r>
          </w:p>
        </w:tc>
      </w:tr>
      <w:tr>
        <w:tc>
          <w:tcPr>
            <w:tcW w:type="dxa" w:w="792"/>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01</w:t>
            </w:r>
          </w:p>
        </w:tc>
        <w:tc>
          <w:tcPr>
            <w:tcW w:type="dxa" w:w="252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Understand Your Business</w:t>
            </w:r>
          </w:p>
        </w:tc>
        <w:tc>
          <w:tcPr>
            <w:tcW w:type="dxa" w:w="6192"/>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Discuss business idea, industry, investment, location, project stage and support requirement.</w:t>
            </w:r>
          </w:p>
        </w:tc>
      </w:tr>
      <w:tr>
        <w:tc>
          <w:tcPr>
            <w:tcW w:type="dxa" w:w="792"/>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02</w:t>
            </w:r>
          </w:p>
        </w:tc>
        <w:tc>
          <w:tcPr>
            <w:tcW w:type="dxa" w:w="2520"/>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Check Scheme Possibility</w:t>
            </w:r>
          </w:p>
        </w:tc>
        <w:tc>
          <w:tcPr>
            <w:tcW w:type="dxa" w:w="6192"/>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Review whether Central or Gujarat Government subsidy, registration, loan or compliance support may apply.</w:t>
            </w:r>
          </w:p>
        </w:tc>
      </w:tr>
      <w:tr>
        <w:tc>
          <w:tcPr>
            <w:tcW w:type="dxa" w:w="792"/>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03</w:t>
            </w:r>
          </w:p>
        </w:tc>
        <w:tc>
          <w:tcPr>
            <w:tcW w:type="dxa" w:w="252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Plan DPR &amp; Documents</w:t>
            </w:r>
          </w:p>
        </w:tc>
        <w:tc>
          <w:tcPr>
            <w:tcW w:type="dxa" w:w="6192"/>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Prepare the required reports, certificates, financials and project documents.</w:t>
            </w:r>
          </w:p>
        </w:tc>
      </w:tr>
      <w:tr>
        <w:tc>
          <w:tcPr>
            <w:tcW w:type="dxa" w:w="792"/>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04</w:t>
            </w:r>
          </w:p>
        </w:tc>
        <w:tc>
          <w:tcPr>
            <w:tcW w:type="dxa" w:w="2520"/>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File Application</w:t>
            </w:r>
          </w:p>
        </w:tc>
        <w:tc>
          <w:tcPr>
            <w:tcW w:type="dxa" w:w="6192"/>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Support application preparation and submission as per relevant scheme or department process.</w:t>
            </w:r>
          </w:p>
        </w:tc>
      </w:tr>
      <w:tr>
        <w:tc>
          <w:tcPr>
            <w:tcW w:type="dxa" w:w="792"/>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05</w:t>
            </w:r>
          </w:p>
        </w:tc>
        <w:tc>
          <w:tcPr>
            <w:tcW w:type="dxa" w:w="252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Coordinate &amp; Follow Up</w:t>
            </w:r>
          </w:p>
        </w:tc>
        <w:tc>
          <w:tcPr>
            <w:tcW w:type="dxa" w:w="6192"/>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Coordinate with banks, financial institutions, departments and nodal agencies where applicable.</w:t>
            </w:r>
          </w:p>
        </w:tc>
      </w:tr>
      <w:tr>
        <w:tc>
          <w:tcPr>
            <w:tcW w:type="dxa" w:w="792"/>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06</w:t>
            </w:r>
          </w:p>
        </w:tc>
        <w:tc>
          <w:tcPr>
            <w:tcW w:type="dxa" w:w="2520"/>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Support Until Execution</w:t>
            </w:r>
          </w:p>
        </w:tc>
        <w:tc>
          <w:tcPr>
            <w:tcW w:type="dxa" w:w="6192"/>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Provide handholding until the business becomes more subsidy-ready and execution-focused.</w:t>
            </w:r>
          </w:p>
        </w:tc>
      </w:tr>
    </w:tbl>
    <w:p>
      <w:pPr>
        <w:spacing w:after="60"/>
      </w:pPr>
    </w:p>
    <w:p>
      <w:pPr>
        <w:pStyle w:val="Heading2"/>
        <w:spacing w:before="160" w:after="80"/>
      </w:pPr>
      <w:r>
        <w:rPr>
          <w:b/>
          <w:color w:val="14213D"/>
          <w:sz w:val="30"/>
        </w:rPr>
        <w:t>Process UI</w:t>
      </w:r>
    </w:p>
    <w:p>
      <w:pPr>
        <w:pStyle w:val="ListBullet"/>
        <w:spacing w:after="40" w:line="264" w:lineRule="auto"/>
      </w:pPr>
      <w:r>
        <w:rPr>
          <w:b w:val="0"/>
          <w:i w:val="0"/>
          <w:color w:val="475569"/>
          <w:sz w:val="18"/>
        </w:rPr>
        <w:t>Desktop: horizontal timeline with alternating cards or 3x2 step grid.</w:t>
      </w:r>
    </w:p>
    <w:p>
      <w:pPr>
        <w:pStyle w:val="ListBullet"/>
        <w:spacing w:after="40" w:line="264" w:lineRule="auto"/>
      </w:pPr>
      <w:r>
        <w:rPr>
          <w:b w:val="0"/>
          <w:i w:val="0"/>
          <w:color w:val="475569"/>
          <w:sz w:val="18"/>
        </w:rPr>
        <w:t>Mobile: vertical process cards with line connector.</w:t>
      </w:r>
    </w:p>
    <w:p>
      <w:pPr>
        <w:pStyle w:val="ListBullet"/>
        <w:spacing w:after="40" w:line="264" w:lineRule="auto"/>
      </w:pPr>
      <w:r>
        <w:rPr>
          <w:b w:val="0"/>
          <w:i w:val="0"/>
          <w:color w:val="475569"/>
          <w:sz w:val="18"/>
        </w:rPr>
        <w:t>Use small icons for idea, eligibility, documents, application, follow-up and approval.</w:t>
      </w:r>
    </w:p>
    <w:p>
      <w:pPr>
        <w:spacing w:after="120"/>
      </w:pPr>
      <w:r>
        <w:rPr>
          <w:b w:val="0"/>
          <w:i w:val="0"/>
          <w:color w:val="D7E7F3"/>
          <w:sz w:val="16"/>
        </w:rPr>
        <w:t>——————————————————————————————————————————</w:t>
      </w:r>
    </w:p>
    <w:p>
      <w:pPr>
        <w:spacing w:after="80"/>
        <w:jc w:val="left"/>
      </w:pPr>
      <w:r>
        <w:rPr>
          <w:b/>
          <w:color w:val="0D7C83"/>
          <w:sz w:val="18"/>
        </w:rPr>
        <w:t>[ SECTION 08 ]</w:t>
      </w:r>
    </w:p>
    <w:p>
      <w:pPr>
        <w:pStyle w:val="Heading1"/>
        <w:spacing w:before="200" w:after="80"/>
      </w:pPr>
      <w:r>
        <w:rPr>
          <w:b/>
          <w:color w:val="14213D"/>
          <w:sz w:val="40"/>
        </w:rPr>
        <w:t>Who Can Use Our Services</w:t>
      </w:r>
    </w:p>
    <w:p>
      <w:pPr>
        <w:spacing w:after="120" w:line="276" w:lineRule="auto"/>
      </w:pPr>
      <w:r>
        <w:rPr>
          <w:b w:val="0"/>
          <w:i w:val="0"/>
          <w:color w:val="475569"/>
          <w:sz w:val="19"/>
        </w:rPr>
        <w:t>This section should make the visitor feel included. It should explain that services are useful for both small and large businesses, including micro enterprises and industrial projects.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0D7C83"/>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Client Type</w:t>
            </w:r>
          </w:p>
        </w:tc>
        <w:tc>
          <w:tcPr>
            <w:tcW w:type="dxa" w:w="6624"/>
            <w:shd w:fill="0D7C83"/>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How Subsidy Gyaan Helps</w:t>
            </w:r>
          </w:p>
        </w:tc>
      </w:tr>
      <w:tr>
        <w:tc>
          <w:tcPr>
            <w:tcW w:type="dxa" w:w="288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New Entrepreneurs</w:t>
            </w:r>
          </w:p>
        </w:tc>
        <w:tc>
          <w:tcPr>
            <w:tcW w:type="dxa" w:w="662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Understand business setup, subsidy possibility, documents and project planning before investment.</w:t>
            </w:r>
          </w:p>
        </w:tc>
      </w:tr>
      <w:tr>
        <w:tc>
          <w:tcPr>
            <w:tcW w:type="dxa" w:w="2880"/>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MSME Industries</w:t>
            </w:r>
          </w:p>
        </w:tc>
        <w:tc>
          <w:tcPr>
            <w:tcW w:type="dxa" w:w="662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Plan subsidy strategy, registrations, DPR, loan documentation and application readiness.</w:t>
            </w:r>
          </w:p>
        </w:tc>
      </w:tr>
      <w:tr>
        <w:tc>
          <w:tcPr>
            <w:tcW w:type="dxa" w:w="288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Micro Food Processors</w:t>
            </w:r>
          </w:p>
        </w:tc>
        <w:tc>
          <w:tcPr>
            <w:tcW w:type="dxa" w:w="662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Guidance for PMFME, FSSAI, DPR, machinery and subsidy-linked compliance requirements.</w:t>
            </w:r>
          </w:p>
        </w:tc>
      </w:tr>
      <w:tr>
        <w:tc>
          <w:tcPr>
            <w:tcW w:type="dxa" w:w="2880"/>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Gruh Udyog</w:t>
            </w:r>
          </w:p>
        </w:tc>
        <w:tc>
          <w:tcPr>
            <w:tcW w:type="dxa" w:w="662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Support to formalize, become subsidy-ready and understand available government support.</w:t>
            </w:r>
          </w:p>
        </w:tc>
      </w:tr>
      <w:tr>
        <w:tc>
          <w:tcPr>
            <w:tcW w:type="dxa" w:w="288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SHGs / FPOs / FPCs</w:t>
            </w:r>
          </w:p>
        </w:tc>
        <w:tc>
          <w:tcPr>
            <w:tcW w:type="dxa" w:w="662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Guidance for group-based infrastructure, food processing, common facilities and scheme-oriented applications.</w:t>
            </w:r>
          </w:p>
        </w:tc>
      </w:tr>
      <w:tr>
        <w:tc>
          <w:tcPr>
            <w:tcW w:type="dxa" w:w="2880"/>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Industrial Units</w:t>
            </w:r>
          </w:p>
        </w:tc>
        <w:tc>
          <w:tcPr>
            <w:tcW w:type="dxa" w:w="662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Support for expansion, modernization, sector policies, government liaison and subsidy planning.</w:t>
            </w:r>
          </w:p>
        </w:tc>
      </w:tr>
    </w:tbl>
    <w:p>
      <w:pPr>
        <w:spacing w:after="60"/>
      </w:pPr>
    </w:p>
    <w:p>
      <w:pPr>
        <w:spacing w:after="120"/>
      </w:pPr>
      <w:r>
        <w:rPr>
          <w:b w:val="0"/>
          <w:i w:val="0"/>
          <w:color w:val="D7E7F3"/>
          <w:sz w:val="16"/>
        </w:rPr>
        <w:t>——————————————————————————————————————————</w:t>
      </w:r>
    </w:p>
    <w:p>
      <w:pPr>
        <w:spacing w:after="80"/>
        <w:jc w:val="left"/>
      </w:pPr>
      <w:r>
        <w:rPr>
          <w:b/>
          <w:color w:val="0D7C83"/>
          <w:sz w:val="18"/>
        </w:rPr>
        <w:t>[ SECTION 09 ]</w:t>
      </w:r>
    </w:p>
    <w:p>
      <w:pPr>
        <w:pStyle w:val="Heading1"/>
        <w:spacing w:before="200" w:after="80"/>
      </w:pPr>
      <w:r>
        <w:rPr>
          <w:b/>
          <w:color w:val="14213D"/>
          <w:sz w:val="40"/>
        </w:rPr>
        <w:t>Documents / Inputs Needed Preview</w:t>
      </w:r>
    </w:p>
    <w:p>
      <w:pPr>
        <w:spacing w:after="120" w:line="276" w:lineRule="auto"/>
      </w:pPr>
      <w:r>
        <w:rPr>
          <w:b w:val="0"/>
          <w:i w:val="0"/>
          <w:color w:val="475569"/>
          <w:sz w:val="19"/>
        </w:rPr>
        <w:t>This is not a full document checklist page. It should be a short preview that encourages visitors to contact the team for exact scheme-wise requirements.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880"/>
            <w:shd w:fill="F28C28"/>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Input Category</w:t>
            </w:r>
          </w:p>
        </w:tc>
        <w:tc>
          <w:tcPr>
            <w:tcW w:type="dxa" w:w="6624"/>
            <w:shd w:fill="F28C28"/>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Examples</w:t>
            </w:r>
          </w:p>
        </w:tc>
      </w:tr>
      <w:tr>
        <w:tc>
          <w:tcPr>
            <w:tcW w:type="dxa" w:w="288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Business Details</w:t>
            </w:r>
          </w:p>
        </w:tc>
        <w:tc>
          <w:tcPr>
            <w:tcW w:type="dxa" w:w="662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Industry type, project location, ownership details, investment plan and business stage.</w:t>
            </w:r>
          </w:p>
        </w:tc>
      </w:tr>
      <w:tr>
        <w:tc>
          <w:tcPr>
            <w:tcW w:type="dxa" w:w="2880"/>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Project Details</w:t>
            </w:r>
          </w:p>
        </w:tc>
        <w:tc>
          <w:tcPr>
            <w:tcW w:type="dxa" w:w="662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Machinery, land/building, capacity, production process, raw material and project cost.</w:t>
            </w:r>
          </w:p>
        </w:tc>
      </w:tr>
      <w:tr>
        <w:tc>
          <w:tcPr>
            <w:tcW w:type="dxa" w:w="288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Registration Details</w:t>
            </w:r>
          </w:p>
        </w:tc>
        <w:tc>
          <w:tcPr>
            <w:tcW w:type="dxa" w:w="662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Udyam, GST, FSSAI, IEC or other certificates depending on business type.</w:t>
            </w:r>
          </w:p>
        </w:tc>
      </w:tr>
      <w:tr>
        <w:tc>
          <w:tcPr>
            <w:tcW w:type="dxa" w:w="2880"/>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Financial Details</w:t>
            </w:r>
          </w:p>
        </w:tc>
        <w:tc>
          <w:tcPr>
            <w:tcW w:type="dxa" w:w="662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Bank loan requirement, term loan, working capital, quotations, financial projections and existing finance status.</w:t>
            </w:r>
          </w:p>
        </w:tc>
      </w:tr>
      <w:tr>
        <w:tc>
          <w:tcPr>
            <w:tcW w:type="dxa" w:w="288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Scheme-Specific Documents</w:t>
            </w:r>
          </w:p>
        </w:tc>
        <w:tc>
          <w:tcPr>
            <w:tcW w:type="dxa" w:w="662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Documents vary by scheme, department, investment, location and policy conditions.</w:t>
            </w:r>
          </w:p>
        </w:tc>
      </w:tr>
    </w:tbl>
    <w:p>
      <w:pPr>
        <w:spacing w:after="60"/>
      </w:pPr>
    </w:p>
    <w:tbl>
      <w:tblPr>
        <w:tblW w:type="auto" w:w="0"/>
        <w:jc w:val="center"/>
        <w:tblLook w:firstColumn="1" w:firstRow="1" w:lastColumn="0" w:lastRow="0" w:noHBand="0" w:noVBand="1" w:val="04A0"/>
      </w:tblPr>
      <w:tblGrid>
        <w:gridCol w:w="10454"/>
      </w:tblGrid>
      <w:tr>
        <w:tc>
          <w:tcPr>
            <w:tcW w:type="dxa" w:w="10454"/>
            <w:shd w:fill="FFF7ED"/>
            <w:tcBorders>
              <w:top w:val="single" w:sz="8" w:space="0" w:color="F28C28"/>
              <w:left w:val="single" w:sz="8" w:space="0" w:color="F28C28"/>
              <w:bottom w:val="single" w:sz="8" w:space="0" w:color="F28C28"/>
              <w:right w:val="single" w:sz="8" w:space="0" w:color="F28C28"/>
            </w:tcBorders>
            <w:tcMar>
              <w:top w:w="180" w:type="dxa"/>
              <w:start w:w="180" w:type="dxa"/>
              <w:bottom w:w="180" w:type="dxa"/>
              <w:end w:w="180" w:type="dxa"/>
            </w:tcMar>
          </w:tcPr>
          <w:p>
            <w:pPr>
              <w:spacing w:after="40"/>
            </w:pPr>
            <w:r/>
            <w:r>
              <w:rPr>
                <w:b/>
                <w:i w:val="0"/>
                <w:color w:val="14213D"/>
                <w:sz w:val="20"/>
              </w:rPr>
              <w:t>Important Disclaimer Placement</w:t>
            </w:r>
          </w:p>
          <w:p>
            <w:pPr>
              <w:spacing w:after="0" w:line="259" w:lineRule="auto"/>
            </w:pPr>
            <w:r>
              <w:rPr>
                <w:b w:val="0"/>
                <w:i w:val="0"/>
                <w:color w:val="475569"/>
                <w:sz w:val="18"/>
              </w:rPr>
              <w:t>Add a small note near this section: Subsidy eligibility, required documents, benefit amount and approval depend on applicable government policy, project category, location, investment and department verification.</w:t>
            </w:r>
          </w:p>
        </w:tc>
      </w:tr>
    </w:tbl>
    <w:p>
      <w:pPr>
        <w:spacing w:after="40"/>
      </w:pPr>
    </w:p>
    <w:p>
      <w:pPr>
        <w:spacing w:after="120"/>
      </w:pPr>
      <w:r>
        <w:rPr>
          <w:b w:val="0"/>
          <w:i w:val="0"/>
          <w:color w:val="D7E7F3"/>
          <w:sz w:val="16"/>
        </w:rPr>
        <w:t>——————————————————————————————————————————</w:t>
      </w:r>
    </w:p>
    <w:p>
      <w:pPr>
        <w:spacing w:after="80"/>
        <w:jc w:val="left"/>
      </w:pPr>
      <w:r>
        <w:rPr>
          <w:b/>
          <w:color w:val="0D7C83"/>
          <w:sz w:val="18"/>
        </w:rPr>
        <w:t>[ SECTION 10 ]</w:t>
      </w:r>
    </w:p>
    <w:p>
      <w:pPr>
        <w:pStyle w:val="Heading1"/>
        <w:spacing w:before="200" w:after="80"/>
      </w:pPr>
      <w:r>
        <w:rPr>
          <w:b/>
          <w:color w:val="14213D"/>
          <w:sz w:val="40"/>
        </w:rPr>
        <w:t>Final Consultation CTA Section</w:t>
      </w:r>
    </w:p>
    <w:p>
      <w:pPr>
        <w:spacing w:after="120" w:line="276" w:lineRule="auto"/>
      </w:pPr>
      <w:r>
        <w:rPr>
          <w:b w:val="0"/>
          <w:i w:val="0"/>
          <w:color w:val="475569"/>
          <w:sz w:val="19"/>
        </w:rPr>
        <w:t>Use an emotional and conversion-focused CTA. This should appear before the footer and should match the homepage CTA style.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304"/>
            <w:shd w:fill="1E73BE"/>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Part</w:t>
            </w:r>
          </w:p>
        </w:tc>
        <w:tc>
          <w:tcPr>
            <w:tcW w:type="dxa" w:w="7200"/>
            <w:shd w:fill="1E73BE"/>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Content</w:t>
            </w:r>
          </w:p>
        </w:tc>
      </w:tr>
      <w:tr>
        <w:tc>
          <w:tcPr>
            <w:tcW w:type="dxa" w:w="230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Tagline</w:t>
            </w:r>
          </w:p>
        </w:tc>
        <w:tc>
          <w:tcPr>
            <w:tcW w:type="dxa" w:w="720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Gyaan se Pragati, Salah se Samriddhi</w:t>
            </w:r>
          </w:p>
        </w:tc>
      </w:tr>
      <w:tr>
        <w:tc>
          <w:tcPr>
            <w:tcW w:type="dxa" w:w="230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Heading</w:t>
            </w:r>
          </w:p>
        </w:tc>
        <w:tc>
          <w:tcPr>
            <w:tcW w:type="dxa" w:w="7200"/>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Need Help Choosing the Right Service for Your Business?</w:t>
            </w:r>
          </w:p>
        </w:tc>
      </w:tr>
      <w:tr>
        <w:tc>
          <w:tcPr>
            <w:tcW w:type="dxa" w:w="230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Description</w:t>
            </w:r>
          </w:p>
        </w:tc>
        <w:tc>
          <w:tcPr>
            <w:tcW w:type="dxa" w:w="720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Share your business idea, industry, location and investment plan. Subsidy Gyaan will help you understand whether you need subsidy advisory, DPR preparation, registration support, banking liaison or complete handholding.</w:t>
            </w:r>
          </w:p>
        </w:tc>
      </w:tr>
      <w:tr>
        <w:tc>
          <w:tcPr>
            <w:tcW w:type="dxa" w:w="230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Primary Button</w:t>
            </w:r>
          </w:p>
        </w:tc>
        <w:tc>
          <w:tcPr>
            <w:tcW w:type="dxa" w:w="7200"/>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Book Consultation</w:t>
            </w:r>
          </w:p>
        </w:tc>
      </w:tr>
      <w:tr>
        <w:tc>
          <w:tcPr>
            <w:tcW w:type="dxa" w:w="230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Secondary Button</w:t>
            </w:r>
          </w:p>
        </w:tc>
        <w:tc>
          <w:tcPr>
            <w:tcW w:type="dxa" w:w="720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Call Now</w:t>
            </w:r>
          </w:p>
        </w:tc>
      </w:tr>
      <w:tr>
        <w:tc>
          <w:tcPr>
            <w:tcW w:type="dxa" w:w="230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Phone</w:t>
            </w:r>
          </w:p>
        </w:tc>
        <w:tc>
          <w:tcPr>
            <w:tcW w:type="dxa" w:w="7200"/>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+91 8320542940 / +91 8866248393</w:t>
            </w:r>
          </w:p>
        </w:tc>
      </w:tr>
    </w:tbl>
    <w:p>
      <w:pPr>
        <w:spacing w:after="60"/>
      </w:pPr>
    </w:p>
    <w:p>
      <w:r>
        <w:br w:type="page"/>
      </w:r>
    </w:p>
    <w:p>
      <w:pPr>
        <w:spacing w:after="80"/>
        <w:jc w:val="left"/>
      </w:pPr>
      <w:r>
        <w:rPr>
          <w:b/>
          <w:color w:val="0D7C83"/>
          <w:sz w:val="18"/>
        </w:rPr>
        <w:t>[ GLOBAL FOOTER ]</w:t>
      </w:r>
    </w:p>
    <w:p>
      <w:pPr>
        <w:pStyle w:val="Heading1"/>
        <w:spacing w:before="200" w:after="80"/>
      </w:pPr>
      <w:r>
        <w:rPr>
          <w:b/>
          <w:color w:val="14213D"/>
          <w:sz w:val="40"/>
        </w:rPr>
        <w:t>Footer Direction</w:t>
      </w:r>
    </w:p>
    <w:p>
      <w:pPr>
        <w:spacing w:after="120" w:line="276" w:lineRule="auto"/>
      </w:pPr>
      <w:r>
        <w:rPr>
          <w:b w:val="0"/>
          <w:i w:val="0"/>
          <w:color w:val="475569"/>
          <w:sz w:val="19"/>
        </w:rPr>
        <w:t>Use the same footer as the homepage and about page so the website feels consistent.</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3024"/>
            <w:shd w:fill="0D7C83"/>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Footer Column</w:t>
            </w:r>
          </w:p>
        </w:tc>
        <w:tc>
          <w:tcPr>
            <w:tcW w:type="dxa" w:w="6480"/>
            <w:shd w:fill="0D7C83"/>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Content</w:t>
            </w:r>
          </w:p>
        </w:tc>
      </w:tr>
      <w:tr>
        <w:tc>
          <w:tcPr>
            <w:tcW w:type="dxa" w:w="302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Column 1</w:t>
            </w:r>
          </w:p>
        </w:tc>
        <w:tc>
          <w:tcPr>
            <w:tcW w:type="dxa" w:w="648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Subsidy Gyaan by Advait Associates, short intro, brand line.</w:t>
            </w:r>
          </w:p>
        </w:tc>
      </w:tr>
      <w:tr>
        <w:tc>
          <w:tcPr>
            <w:tcW w:type="dxa" w:w="302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Column 2</w:t>
            </w:r>
          </w:p>
        </w:tc>
        <w:tc>
          <w:tcPr>
            <w:tcW w:type="dxa" w:w="6480"/>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Quick Links: Home, About, Services, Central Subsidies, Gujarat Subsidies, Industries, Articles, Contact.</w:t>
            </w:r>
          </w:p>
        </w:tc>
      </w:tr>
      <w:tr>
        <w:tc>
          <w:tcPr>
            <w:tcW w:type="dxa" w:w="302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Column 3</w:t>
            </w:r>
          </w:p>
        </w:tc>
        <w:tc>
          <w:tcPr>
            <w:tcW w:type="dxa" w:w="648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Services: Subsidy Advisory, DPR, Registration, Banking Liaison, Government Liaison, Compliance Support.</w:t>
            </w:r>
          </w:p>
        </w:tc>
      </w:tr>
      <w:tr>
        <w:tc>
          <w:tcPr>
            <w:tcW w:type="dxa" w:w="3024"/>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Column 4</w:t>
            </w:r>
          </w:p>
        </w:tc>
        <w:tc>
          <w:tcPr>
            <w:tcW w:type="dxa" w:w="6480"/>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Phone, email, Ahmedabad headquarters, service area across India.</w:t>
            </w:r>
          </w:p>
        </w:tc>
      </w:tr>
      <w:tr>
        <w:tc>
          <w:tcPr>
            <w:tcW w:type="dxa" w:w="3024"/>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Bottom Line</w:t>
            </w:r>
          </w:p>
        </w:tc>
        <w:tc>
          <w:tcPr>
            <w:tcW w:type="dxa" w:w="6480"/>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Disclaimer about subsidy eligibility, benefit amount and approval depending on official policy and authority decision.</w:t>
            </w:r>
          </w:p>
        </w:tc>
      </w:tr>
    </w:tbl>
    <w:p>
      <w:pPr>
        <w:spacing w:after="60"/>
      </w:pPr>
    </w:p>
    <w:tbl>
      <w:tblPr>
        <w:tblW w:type="auto" w:w="0"/>
        <w:jc w:val="center"/>
        <w:tblLook w:firstColumn="1" w:firstRow="1" w:lastColumn="0" w:lastRow="0" w:noHBand="0" w:noVBand="1" w:val="04A0"/>
      </w:tblPr>
      <w:tblGrid>
        <w:gridCol w:w="10454"/>
      </w:tblGrid>
      <w:tr>
        <w:tc>
          <w:tcPr>
            <w:tcW w:type="dxa" w:w="10454"/>
            <w:shd w:fill="F4FAFF"/>
            <w:tcBorders>
              <w:top w:val="single" w:sz="8" w:space="0" w:color="1E73BE"/>
              <w:left w:val="single" w:sz="8" w:space="0" w:color="1E73BE"/>
              <w:bottom w:val="single" w:sz="8" w:space="0" w:color="1E73BE"/>
              <w:right w:val="single" w:sz="8" w:space="0" w:color="1E73BE"/>
            </w:tcBorders>
            <w:tcMar>
              <w:top w:w="180" w:type="dxa"/>
              <w:start w:w="180" w:type="dxa"/>
              <w:bottom w:w="180" w:type="dxa"/>
              <w:end w:w="180" w:type="dxa"/>
            </w:tcMar>
          </w:tcPr>
          <w:p>
            <w:pPr>
              <w:spacing w:after="40"/>
            </w:pPr>
            <w:r/>
            <w:r>
              <w:rPr>
                <w:b/>
                <w:i w:val="0"/>
                <w:color w:val="14213D"/>
                <w:sz w:val="20"/>
              </w:rPr>
              <w:t>Footer Must Stay Consistent</w:t>
            </w:r>
          </w:p>
          <w:p>
            <w:pPr>
              <w:spacing w:after="0" w:line="259" w:lineRule="auto"/>
            </w:pPr>
            <w:r>
              <w:rPr>
                <w:b w:val="0"/>
                <w:i w:val="0"/>
                <w:color w:val="475569"/>
                <w:sz w:val="18"/>
              </w:rPr>
              <w:t>Use this same footer structure on Home, About, Services, Central Subsidies, Gujarat Subsidies, Industries, Articles and Contact pages. Keep the disclaimer visible on every page because subsidy rules and eligibility may change based on official policy and authority decision.</w:t>
            </w:r>
          </w:p>
        </w:tc>
      </w:tr>
    </w:tbl>
    <w:p>
      <w:pPr>
        <w:spacing w:after="40"/>
      </w:pPr>
    </w:p>
    <w:p>
      <w:r>
        <w:br w:type="page"/>
      </w:r>
    </w:p>
    <w:p>
      <w:pPr>
        <w:spacing w:after="80"/>
        <w:jc w:val="left"/>
      </w:pPr>
      <w:r>
        <w:rPr>
          <w:b/>
          <w:color w:val="0D7C83"/>
          <w:sz w:val="18"/>
        </w:rPr>
        <w:t>[ READY-TO-USE CONTENT ]</w:t>
      </w:r>
    </w:p>
    <w:p>
      <w:pPr>
        <w:pStyle w:val="Heading1"/>
        <w:spacing w:before="200" w:after="80"/>
      </w:pPr>
      <w:r>
        <w:rPr>
          <w:b/>
          <w:color w:val="14213D"/>
          <w:sz w:val="40"/>
        </w:rPr>
        <w:t>Services Page Copy Draft</w:t>
      </w:r>
    </w:p>
    <w:p>
      <w:pPr>
        <w:pStyle w:val="Heading2"/>
        <w:spacing w:before="160" w:after="80"/>
      </w:pPr>
      <w:r>
        <w:rPr>
          <w:b/>
          <w:color w:val="14213D"/>
          <w:sz w:val="30"/>
        </w:rPr>
        <w:t>Hero Copy</w:t>
      </w:r>
    </w:p>
    <w:p>
      <w:pPr>
        <w:spacing w:after="120" w:line="276" w:lineRule="auto"/>
      </w:pPr>
      <w:r>
        <w:rPr>
          <w:b w:val="0"/>
          <w:i w:val="0"/>
          <w:color w:val="475569"/>
          <w:sz w:val="19"/>
        </w:rPr>
        <w:t>Gyaan se Pragati, Salah se Samriddhi</w:t>
      </w:r>
    </w:p>
    <w:p>
      <w:pPr>
        <w:spacing w:after="120" w:line="276" w:lineRule="auto"/>
      </w:pPr>
      <w:r>
        <w:rPr>
          <w:b w:val="0"/>
          <w:i w:val="0"/>
          <w:color w:val="475569"/>
          <w:sz w:val="19"/>
        </w:rPr>
        <w:t>Complete Subsidy &amp; Business Advisory Services</w:t>
      </w:r>
    </w:p>
    <w:p>
      <w:pPr>
        <w:spacing w:after="120" w:line="276" w:lineRule="auto"/>
      </w:pPr>
      <w:r>
        <w:rPr>
          <w:b w:val="0"/>
          <w:i w:val="0"/>
          <w:color w:val="475569"/>
          <w:sz w:val="19"/>
        </w:rPr>
        <w:t>From subsidy eligibility guidance to DPR preparation, registrations, documentation, banking liaison and government follow-up, Subsidy Gyaan supports entrepreneurs and industries through every important stage of subsidy availment.</w:t>
      </w:r>
    </w:p>
    <w:p>
      <w:pPr>
        <w:pStyle w:val="Heading2"/>
        <w:spacing w:before="160" w:after="80"/>
      </w:pPr>
      <w:r>
        <w:rPr>
          <w:b/>
          <w:color w:val="14213D"/>
          <w:sz w:val="30"/>
        </w:rPr>
        <w:t>Intro Copy</w:t>
      </w:r>
    </w:p>
    <w:p>
      <w:pPr>
        <w:spacing w:after="120" w:line="276" w:lineRule="auto"/>
      </w:pPr>
      <w:r>
        <w:rPr>
          <w:b w:val="0"/>
          <w:i w:val="0"/>
          <w:color w:val="475569"/>
          <w:sz w:val="19"/>
        </w:rPr>
        <w:t>Subsidy Gyaan by Advait Associates provides end-to-end consultancy for Central and Gujarat Government subsidy schemes, helping businesses understand eligibility, prepare documents, structure project reports and coordinate with the right ecosystem partners. Whether you are starting a new venture, expanding an MSME, setting up a food processing unit or planning an industrial project, our service approach is designed to bring clarity, compliance and confidence to your subsidy journey.</w:t>
      </w:r>
    </w:p>
    <w:p>
      <w:pPr>
        <w:pStyle w:val="Heading2"/>
        <w:spacing w:before="160" w:after="80"/>
      </w:pPr>
      <w:r>
        <w:rPr>
          <w:b/>
          <w:color w:val="14213D"/>
          <w:sz w:val="30"/>
        </w:rPr>
        <w:t>Services Grid Short Copy</w:t>
      </w:r>
    </w:p>
    <w:p>
      <w:pPr>
        <w:spacing w:after="120" w:line="276" w:lineRule="auto"/>
      </w:pPr>
      <w:r>
        <w:rPr>
          <w:b w:val="0"/>
          <w:i w:val="0"/>
          <w:color w:val="475569"/>
          <w:sz w:val="19"/>
        </w:rPr>
        <w:t>Central Government Subsidy Advisory: Guidance for schemes such as PMFME, NABARD / AMIGS, AIF, EPCG, APEDA, Cold Storage, MOFPI and Biomass / Renewable Energy subsidy opportunities.</w:t>
      </w:r>
    </w:p>
    <w:p>
      <w:pPr>
        <w:spacing w:after="120" w:line="276" w:lineRule="auto"/>
      </w:pPr>
      <w:r>
        <w:rPr>
          <w:b w:val="0"/>
          <w:i w:val="0"/>
          <w:color w:val="475569"/>
          <w:sz w:val="19"/>
        </w:rPr>
        <w:t>Gujarat Government Subsidy Advisory: Support for Gujarat-based units to understand MSME assistance, textile incentives, logistic park assistance, electric duty benefits, marketing support and sector policies.</w:t>
      </w:r>
    </w:p>
    <w:p>
      <w:pPr>
        <w:spacing w:after="120" w:line="276" w:lineRule="auto"/>
      </w:pPr>
      <w:r>
        <w:rPr>
          <w:b w:val="0"/>
          <w:i w:val="0"/>
          <w:color w:val="475569"/>
          <w:sz w:val="19"/>
        </w:rPr>
        <w:t>Detailed Project Report Preparation: Preparation of DPRs structured for government requirements, banking standards, viability analysis, financial projections and subsidy optimization.</w:t>
      </w:r>
    </w:p>
    <w:p>
      <w:pPr>
        <w:spacing w:after="120" w:line="276" w:lineRule="auto"/>
      </w:pPr>
      <w:r>
        <w:rPr>
          <w:b w:val="0"/>
          <w:i w:val="0"/>
          <w:color w:val="475569"/>
          <w:sz w:val="19"/>
        </w:rPr>
        <w:t>Registration &amp; Certification Services: Facilitation support for Udyam, FSSAI, GST, Import Export License and other industry-specific certificates required for eligibility and compliance.</w:t>
      </w:r>
    </w:p>
    <w:p>
      <w:pPr>
        <w:spacing w:after="120" w:line="276" w:lineRule="auto"/>
      </w:pPr>
      <w:r>
        <w:rPr>
          <w:b w:val="0"/>
          <w:i w:val="0"/>
          <w:color w:val="475569"/>
          <w:sz w:val="19"/>
        </w:rPr>
        <w:t>Banking &amp; Financial Liaison: Coordination support with term loan providers, financial institutions and bank documentation for subsidy-linked projects and project finance.</w:t>
      </w:r>
    </w:p>
    <w:p>
      <w:pPr>
        <w:spacing w:after="120" w:line="276" w:lineRule="auto"/>
      </w:pPr>
      <w:r>
        <w:rPr>
          <w:b w:val="0"/>
          <w:i w:val="0"/>
          <w:color w:val="475569"/>
          <w:sz w:val="19"/>
        </w:rPr>
        <w:t>Government Liaison &amp; Follow-Up: Application flow support, department coordination, nodal agency follow-up and document readiness to reduce delays and rejection risk.</w:t>
      </w:r>
    </w:p>
    <w:p>
      <w:pPr>
        <w:spacing w:after="120" w:line="276" w:lineRule="auto"/>
      </w:pPr>
      <w:r>
        <w:rPr>
          <w:b w:val="0"/>
          <w:i w:val="0"/>
          <w:color w:val="475569"/>
          <w:sz w:val="19"/>
        </w:rPr>
        <w:t>Machinery Supplier Networking: Access to trusted equipment and machinery vendors relevant to food processing, manufacturing and industrial setup needs.</w:t>
      </w:r>
    </w:p>
    <w:p>
      <w:pPr>
        <w:spacing w:after="120" w:line="276" w:lineRule="auto"/>
      </w:pPr>
      <w:r>
        <w:rPr>
          <w:b w:val="0"/>
          <w:i w:val="0"/>
          <w:color w:val="475569"/>
          <w:sz w:val="19"/>
        </w:rPr>
        <w:t>Food Technologist &amp; Compliance Support: Expert ecosystem support for food processing units, micro food processors, gruh udyog and businesses needing technical compliance guidance.</w:t>
      </w:r>
    </w:p>
    <w:p>
      <w:pPr>
        <w:pStyle w:val="Heading2"/>
        <w:spacing w:before="160" w:after="80"/>
      </w:pPr>
      <w:r>
        <w:rPr>
          <w:b/>
          <w:color w:val="14213D"/>
          <w:sz w:val="30"/>
        </w:rPr>
        <w:t>Subsidy Advisory Section Copy</w:t>
      </w:r>
    </w:p>
    <w:p>
      <w:pPr>
        <w:spacing w:after="120" w:line="276" w:lineRule="auto"/>
      </w:pPr>
      <w:r>
        <w:rPr>
          <w:b w:val="0"/>
          <w:i w:val="0"/>
          <w:color w:val="475569"/>
          <w:sz w:val="19"/>
        </w:rPr>
        <w:t>Government subsidy schemes are valuable, but they can be difficult to understand without the right process knowledge. Subsidy Gyaan helps businesses identify suitable Central and Gujarat Government schemes, understand conditions, prepare documentation and move forward with a structured advisory approach.</w:t>
      </w:r>
    </w:p>
    <w:p>
      <w:pPr>
        <w:pStyle w:val="Heading2"/>
        <w:spacing w:before="160" w:after="80"/>
      </w:pPr>
      <w:r>
        <w:rPr>
          <w:b/>
          <w:color w:val="14213D"/>
          <w:sz w:val="30"/>
        </w:rPr>
        <w:t>DPR &amp; Documentation Section Copy</w:t>
      </w:r>
    </w:p>
    <w:p>
      <w:pPr>
        <w:spacing w:after="120" w:line="276" w:lineRule="auto"/>
      </w:pPr>
      <w:r>
        <w:rPr>
          <w:b w:val="0"/>
          <w:i w:val="0"/>
          <w:color w:val="475569"/>
          <w:sz w:val="19"/>
        </w:rPr>
        <w:t>A well-prepared DPR is the foundation of many subsidy applications and project finance proposals. Our DPR support covers project viability, financial projections, technical specifications, scheme-wise structuring and documentation readiness as per banking and government expectations.</w:t>
      </w:r>
    </w:p>
    <w:p>
      <w:pPr>
        <w:pStyle w:val="Heading2"/>
        <w:spacing w:before="160" w:after="80"/>
      </w:pPr>
      <w:r>
        <w:rPr>
          <w:b/>
          <w:color w:val="14213D"/>
          <w:sz w:val="30"/>
        </w:rPr>
        <w:t>Networking Section Copy</w:t>
      </w:r>
    </w:p>
    <w:p>
      <w:pPr>
        <w:spacing w:after="120" w:line="276" w:lineRule="auto"/>
      </w:pPr>
      <w:r>
        <w:rPr>
          <w:b w:val="0"/>
          <w:i w:val="0"/>
          <w:color w:val="475569"/>
          <w:sz w:val="19"/>
        </w:rPr>
        <w:t>Beyond application support, Subsidy Gyaan acts as a bridge between industries and verified ecosystem partners. Through machinery supplier networking, food technologist support, compliance partner coordination, banking liaison and government liaison, the platform helps businesses move closer to practical execution.</w:t>
      </w:r>
    </w:p>
    <w:p>
      <w:pPr>
        <w:pStyle w:val="Heading2"/>
        <w:spacing w:before="160" w:after="80"/>
      </w:pPr>
      <w:r>
        <w:rPr>
          <w:b/>
          <w:color w:val="14213D"/>
          <w:sz w:val="30"/>
        </w:rPr>
        <w:t>CTA Copy</w:t>
      </w:r>
    </w:p>
    <w:p>
      <w:pPr>
        <w:spacing w:after="120" w:line="276" w:lineRule="auto"/>
      </w:pPr>
      <w:r>
        <w:rPr>
          <w:b w:val="0"/>
          <w:i w:val="0"/>
          <w:color w:val="475569"/>
          <w:sz w:val="19"/>
        </w:rPr>
        <w:t>Need Help Choosing the Right Service for Your Business? Share your business idea, industry, location and investment plan. Subsidy Gyaan will help you understand the right path for subsidy advisory, DPR preparation, registration support, banking liaison or complete handholding.</w:t>
      </w:r>
    </w:p>
    <w:p>
      <w:r>
        <w:br w:type="page"/>
      </w:r>
    </w:p>
    <w:p>
      <w:pPr>
        <w:spacing w:after="80"/>
        <w:jc w:val="left"/>
      </w:pPr>
      <w:r>
        <w:rPr>
          <w:b/>
          <w:color w:val="0D7C83"/>
          <w:sz w:val="18"/>
        </w:rPr>
        <w:t>[ SEO &amp; DEVELOPMENT NOTES ]</w:t>
      </w:r>
    </w:p>
    <w:p>
      <w:pPr>
        <w:pStyle w:val="Heading1"/>
        <w:spacing w:before="200" w:after="80"/>
      </w:pPr>
      <w:r>
        <w:rPr>
          <w:b/>
          <w:color w:val="14213D"/>
          <w:sz w:val="40"/>
        </w:rPr>
        <w:t>SEO Details for Services Page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448"/>
            <w:shd w:fill="1E73BE"/>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SEO Item</w:t>
            </w:r>
          </w:p>
        </w:tc>
        <w:tc>
          <w:tcPr>
            <w:tcW w:type="dxa" w:w="7056"/>
            <w:shd w:fill="1E73BE"/>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Recommended Text</w:t>
            </w:r>
          </w:p>
        </w:tc>
      </w:tr>
      <w:tr>
        <w:tc>
          <w:tcPr>
            <w:tcW w:type="dxa" w:w="2448"/>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SEO Title</w:t>
            </w:r>
          </w:p>
        </w:tc>
        <w:tc>
          <w:tcPr>
            <w:tcW w:type="dxa" w:w="7056"/>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Subsidy Consultancy Services in Gujarat &amp; India | Subsidy Gyaan</w:t>
            </w:r>
          </w:p>
        </w:tc>
      </w:tr>
      <w:tr>
        <w:tc>
          <w:tcPr>
            <w:tcW w:type="dxa" w:w="2448"/>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Meta Description</w:t>
            </w:r>
          </w:p>
        </w:tc>
        <w:tc>
          <w:tcPr>
            <w:tcW w:type="dxa" w:w="7056"/>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Explore Subsidy Gyaan services for Central and Gujarat Government subsidy advisory, DPR preparation, Udyam, FSSAI, GST, IEC, banking liaison and government follow-up support.</w:t>
            </w:r>
          </w:p>
        </w:tc>
      </w:tr>
      <w:tr>
        <w:tc>
          <w:tcPr>
            <w:tcW w:type="dxa" w:w="2448"/>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H1</w:t>
            </w:r>
          </w:p>
        </w:tc>
        <w:tc>
          <w:tcPr>
            <w:tcW w:type="dxa" w:w="7056"/>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Complete Subsidy &amp; Business Advisory Services</w:t>
            </w:r>
          </w:p>
        </w:tc>
      </w:tr>
      <w:tr>
        <w:tc>
          <w:tcPr>
            <w:tcW w:type="dxa" w:w="2448"/>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Primary Keywords</w:t>
            </w:r>
          </w:p>
        </w:tc>
        <w:tc>
          <w:tcPr>
            <w:tcW w:type="dxa" w:w="7056"/>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subsidy consultancy services, Gujarat subsidy consultant, central government subsidy advisory, DPR preparation, MSME subsidy consultant</w:t>
            </w:r>
          </w:p>
        </w:tc>
      </w:tr>
      <w:tr>
        <w:tc>
          <w:tcPr>
            <w:tcW w:type="dxa" w:w="2448"/>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Secondary Keywords</w:t>
            </w:r>
          </w:p>
        </w:tc>
        <w:tc>
          <w:tcPr>
            <w:tcW w:type="dxa" w:w="7056"/>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Udyam registration support, FSSAI certificate, GST compliance, project report for subsidy, government liaison, banking liaison</w:t>
            </w:r>
          </w:p>
        </w:tc>
      </w:tr>
    </w:tbl>
    <w:p>
      <w:pPr>
        <w:spacing w:after="60"/>
      </w:pPr>
    </w:p>
    <w:p>
      <w:pPr>
        <w:pStyle w:val="Heading1"/>
        <w:spacing w:before="200" w:after="80"/>
      </w:pPr>
      <w:r>
        <w:rPr>
          <w:b/>
          <w:color w:val="14213D"/>
          <w:sz w:val="40"/>
        </w:rPr>
        <w:t>Developer Build Notes</w:t>
      </w:r>
    </w:p>
    <w:p>
      <w:pPr>
        <w:pStyle w:val="ListBullet"/>
        <w:spacing w:after="40" w:line="264" w:lineRule="auto"/>
      </w:pPr>
      <w:r>
        <w:rPr>
          <w:b w:val="0"/>
          <w:i w:val="0"/>
          <w:color w:val="475569"/>
          <w:sz w:val="18"/>
        </w:rPr>
        <w:t>Build this as services.html.</w:t>
      </w:r>
    </w:p>
    <w:p>
      <w:pPr>
        <w:pStyle w:val="ListBullet"/>
        <w:spacing w:after="40" w:line="264" w:lineRule="auto"/>
      </w:pPr>
      <w:r>
        <w:rPr>
          <w:b w:val="0"/>
          <w:i w:val="0"/>
          <w:color w:val="475569"/>
          <w:sz w:val="18"/>
        </w:rPr>
        <w:t>Use shared header, footer, colors, buttons, typography and spacing from the Home and About pages.</w:t>
      </w:r>
    </w:p>
    <w:p>
      <w:pPr>
        <w:pStyle w:val="ListBullet"/>
        <w:spacing w:after="40" w:line="264" w:lineRule="auto"/>
      </w:pPr>
      <w:r>
        <w:rPr>
          <w:b w:val="0"/>
          <w:i w:val="0"/>
          <w:color w:val="475569"/>
          <w:sz w:val="18"/>
        </w:rPr>
        <w:t>Keep all service cards static for now; inner service pages are not required at this stage.</w:t>
      </w:r>
    </w:p>
    <w:p>
      <w:pPr>
        <w:pStyle w:val="ListBullet"/>
        <w:spacing w:after="40" w:line="264" w:lineRule="auto"/>
      </w:pPr>
      <w:r>
        <w:rPr>
          <w:b w:val="0"/>
          <w:i w:val="0"/>
          <w:color w:val="475569"/>
          <w:sz w:val="18"/>
        </w:rPr>
        <w:t>Buttons can link to contact.html, central-subsidies.html and gujarat-subsidies.html as applicable.</w:t>
      </w:r>
    </w:p>
    <w:p>
      <w:pPr>
        <w:pStyle w:val="ListBullet"/>
        <w:spacing w:after="40" w:line="264" w:lineRule="auto"/>
      </w:pPr>
      <w:r>
        <w:rPr>
          <w:b w:val="0"/>
          <w:i w:val="0"/>
          <w:color w:val="475569"/>
          <w:sz w:val="18"/>
        </w:rPr>
        <w:t>Use CSS variables for colors and spacing so all pages remain consistent.</w:t>
      </w:r>
    </w:p>
    <w:p>
      <w:pPr>
        <w:pStyle w:val="ListBullet"/>
        <w:spacing w:after="40" w:line="264" w:lineRule="auto"/>
      </w:pPr>
      <w:r>
        <w:rPr>
          <w:b w:val="0"/>
          <w:i w:val="0"/>
          <w:color w:val="475569"/>
          <w:sz w:val="18"/>
        </w:rPr>
        <w:t>Use simple JavaScript only for mobile menu, header shadow, scroll reveal and optional accordion sections.</w:t>
      </w:r>
    </w:p>
    <w:p>
      <w:pPr>
        <w:pStyle w:val="ListBullet"/>
        <w:spacing w:after="40" w:line="264" w:lineRule="auto"/>
      </w:pPr>
      <w:r>
        <w:rPr>
          <w:b w:val="0"/>
          <w:i w:val="0"/>
          <w:color w:val="475569"/>
          <w:sz w:val="18"/>
        </w:rPr>
        <w:t>Ensure mobile layout is clean: hero stacks, cards become one column, tables should not be used in front-end service grid.</w:t>
      </w:r>
    </w:p>
    <w:p>
      <w:pPr>
        <w:pStyle w:val="Heading2"/>
        <w:spacing w:before="160" w:after="80"/>
      </w:pPr>
      <w:r>
        <w:rPr>
          <w:b/>
          <w:color w:val="14213D"/>
          <w:sz w:val="30"/>
        </w:rPr>
        <w:t>Responsive Rules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448"/>
            <w:shd w:fill="0D7C83"/>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Breakpoint</w:t>
            </w:r>
          </w:p>
        </w:tc>
        <w:tc>
          <w:tcPr>
            <w:tcW w:type="dxa" w:w="7056"/>
            <w:shd w:fill="0D7C83"/>
            <w:tcBorders>
              <w:top w:val="single" w:sz="6" w:space="0" w:color="FFFFFF"/>
              <w:left w:val="single" w:sz="6" w:space="0" w:color="FFFFFF"/>
              <w:bottom w:val="single" w:sz="6" w:space="0" w:color="FFFFFF"/>
              <w:right w:val="single" w:sz="6" w:space="0" w:color="FFFFFF"/>
            </w:tcBorders>
            <w:tcMar>
              <w:top w:w="120" w:type="dxa"/>
              <w:start w:w="120" w:type="dxa"/>
              <w:bottom w:w="120" w:type="dxa"/>
              <w:end w:w="120" w:type="dxa"/>
            </w:tcMar>
            <w:vAlign w:val="center"/>
          </w:tcPr>
          <w:p>
            <w:pPr>
              <w:spacing w:after="0"/>
            </w:pPr>
            <w:r/>
            <w:r>
              <w:rPr>
                <w:b/>
                <w:color w:val="FFFFFF"/>
                <w:sz w:val="17"/>
              </w:rPr>
              <w:t>Layout Direction</w:t>
            </w:r>
          </w:p>
        </w:tc>
      </w:tr>
      <w:tr>
        <w:tc>
          <w:tcPr>
            <w:tcW w:type="dxa" w:w="2448"/>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Desktop 1200px+</w:t>
            </w:r>
          </w:p>
        </w:tc>
        <w:tc>
          <w:tcPr>
            <w:tcW w:type="dxa" w:w="7056"/>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Hero two columns, service grid 4 columns or 3 columns, process horizontal.</w:t>
            </w:r>
          </w:p>
        </w:tc>
      </w:tr>
      <w:tr>
        <w:tc>
          <w:tcPr>
            <w:tcW w:type="dxa" w:w="2448"/>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Laptop 992px-1199px</w:t>
            </w:r>
          </w:p>
        </w:tc>
        <w:tc>
          <w:tcPr>
            <w:tcW w:type="dxa" w:w="7056"/>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Service grid 3 columns, keep generous spacing.</w:t>
            </w:r>
          </w:p>
        </w:tc>
      </w:tr>
      <w:tr>
        <w:tc>
          <w:tcPr>
            <w:tcW w:type="dxa" w:w="2448"/>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Tablet 768px-991px</w:t>
            </w:r>
          </w:p>
        </w:tc>
        <w:tc>
          <w:tcPr>
            <w:tcW w:type="dxa" w:w="7056"/>
            <w:shd w:fill="FFFFFF"/>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Hero stacks, service grid 2 columns, overview strip 2 columns.</w:t>
            </w:r>
          </w:p>
        </w:tc>
      </w:tr>
      <w:tr>
        <w:tc>
          <w:tcPr>
            <w:tcW w:type="dxa" w:w="2448"/>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Mobile &lt;767px</w:t>
            </w:r>
          </w:p>
        </w:tc>
        <w:tc>
          <w:tcPr>
            <w:tcW w:type="dxa" w:w="7056"/>
            <w:shd w:fill="F7FAFC"/>
            <w:tcBorders>
              <w:top w:val="single" w:sz="4" w:space="0" w:color="D9E6F2"/>
              <w:left w:val="single" w:sz="4" w:space="0" w:color="D9E6F2"/>
              <w:bottom w:val="single" w:sz="4" w:space="0" w:color="D9E6F2"/>
              <w:right w:val="single" w:sz="4" w:space="0" w:color="D9E6F2"/>
            </w:tcBorders>
            <w:tcMar>
              <w:top w:w="100" w:type="dxa"/>
              <w:start w:w="120" w:type="dxa"/>
              <w:bottom w:w="100" w:type="dxa"/>
              <w:end w:w="120" w:type="dxa"/>
            </w:tcMar>
            <w:vAlign w:val="top"/>
          </w:tcPr>
          <w:p>
            <w:pPr>
              <w:spacing w:after="0" w:line="252" w:lineRule="auto"/>
            </w:pPr>
            <w:r/>
            <w:r>
              <w:rPr>
                <w:b w:val="0"/>
                <w:i w:val="0"/>
                <w:color w:val="475569"/>
                <w:sz w:val="16"/>
              </w:rPr>
              <w:t>Single-column layout, larger tap targets, CTA buttons full width, timeline vertical.</w:t>
            </w:r>
          </w:p>
        </w:tc>
      </w:tr>
    </w:tbl>
    <w:p>
      <w:pPr>
        <w:spacing w:after="60"/>
      </w:pPr>
    </w:p>
    <w:p>
      <w:pPr>
        <w:pStyle w:val="Heading1"/>
        <w:spacing w:before="200" w:after="80"/>
      </w:pPr>
      <w:r>
        <w:rPr>
          <w:b/>
          <w:color w:val="14213D"/>
          <w:sz w:val="40"/>
        </w:rPr>
        <w:t>Final Page Summary</w:t>
      </w:r>
    </w:p>
    <w:tbl>
      <w:tblPr>
        <w:tblW w:type="auto" w:w="0"/>
        <w:jc w:val="center"/>
        <w:tblLook w:firstColumn="1" w:firstRow="1" w:lastColumn="0" w:lastRow="0" w:noHBand="0" w:noVBand="1" w:val="04A0"/>
      </w:tblPr>
      <w:tblGrid>
        <w:gridCol w:w="10454"/>
      </w:tblGrid>
      <w:tr>
        <w:tc>
          <w:tcPr>
            <w:tcW w:type="dxa" w:w="10454"/>
            <w:shd w:fill="F5FBF7"/>
            <w:tcBorders>
              <w:top w:val="single" w:sz="8" w:space="0" w:color="82B440"/>
              <w:left w:val="single" w:sz="8" w:space="0" w:color="82B440"/>
              <w:bottom w:val="single" w:sz="8" w:space="0" w:color="82B440"/>
              <w:right w:val="single" w:sz="8" w:space="0" w:color="82B440"/>
            </w:tcBorders>
            <w:tcMar>
              <w:top w:w="180" w:type="dxa"/>
              <w:start w:w="180" w:type="dxa"/>
              <w:bottom w:w="180" w:type="dxa"/>
              <w:end w:w="180" w:type="dxa"/>
            </w:tcMar>
          </w:tcPr>
          <w:p>
            <w:pPr>
              <w:spacing w:after="40"/>
            </w:pPr>
            <w:r/>
            <w:r>
              <w:rPr>
                <w:b/>
                <w:i w:val="0"/>
                <w:color w:val="14213D"/>
                <w:sz w:val="20"/>
              </w:rPr>
              <w:t>Final Decision</w:t>
            </w:r>
          </w:p>
          <w:p>
            <w:pPr>
              <w:spacing w:after="0" w:line="259" w:lineRule="auto"/>
            </w:pPr>
            <w:r>
              <w:rPr>
                <w:b w:val="0"/>
                <w:i w:val="0"/>
                <w:color w:val="475569"/>
                <w:sz w:val="18"/>
              </w:rPr>
              <w:t>The Services page should act as the main overview of Subsidy Gyaan’s advisory capability. It should not become a long scheme-detail page. Keep it conversion-focused, easy to scan, and connected to Central Government Subsidies, Gujarat Government Subsidies and Contact pages.</w:t>
            </w:r>
          </w:p>
        </w:tc>
      </w:tr>
    </w:tbl>
    <w:p>
      <w:pPr>
        <w:spacing w:after="40"/>
      </w:pPr>
    </w:p>
    <w:sectPr w:rsidR="00FC693F" w:rsidRPr="0006063C" w:rsidSect="00034616">
      <w:headerReference w:type="default" r:id="rId9"/>
      <w:footerReference w:type="default" r:id="rId10"/>
      <w:pgSz w:w="12240" w:h="15840"/>
      <w:pgMar w:top="792" w:right="893" w:bottom="792" w:left="893" w:header="720" w:footer="720" w:gutter="0"/>
      <w:cols w:space="720"/>
      <w:docGrid w:linePitch="360"/>
      <w:pgBorders w:offsetFrom="page">
        <w:top w:val="single" w:sz="8" w:space="16" w:color="D7E7F3"/>
        <w:left w:val="single" w:sz="8" w:space="16" w:color="D7E7F3"/>
        <w:bottom w:val="single" w:sz="8" w:space="16" w:color="D7E7F3"/>
        <w:right w:val="single" w:sz="8" w:space="16" w:color="D7E7F3"/>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0D7C83"/>
        <w:sz w:val="16"/>
      </w:rPr>
      <w:t>Subsidy Gyaan by Advait Associates — Gyaan se Pragati, Salah se Samriddhi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i w:val="0"/>
        <w:color w:val="475569"/>
        <w:sz w:val="16"/>
      </w:rPr>
      <w:t>Subsidy Gyaan Website Planning | Services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47556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Subsidy Gyaan Services Page Layout Document</dc:title>
  <dc:subject>Website planning document for Services page</dc:subject>
  <dc:creator>OpenAI</dc:creator>
  <cp:keywords>Subsidy Gyaan, services page, subsidy consultancy, DPR, registrations</cp:keywords>
  <dc:description/>
  <cp:lastModifiedBy/>
  <cp:revision>1</cp:revision>
  <dcterms:created xsi:type="dcterms:W3CDTF">2013-12-23T23:15:00Z</dcterms:created>
  <dcterms:modified xsi:type="dcterms:W3CDTF">2013-12-23T23:15:00Z</dcterms:modified>
  <cp:category/>
</cp:coreProperties>
</file>