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  <w:jc w:val="center"/>
      </w:pPr>
      <w:r>
        <w:drawing>
          <wp:inline distT="0" distB="0" distL="0" distR="0">
            <wp:extent cx="5905500" cy="23050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305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right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Date: 1st June 2026</w:t>
      </w:r>
    </w:p>
    <w:p>
      <w:pPr>
        <w:spacing w:after="40"/>
      </w:pPr>
      <w:r>
        <w:rPr>
          <w:rFonts w:ascii="Arial" w:cs="Arial" w:eastAsia="Arial" w:hAnsi="Arial"/>
          <w:sz w:val="21"/>
          <w:szCs w:val="21"/>
        </w:rPr>
        <w:t xml:space="preserve">To,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Vinayak Sharma</w:t>
      </w:r>
    </w:p>
    <w:p>
      <w:pPr>
        <w:spacing w:after="120"/>
      </w:pPr>
      <w:r>
        <w:rPr>
          <w:rFonts w:ascii="Arial" w:cs="Arial" w:eastAsia="Arial" w:hAnsi="Arial"/>
          <w:b/>
          <w:bCs/>
          <w:sz w:val="21"/>
          <w:szCs w:val="21"/>
        </w:rPr>
        <w:t xml:space="preserve">Dear Vinayak Sharma,</w:t>
      </w:r>
    </w:p>
    <w:p>
      <w:pPr>
        <w:spacing w:after="100"/>
      </w:pPr>
      <w:r>
        <w:rPr>
          <w:rFonts w:ascii="Arial" w:cs="Arial" w:eastAsia="Arial" w:hAnsi="Arial"/>
          <w:sz w:val="20"/>
          <w:szCs w:val="20"/>
        </w:rPr>
        <w:t xml:space="preserve">We are pleased to offer you the position of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AI Agent Developer</w:t>
      </w:r>
      <w:r>
        <w:rPr>
          <w:rFonts w:ascii="Arial" w:cs="Arial" w:eastAsia="Arial" w:hAnsi="Arial"/>
          <w:sz w:val="20"/>
          <w:szCs w:val="20"/>
        </w:rPr>
        <w:t xml:space="preserve"> at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EDEMS Pvt. Ltd.</w:t>
      </w:r>
      <w:r>
        <w:rPr>
          <w:rFonts w:ascii="Arial" w:cs="Arial" w:eastAsia="Arial" w:hAnsi="Arial"/>
          <w:sz w:val="20"/>
          <w:szCs w:val="20"/>
        </w:rPr>
        <w:t xml:space="preserve">, an AIC GGSIPU incubated startup specializing in Robotics and Artificial Intelligence. We are confident that your technical skills and background will make you a valuable addition to our team.</w:t>
      </w:r>
    </w:p>
    <w:p>
      <w:pPr>
        <w:spacing w:after="150"/>
      </w:pPr>
      <w:r>
        <w:rPr>
          <w:rFonts w:ascii="Arial" w:cs="Arial" w:eastAsia="Arial" w:hAnsi="Arial"/>
          <w:sz w:val="20"/>
          <w:szCs w:val="20"/>
        </w:rPr>
        <w:t xml:space="preserve">Your employment will commence on </w:t>
      </w:r>
      <w:r>
        <w:rPr>
          <w:rFonts w:ascii="Arial" w:cs="Arial" w:eastAsia="Arial" w:hAnsi="Arial"/>
          <w:b/>
          <w:bCs/>
          <w:sz w:val="20"/>
          <w:szCs w:val="20"/>
        </w:rPr>
        <w:t xml:space="preserve">1st June 2026</w:t>
      </w:r>
      <w:r>
        <w:rPr>
          <w:rFonts w:ascii="Arial" w:cs="Arial" w:eastAsia="Arial" w:hAnsi="Arial"/>
          <w:sz w:val="20"/>
          <w:szCs w:val="20"/>
        </w:rPr>
        <w:t xml:space="preserve">. During your tenure, you will work closely with our engineering team to design, deploy, and refine state-of-the-art AI systems and agentic workflows.</w:t>
      </w:r>
    </w:p>
    <w:tbl>
      <w:tblPr>
        <w:tblW w:type="pct" w:w="100%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0"/>
        <w:gridCol w:w="100"/>
        <w:gridCol w:w="100"/>
      </w:tblGrid>
      <w:tr>
        <w:tc>
          <w:tcPr>
            <w:tcW w:type="pct" w:w="48%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type="pct" w:w="100%"/>
              <w:tblBorders>
                <w:top w:val="single" w:color="D1A153" w:sz="6"/>
                <w:left w:val="single" w:color="D1A153" w:sz="6"/>
                <w:bottom w:val="single" w:color="D1A153" w:sz="6"/>
                <w:right w:val="single" w:color="D1A153" w:sz="6"/>
                <w:insideH w:val="nil"/>
                <w:insideV w:val="nil"/>
              </w:tblBorders>
            </w:tblPr>
            <w:tblGrid>
              <w:gridCol w:w="100"/>
            </w:tblGrid>
            <w:tr>
              <w:tc>
                <w:tcPr>
                  <w:shd w:fill="002D62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APPOINTMENT DETAILS</w:t>
                  </w:r>
                </w:p>
              </w:tc>
            </w:tr>
            <w:tr>
              <w:tc>
                <w:tcPr>
                  <w:shd w:fill="F5F7FA" w:val="clear"/>
                  <w:tcMar>
                    <w:top w:type="dxa" w:w="180"/>
                    <w:left w:type="dxa" w:w="180"/>
                    <w:bottom w:type="dxa" w:w="180"/>
                    <w:right w:type="dxa" w:w="18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• Position: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AI Agent Developer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• Organization: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EDEMS Pvt. Ltd.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• Employment: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Full-Time, Permanent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• Joining Date: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1st June 2026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• CTC: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INR 8,40,000 per annum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• Work Mode: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Remote / Hybrid / On-site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• Working Hours: </w:t>
                  </w:r>
                  <w:r>
                    <w:rPr>
                      <w:rFonts w:ascii="Arial" w:cs="Arial" w:eastAsia="Arial" w:hAnsi="Arial"/>
                      <w:sz w:val="18"/>
                      <w:szCs w:val="18"/>
                    </w:rPr>
                    <w:t xml:space="preserve">9:00 AM - 6:00 PM</w:t>
                  </w:r>
                </w:p>
              </w:tc>
            </w:tr>
          </w:tbl>
          <w:p/>
        </w:tc>
        <w:tc>
          <w:tcPr>
            <w:tcW w:type="pct" w:w="4%"/>
            <w:tcBorders>
              <w:top w:val="nil"/>
              <w:left w:val="nil"/>
              <w:bottom w:val="nil"/>
              <w:right w:val="nil"/>
            </w:tcBorders>
          </w:tcPr>
          <w:p>
            <w:r>
              <w:t xml:space="preserve"/>
            </w:r>
          </w:p>
        </w:tc>
        <w:tc>
          <w:tcPr>
            <w:tcW w:type="pct" w:w="48%"/>
            <w:tcBorders>
              <w:top w:val="nil"/>
              <w:left w:val="nil"/>
              <w:bottom w:val="nil"/>
              <w:right w:val="nil"/>
            </w:tcBorders>
          </w:tcPr>
          <w:tbl>
            <w:tblPr>
              <w:tblW w:type="pct" w:w="100%"/>
              <w:tblBorders>
                <w:top w:val="single" w:color="D1A153" w:sz="6"/>
                <w:left w:val="single" w:color="D1A153" w:sz="6"/>
                <w:bottom w:val="single" w:color="D1A153" w:sz="6"/>
                <w:right w:val="single" w:color="D1A153" w:sz="6"/>
                <w:insideH w:val="nil"/>
                <w:insideV w:val="nil"/>
              </w:tblBorders>
            </w:tblPr>
            <w:tblGrid>
              <w:gridCol w:w="100"/>
            </w:tblGrid>
            <w:tr>
              <w:tc>
                <w:tcPr>
                  <w:shd w:fill="002D62" w:val="clear"/>
                  <w:tcMar>
                    <w:top w:type="dxa" w:w="120"/>
                    <w:left w:type="dxa" w:w="180"/>
                    <w:bottom w:type="dxa" w:w="120"/>
                    <w:right w:type="dxa" w:w="180"/>
                  </w:tcMar>
                </w:tcPr>
                <w:p>
                  <w:pPr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9"/>
                      <w:szCs w:val="19"/>
                    </w:rPr>
                    <w:t xml:space="preserve">KEY RESPONSIBILITIES</w:t>
                  </w:r>
                </w:p>
              </w:tc>
            </w:tr>
            <w:tr>
              <w:tc>
                <w:tcPr>
                  <w:shd w:fill="F5F7FA" w:val="clear"/>
                  <w:tcMar>
                    <w:top w:type="dxa" w:w="180"/>
                    <w:left w:type="dxa" w:w="180"/>
                    <w:bottom w:type="dxa" w:w="180"/>
                    <w:right w:type="dxa" w:w="180"/>
                  </w:tcMar>
                </w:tcPr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✓ AI Agent Development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✓ Workflow Automation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✓ LLM Integration &amp; Prompting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✓ Multi-Agent Orchestration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✓ API &amp; Database Integration</w:t>
                  </w:r>
                </w:p>
                <w:p>
                  <w:pPr>
                    <w:spacing w:after="60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✓ Latency &amp; Accuracy Optimization</w:t>
                  </w:r>
                </w:p>
                <w:p>
                  <w:pPr>
                    <w:spacing w:after="0"/>
                  </w:pPr>
                  <w:r>
                    <w:rPr>
                      <w:rFonts w:ascii="Arial" w:cs="Arial" w:eastAsia="Arial" w:hAnsi="Arial"/>
                      <w:b/>
                      <w:bCs/>
                      <w:sz w:val="18"/>
                      <w:szCs w:val="18"/>
                    </w:rPr>
                    <w:t xml:space="preserve">✓ Edge AI &amp; Robotics Support</w:t>
                  </w:r>
                </w:p>
              </w:tc>
            </w:tr>
          </w:tbl>
          <w:p/>
        </w:tc>
      </w:tr>
    </w:tbl>
    <w:p>
      <w:pPr>
        <w:spacing w:after="150"/>
      </w:pPr>
    </w:p>
    <w:tbl>
      <w:tblPr>
        <w:tblW w:type="pct" w:w="100%"/>
        <w:tblBorders>
          <w:top w:val="single" w:color="D1A153" w:sz="6"/>
          <w:left w:val="single" w:color="D1A153" w:sz="6"/>
          <w:bottom w:val="single" w:color="D1A153" w:sz="6"/>
          <w:right w:val="single" w:color="D1A153" w:sz="6"/>
          <w:insideH w:val="nil"/>
          <w:insideV w:val="nil"/>
        </w:tblBorders>
      </w:tblPr>
      <w:tblGrid>
        <w:gridCol w:w="100"/>
      </w:tblGrid>
      <w:tr>
        <w:tc>
          <w:tcPr>
            <w:shd w:fill="002D6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TERMS &amp; CONDITIONS</w:t>
            </w:r>
          </w:p>
        </w:tc>
      </w:tr>
      <w:tr>
        <w:tc>
          <w:tcPr>
            <w:shd w:fill="F5F7FA" w:val="clear"/>
            <w:tcMar>
              <w:top w:type="dxa" w:w="180"/>
              <w:left w:type="dxa" w:w="180"/>
              <w:bottom w:type="dxa" w:w="180"/>
              <w:right w:type="dxa" w:w="180"/>
            </w:tcMar>
          </w:tcPr>
          <w:p>
            <w:pPr>
              <w:spacing w:after="6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1. Confidentiality: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You will protect and keep strictly confidential all company codebase, model architectures, business strategies, and proprietary information.</w:t>
            </w:r>
          </w:p>
          <w:p>
            <w:pPr>
              <w:spacing w:after="6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2. Intellectual Property: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Any models, code, workflows, configurations, or solutions developed by you during your tenure will remain the exclusive property of EDEMS Pvt. Ltd.</w:t>
            </w:r>
          </w:p>
          <w:p>
            <w:pPr>
              <w:spacing w:after="65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3. Termination &amp; Notice: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Either party may terminate the employment by providing a 30-day prior written notice or basic salary in lieu thereof, subject to hand-over completion.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4. Professional Standards: </w:t>
            </w:r>
            <w:r>
              <w:rPr>
                <w:rFonts w:ascii="Arial" w:cs="Arial" w:eastAsia="Arial" w:hAnsi="Arial"/>
                <w:sz w:val="18"/>
                <w:szCs w:val="18"/>
              </w:rPr>
              <w:t xml:space="preserve">You are expected to adhere to all standard workplace guidelines, report times, and collaborate closely with your respective technical lead.</w:t>
            </w:r>
          </w:p>
        </w:tc>
      </w:tr>
    </w:tbl>
    <w:p>
      <w:pPr>
        <w:spacing w:after="100"/>
      </w:pPr>
    </w:p>
    <w:p>
      <w:pPr>
        <w:jc w:val="center"/>
      </w:pPr>
      <w:r>
        <w:drawing>
          <wp:inline distT="0" distB="0" distL="0" distR="0">
            <wp:extent cx="5905500" cy="20764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500" w:right="900" w:bottom="5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c58d7024854533ef5d7fdf9d74e3beca15f579a1.png"/><Relationship Id="rId8" Type="http://schemas.openxmlformats.org/officeDocument/2006/relationships/image" Target="media/23184125fc6711d90dd7f3771fd6737b70bcbb5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2026-06-01T22:25:11.199Z</dcterms:created>
  <dcterms:modified xsi:type="dcterms:W3CDTF">2026-06-01T22:25:11.200Z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