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POLÍTICA DE TRATAMIENTO DE DATOS PERSONALES</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1. Responsable</w:t>
      </w:r>
    </w:p>
    <w:p>
      <w:r>
        <w:t>Responsable: [NOMBRE LEGAL COMPLETO DEL RESPONSABLE / TITULAR DE TECHN0ULTRA]. Identificación: [CC/NIT]. Dirección: [DIRECCIÓN FÍSICA DE NOTIFICACIONES]. Ciudad: [CIUDAD, COLOMBIA]. Correo: [CORREO JURÍDICO/DE PRIVACIDAD]. Teléfono: [TELÉFONO DE CONTACTO].</w:t>
      </w:r>
    </w:p>
    <w:p>
      <w:pPr>
        <w:pStyle w:val="Heading1"/>
      </w:pPr>
      <w:r>
        <w:t>2. Objeto</w:t>
      </w:r>
    </w:p>
    <w:p>
      <w:r>
        <w:t>Establecer las reglas para la recolección, almacenamiento, uso, circulación, actualización, consulta, seguridad y supresión de datos personales tratados a través de TechnoUltra, de conformidad con la Ley 1581 de 2012 y su reglamentación.</w:t>
      </w:r>
    </w:p>
    <w:p>
      <w:pPr>
        <w:pStyle w:val="Heading1"/>
      </w:pPr>
      <w:r>
        <w:t>3. Principios</w:t>
      </w:r>
    </w:p>
    <w:p>
      <w:pPr>
        <w:pStyle w:val="ListBullet"/>
      </w:pPr>
      <w:r>
        <w:t>Legalidad</w:t>
      </w:r>
    </w:p>
    <w:p>
      <w:pPr>
        <w:pStyle w:val="ListBullet"/>
      </w:pPr>
      <w:r>
        <w:t>Finalidad</w:t>
      </w:r>
    </w:p>
    <w:p>
      <w:pPr>
        <w:pStyle w:val="ListBullet"/>
      </w:pPr>
      <w:r>
        <w:t>Libertad</w:t>
      </w:r>
    </w:p>
    <w:p>
      <w:pPr>
        <w:pStyle w:val="ListBullet"/>
      </w:pPr>
      <w:r>
        <w:t>Veracidad o calidad</w:t>
      </w:r>
    </w:p>
    <w:p>
      <w:pPr>
        <w:pStyle w:val="ListBullet"/>
      </w:pPr>
      <w:r>
        <w:t>Transparencia</w:t>
      </w:r>
    </w:p>
    <w:p>
      <w:pPr>
        <w:pStyle w:val="ListBullet"/>
      </w:pPr>
      <w:r>
        <w:t>Acceso y circulación restringida</w:t>
      </w:r>
    </w:p>
    <w:p>
      <w:pPr>
        <w:pStyle w:val="ListBullet"/>
      </w:pPr>
      <w:r>
        <w:t>Seguridad</w:t>
      </w:r>
    </w:p>
    <w:p>
      <w:pPr>
        <w:pStyle w:val="ListBullet"/>
      </w:pPr>
      <w:r>
        <w:t>Confidencialidad</w:t>
      </w:r>
    </w:p>
    <w:p>
      <w:pPr>
        <w:pStyle w:val="Heading1"/>
      </w:pPr>
      <w:r>
        <w:t>4. Datos tratados</w:t>
      </w:r>
    </w:p>
    <w:p>
      <w:r>
        <w:t>Según el servicio pueden tratarse nombres, identificación, correo, teléfono, dirección, datos de cuenta, datos de equipos, seriales, fotografías, videos, evidencias técnicas, historial de servicios, cotizaciones, pagos, documentos, firmas electrónicas, registros de soporte y datos de uso necesarios para seguridad y operación.</w:t>
      </w:r>
    </w:p>
    <w:p>
      <w:pPr>
        <w:pStyle w:val="Heading1"/>
      </w:pPr>
      <w:r>
        <w:t>5. Datos sensibles y biometría</w:t>
      </w:r>
    </w:p>
    <w:p>
      <w:r>
        <w:t>TechnoUltra procurará no recolectar datos sensibles. Una firma manuscrita capturada en pantalla, cuando se utilice como evidencia de aceptación electrónica, deberá tratarse bajo una finalidad específica, con acceso restringido y controles de seguridad. El abogado deberá confirmar su clasificación concreta y la necesidad de autorización expresa según el mecanismo definitivo.</w:t>
      </w:r>
    </w:p>
    <w:p>
      <w:pPr>
        <w:pStyle w:val="Heading1"/>
      </w:pPr>
      <w:r>
        <w:t>6. Finalidades</w:t>
      </w:r>
    </w:p>
    <w:p>
      <w:pPr>
        <w:pStyle w:val="ListBullet"/>
      </w:pPr>
      <w:r>
        <w:t>Crear y administrar cuentas.</w:t>
      </w:r>
    </w:p>
    <w:p>
      <w:pPr>
        <w:pStyle w:val="ListBullet"/>
      </w:pPr>
      <w:r>
        <w:t>Atender solicitudes, tickets, diagnósticos, cotizaciones, pedidos y garantías.</w:t>
      </w:r>
    </w:p>
    <w:p>
      <w:pPr>
        <w:pStyle w:val="ListBullet"/>
      </w:pPr>
      <w:r>
        <w:t>Prestar servicios presenciales y remotos.</w:t>
      </w:r>
    </w:p>
    <w:p>
      <w:pPr>
        <w:pStyle w:val="ListBullet"/>
      </w:pPr>
      <w:r>
        <w:t>Gestionar pagos y conciliaciones.</w:t>
      </w:r>
    </w:p>
    <w:p>
      <w:pPr>
        <w:pStyle w:val="ListBullet"/>
      </w:pPr>
      <w:r>
        <w:t>Generar documentos y conservar evidencia de autorizaciones.</w:t>
      </w:r>
    </w:p>
    <w:p>
      <w:pPr>
        <w:pStyle w:val="ListBullet"/>
      </w:pPr>
      <w:r>
        <w:t>Comunicarse sobre la operación contratada.</w:t>
      </w:r>
    </w:p>
    <w:p>
      <w:pPr>
        <w:pStyle w:val="ListBullet"/>
      </w:pPr>
      <w:r>
        <w:t>Prevenir fraude, abuso, accesos no autorizados y ataques.</w:t>
      </w:r>
    </w:p>
    <w:p>
      <w:pPr>
        <w:pStyle w:val="ListBullet"/>
      </w:pPr>
      <w:r>
        <w:t>Cumplir obligaciones legales y atender autoridades competentes.</w:t>
      </w:r>
    </w:p>
    <w:p>
      <w:pPr>
        <w:pStyle w:val="ListBullet"/>
      </w:pPr>
      <w:r>
        <w:t>Realizar soporte, mantenimiento y servicio al cliente.</w:t>
      </w:r>
    </w:p>
    <w:p>
      <w:pPr>
        <w:pStyle w:val="ListBullet"/>
      </w:pPr>
      <w:r>
        <w:t>Enviar comunicaciones comerciales únicamente cuando exista base jurídica/autorización aplicable.</w:t>
      </w:r>
    </w:p>
    <w:p>
      <w:pPr>
        <w:pStyle w:val="Heading1"/>
      </w:pPr>
      <w:r>
        <w:t>7. Encargados y terceros</w:t>
      </w:r>
    </w:p>
    <w:p>
      <w:r>
        <w:t>Podrán intervenir proveedores tecnológicos necesarios para operar la plataforma, tales como alojamiento, autenticación, correo electrónico, almacenamiento de evidencias, inteligencia artificial y pagos. Estos terceros solo deberán recibir información necesaria para su finalidad y deberán estar sujetos a las garantías contractuales y legales aplicables.</w:t>
      </w:r>
    </w:p>
    <w:p>
      <w:pPr>
        <w:pStyle w:val="Heading1"/>
      </w:pPr>
      <w:r>
        <w:t>8. Transferencias internacionales</w:t>
      </w:r>
    </w:p>
    <w:p>
      <w:r>
        <w:t>Algunos proveedores tecnológicos pueden procesar información fuera de Colombia. Antes de la implementación definitiva, TechnoUltra deberá documentar los proveedores, países, categorías de datos y mecanismo jurídico aplicable a cada transferencia o transmisión internacional, conforme a la Ley 1581 y reglamentación vigente.</w:t>
      </w:r>
    </w:p>
    <w:p>
      <w:pPr>
        <w:pStyle w:val="Heading1"/>
      </w:pPr>
      <w:r>
        <w:t>9. Derechos del titular</w:t>
      </w:r>
    </w:p>
    <w:p>
      <w:pPr>
        <w:pStyle w:val="ListBullet"/>
      </w:pPr>
      <w:r>
        <w:t>Conocer, actualizar y rectificar sus datos.</w:t>
      </w:r>
    </w:p>
    <w:p>
      <w:pPr>
        <w:pStyle w:val="ListBullet"/>
      </w:pPr>
      <w:r>
        <w:t>Solicitar prueba de la autorización cuando corresponda.</w:t>
      </w:r>
    </w:p>
    <w:p>
      <w:pPr>
        <w:pStyle w:val="ListBullet"/>
      </w:pPr>
      <w:r>
        <w:t>Ser informado sobre el uso de sus datos.</w:t>
      </w:r>
    </w:p>
    <w:p>
      <w:pPr>
        <w:pStyle w:val="ListBullet"/>
      </w:pPr>
      <w:r>
        <w:t>Presentar quejas ante la SIC después de agotar el trámite interno cuando corresponda.</w:t>
      </w:r>
    </w:p>
    <w:p>
      <w:pPr>
        <w:pStyle w:val="ListBullet"/>
      </w:pPr>
      <w:r>
        <w:t>Solicitar revocatoria o supresión cuando legalmente proceda.</w:t>
      </w:r>
    </w:p>
    <w:p>
      <w:pPr>
        <w:pStyle w:val="ListBullet"/>
      </w:pPr>
      <w:r>
        <w:t>Acceder gratuitamente a sus datos personales.</w:t>
      </w:r>
    </w:p>
    <w:p>
      <w:pPr>
        <w:pStyle w:val="Heading1"/>
      </w:pPr>
      <w:r>
        <w:t>10. Consultas y reclamos</w:t>
      </w:r>
    </w:p>
    <w:p>
      <w:r>
        <w:t>Las consultas y reclamos se recibirán en [CORREO JURÍDICO/DE PRIVACIDAD]. El Responsable aplicará los términos legales vigentes, verificará la identidad del solicitante y conservará evidencia de la solicitud y respuesta.</w:t>
      </w:r>
    </w:p>
    <w:p>
      <w:pPr>
        <w:pStyle w:val="Heading1"/>
      </w:pPr>
      <w:r>
        <w:t>11. Seguridad</w:t>
      </w:r>
    </w:p>
    <w:p>
      <w:r>
        <w:t>Se aplicarán controles técnicos, humanos y administrativos: RLS, mínimo privilegio, autenticación multifactor para personal, separación de roles, cifrado en tránsito, almacenamiento privado de evidencias, control de acceso, auditoría, copias de seguridad cuando estén habilitadas y gestión de incidentes.</w:t>
      </w:r>
    </w:p>
    <w:p>
      <w:pPr>
        <w:pStyle w:val="Heading1"/>
      </w:pPr>
      <w:r>
        <w:t>12. Conservación y supresión</w:t>
      </w:r>
    </w:p>
    <w:p>
      <w:r>
        <w:t>Los datos se conservarán durante el tiempo necesario para cumplir la finalidad, obligaciones legales, garantías, defensa de derechos y conservación de evidencia. La supresión podrá estar limitada cuando exista obligación legal, proceso pendiente, garantía vigente, obligación contable o necesidad probatoria.</w:t>
      </w:r>
    </w:p>
    <w:p>
      <w:pPr>
        <w:pStyle w:val="Heading1"/>
      </w:pPr>
      <w:r>
        <w:t>13. Vigencia</w:t>
      </w:r>
    </w:p>
    <w:p>
      <w:r>
        <w:t>Esta política rige desde [FECHA DE PUBLICACIÓN] y podrá actualizarse. Cada versión tendrá número, fecha y registro de vigencia.</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