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TECHNOULTRA</w:t>
      </w:r>
    </w:p>
    <w:p>
      <w:pPr>
        <w:jc w:val="center"/>
      </w:pPr>
      <w:r>
        <w:rPr>
          <w:b/>
          <w:sz w:val="34"/>
        </w:rPr>
        <w:t>POLÍTICA DE PRIVACIDAD Y AVISO DE PRIVACIDAD</w:t>
      </w:r>
    </w:p>
    <w:p>
      <w:pPr>
        <w:jc w:val="center"/>
      </w:pPr>
      <w:r>
        <w:rPr>
          <w:i/>
        </w:rPr>
        <w:t>Versión 1.0 — [FECHA DE PUBLICACIÓN]</w:t>
      </w:r>
    </w:p>
    <w:p>
      <w:pPr>
        <w:jc w:val="center"/>
      </w:pPr>
      <w:r>
        <w:rPr>
          <w:b/>
        </w:rPr>
        <w:t>BORRADOR JURÍDICO PARA REVISIÓN Y APROBACIÓN PROFESIONAL</w:t>
      </w:r>
    </w:p>
    <w:p>
      <w:r>
        <w:t>Nota: este documento es un borrador de trabajo preparado con base en la información del proyecto y normativa colombiana consultada. No constituye concepto jurídico ni sustituye la revisión de un abogado colombiano. Antes de publicarlo, deben completarse los datos del Responsable, validar la actividad económica, régimen tributario, operación concreta y actualizar la normativa aplicable.</w:t>
      </w:r>
    </w:p>
    <w:p>
      <w:r>
        <w:t>Datos que deben completarse antes de publicar:</w:t>
      </w:r>
    </w:p>
    <w:p>
      <w:pPr>
        <w:pStyle w:val="ListBullet"/>
      </w:pPr>
      <w:r>
        <w:t>RESPONSABLE: [NOMBRE LEGAL COMPLETO DEL RESPONSABLE / TITULAR DE TECHN0ULTRA]</w:t>
      </w:r>
    </w:p>
    <w:p>
      <w:pPr>
        <w:pStyle w:val="ListBullet"/>
      </w:pPr>
      <w:r>
        <w:t>IDENTIFICACION: [CC/NIT]</w:t>
      </w:r>
    </w:p>
    <w:p>
      <w:pPr>
        <w:pStyle w:val="ListBullet"/>
      </w:pPr>
      <w:r>
        <w:t>DOMICILIO: [DIRECCIÓN FÍSICA DE NOTIFICACIONES]</w:t>
      </w:r>
    </w:p>
    <w:p>
      <w:pPr>
        <w:pStyle w:val="ListBullet"/>
      </w:pPr>
      <w:r>
        <w:t>CIUDAD: [CIUDAD, COLOMBIA]</w:t>
      </w:r>
    </w:p>
    <w:p>
      <w:pPr>
        <w:pStyle w:val="ListBullet"/>
      </w:pPr>
      <w:r>
        <w:t>EMAIL: [CORREO JURÍDICO/DE PRIVACIDAD]</w:t>
      </w:r>
    </w:p>
    <w:p>
      <w:pPr>
        <w:pStyle w:val="ListBullet"/>
      </w:pPr>
      <w:r>
        <w:t>TELEFONO: [TELÉFONO DE CONTACTO]</w:t>
      </w:r>
    </w:p>
    <w:p>
      <w:pPr>
        <w:pStyle w:val="Heading1"/>
      </w:pPr>
      <w:r>
        <w:t>1. Alcance</w:t>
      </w:r>
    </w:p>
    <w:p>
      <w:r>
        <w:t>Este documento explica de forma comprensible cómo TechnoUltra trata información personal cuando una persona visita el sitio, utiliza la PWA, crea una cuenta, solicita soporte, compra productos o contrata servicios.</w:t>
      </w:r>
    </w:p>
    <w:p>
      <w:pPr>
        <w:pStyle w:val="Heading1"/>
      </w:pPr>
      <w:r>
        <w:t>2. Información recopilada</w:t>
      </w:r>
    </w:p>
    <w:p>
      <w:pPr>
        <w:pStyle w:val="ListBullet"/>
      </w:pPr>
      <w:r>
        <w:t>Datos de identificación y contacto.</w:t>
      </w:r>
    </w:p>
    <w:p>
      <w:pPr>
        <w:pStyle w:val="ListBullet"/>
      </w:pPr>
      <w:r>
        <w:t>Datos de autenticación.</w:t>
      </w:r>
    </w:p>
    <w:p>
      <w:pPr>
        <w:pStyle w:val="ListBullet"/>
      </w:pPr>
      <w:r>
        <w:t>Datos de equipos y servicio.</w:t>
      </w:r>
    </w:p>
    <w:p>
      <w:pPr>
        <w:pStyle w:val="ListBullet"/>
      </w:pPr>
      <w:r>
        <w:t>Datos de pedidos, cotizaciones y pagos.</w:t>
      </w:r>
    </w:p>
    <w:p>
      <w:pPr>
        <w:pStyle w:val="ListBullet"/>
      </w:pPr>
      <w:r>
        <w:t>Evidencias técnicas.</w:t>
      </w:r>
    </w:p>
    <w:p>
      <w:pPr>
        <w:pStyle w:val="ListBullet"/>
      </w:pPr>
      <w:r>
        <w:t>Información de navegación y seguridad.</w:t>
      </w:r>
    </w:p>
    <w:p>
      <w:pPr>
        <w:pStyle w:val="ListBullet"/>
      </w:pPr>
      <w:r>
        <w:t>Registros de consentimiento y aceptación.</w:t>
      </w:r>
    </w:p>
    <w:p>
      <w:pPr>
        <w:pStyle w:val="ListBullet"/>
      </w:pPr>
      <w:r>
        <w:t>Información que el usuario suministre voluntariamente.</w:t>
      </w:r>
    </w:p>
    <w:p>
      <w:pPr>
        <w:pStyle w:val="Heading1"/>
      </w:pPr>
      <w:r>
        <w:t>3. Tecnologías</w:t>
      </w:r>
    </w:p>
    <w:p>
      <w:r>
        <w:t>La plataforma puede utilizar cookies, almacenamiento técnico, sesiones, service workers y tecnologías de seguridad necesarias para operar la PWA. Las herramientas analíticas y de monitoreo deberán configurarse minimizando datos personales y respetando las preferencias aplicables.</w:t>
      </w:r>
    </w:p>
    <w:p>
      <w:pPr>
        <w:pStyle w:val="Heading1"/>
      </w:pPr>
      <w:r>
        <w:t>4. Proveedores</w:t>
      </w:r>
    </w:p>
    <w:p>
      <w:r>
        <w:t>La operación puede involucrar Supabase, Vercel, Resend, Cloudinary, Google/Gemini, Mercado Pago y herramientas de observabilidad. El listado definitivo debe mantenerse actualizado en el inventario de terceros y en la evaluación de privacidad.</w:t>
      </w:r>
    </w:p>
    <w:p>
      <w:pPr>
        <w:pStyle w:val="Heading1"/>
      </w:pPr>
      <w:r>
        <w:t>5. Comunicaciones</w:t>
      </w:r>
    </w:p>
    <w:p>
      <w:r>
        <w:t>Las comunicaciones operativas relacionadas con una transacción pueden ser necesarias para ejecutar el servicio. Las comunicaciones comerciales deberán contar con la base jurídica o autorización que corresponda y ofrecer mecanismos apropiados de oposición o cancelación.</w:t>
      </w:r>
    </w:p>
    <w:p>
      <w:pPr>
        <w:pStyle w:val="Heading1"/>
      </w:pPr>
      <w:r>
        <w:t>6. Seguridad</w:t>
      </w:r>
    </w:p>
    <w:p>
      <w:r>
        <w:t>TechnoUltra utiliza controles de autenticación, autorización, RLS, MFA para personal, almacenamiento privado, registros de auditoría y medidas de protección contra accesos no autorizados.</w:t>
      </w:r>
    </w:p>
    <w:p>
      <w:pPr>
        <w:pStyle w:val="Heading1"/>
      </w:pPr>
      <w:r>
        <w:t>7. Derechos y contacto</w:t>
      </w:r>
    </w:p>
    <w:p>
      <w:r>
        <w:t>Para ejercer derechos o consultar esta política: [CORREO JURÍDICO/DE PRIVACIDAD].</w:t>
      </w:r>
    </w:p>
    <w:p>
      <w:pPr>
        <w:pStyle w:val="Heading1"/>
      </w:pPr>
      <w:r>
        <w:t>8. Actualizaciones</w:t>
      </w:r>
    </w:p>
    <w:p>
      <w:r>
        <w:t>Las modificaciones relevantes se publicarán indicando versión y fecha. Cuando la modificación requiera nueva autorización, se solicitará por el medio correspondiente.</w:t>
      </w:r>
    </w:p>
    <w:p>
      <w:pPr>
        <w:pStyle w:val="Heading1"/>
      </w:pPr>
      <w:r>
        <w:t>Base normativa y referencias para revisión</w:t>
      </w:r>
    </w:p>
    <w:p>
      <w:pPr>
        <w:pStyle w:val="ListBullet"/>
      </w:pPr>
      <w:r>
        <w:t>Constitución Política de Colombia, artículo 15 (intimidad, buen nombre y hábeas data) y artículo 20 (información).</w:t>
      </w:r>
    </w:p>
    <w:p>
      <w:pPr>
        <w:pStyle w:val="ListBullet"/>
      </w:pPr>
      <w:r>
        <w:t>Ley 1581 de 2012, régimen general de protección de datos personales.</w:t>
      </w:r>
    </w:p>
    <w:p>
      <w:pPr>
        <w:pStyle w:val="ListBullet"/>
      </w:pPr>
      <w:r>
        <w:t>Decreto 1074 de 2015, reglamentación compilada del sector Comercio, Industria y Turismo en materia de protección de datos y consumidor.</w:t>
      </w:r>
    </w:p>
    <w:p>
      <w:pPr>
        <w:pStyle w:val="ListBullet"/>
      </w:pPr>
      <w:r>
        <w:t>Ley 527 de 1999, mensajes de datos, comercio electrónico y firma electrónica/digital.</w:t>
      </w:r>
    </w:p>
    <w:p>
      <w:pPr>
        <w:pStyle w:val="ListBullet"/>
      </w:pPr>
      <w:r>
        <w:t>Decreto 2364 de 2012, reglamentación de la firma electrónica.</w:t>
      </w:r>
    </w:p>
    <w:p>
      <w:pPr>
        <w:pStyle w:val="ListBullet"/>
      </w:pPr>
      <w:r>
        <w:t>Ley 1480 de 2011, Estatuto del Consumidor, incluyendo comercio electrónico, garantías, retracto y deberes de información.</w:t>
      </w:r>
    </w:p>
    <w:p>
      <w:pPr>
        <w:pStyle w:val="ListBullet"/>
      </w:pPr>
      <w:r>
        <w:t>Ley 2439 de 2024 y criterios posteriores de la SIC aplicables al comercio electrónico.</w:t>
      </w:r>
    </w:p>
    <w:p>
      <w:pPr>
        <w:pStyle w:val="ListBullet"/>
      </w:pPr>
      <w:r>
        <w:t>Ley 2300 de 2023, cuando resulte aplicable a comunicaciones comerciales y canales de contacto.</w:t>
      </w:r>
    </w:p>
    <w:p>
      <w:pPr>
        <w:pStyle w:val="ListBullet"/>
      </w:pPr>
      <w:r>
        <w:t>Cualquier regulación posterior vigente al momento de publicación deberá ser verificada por el abogado revisor.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