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TECHNOULTRA</w:t>
      </w:r>
    </w:p>
    <w:p>
      <w:pPr>
        <w:jc w:val="center"/>
      </w:pPr>
      <w:r>
        <w:rPr>
          <w:b/>
          <w:sz w:val="34"/>
        </w:rPr>
        <w:t>CONDICIONES DEL SERVICIO TÉCNICO</w:t>
      </w:r>
    </w:p>
    <w:p>
      <w:pPr>
        <w:jc w:val="center"/>
      </w:pPr>
      <w:r>
        <w:rPr>
          <w:i/>
        </w:rPr>
        <w:t>Versión 1.0 — [FECHA DE PUBLICACIÓN]</w:t>
      </w:r>
    </w:p>
    <w:p>
      <w:pPr>
        <w:jc w:val="center"/>
      </w:pPr>
      <w:r>
        <w:rPr>
          <w:b/>
        </w:rPr>
        <w:t>BORRADOR JURÍDICO PARA REVISIÓN Y APROBACIÓN PROFESIONAL</w:t>
      </w:r>
    </w:p>
    <w:p>
      <w:r>
        <w:t>Nota: este documento es un borrador de trabajo preparado con base en la información del proyecto y normativa colombiana consultada. No constituye concepto jurídico ni sustituye la revisión de un abogado colombiano. Antes de publicarlo, deben completarse los datos del Responsable, validar la actividad económica, régimen tributario, operación concreta y actualizar la normativa aplicable.</w:t>
      </w:r>
    </w:p>
    <w:p>
      <w:r>
        <w:t>Datos que deben completarse antes de publicar:</w:t>
      </w:r>
    </w:p>
    <w:p>
      <w:pPr>
        <w:pStyle w:val="ListBullet"/>
      </w:pPr>
      <w:r>
        <w:t>RESPONSABLE: [NOMBRE LEGAL COMPLETO DEL RESPONSABLE / TITULAR DE TECHN0ULTRA]</w:t>
      </w:r>
    </w:p>
    <w:p>
      <w:pPr>
        <w:pStyle w:val="ListBullet"/>
      </w:pPr>
      <w:r>
        <w:t>IDENTIFICACION: [CC/NIT]</w:t>
      </w:r>
    </w:p>
    <w:p>
      <w:pPr>
        <w:pStyle w:val="ListBullet"/>
      </w:pPr>
      <w:r>
        <w:t>DOMICILIO: [DIRECCIÓN FÍSICA DE NOTIFICACIONES]</w:t>
      </w:r>
    </w:p>
    <w:p>
      <w:pPr>
        <w:pStyle w:val="ListBullet"/>
      </w:pPr>
      <w:r>
        <w:t>CIUDAD: [CIUDAD, COLOMBIA]</w:t>
      </w:r>
    </w:p>
    <w:p>
      <w:pPr>
        <w:pStyle w:val="ListBullet"/>
      </w:pPr>
      <w:r>
        <w:t>EMAIL: [CORREO JURÍDICO/DE PRIVACIDAD]</w:t>
      </w:r>
    </w:p>
    <w:p>
      <w:pPr>
        <w:pStyle w:val="ListBullet"/>
      </w:pPr>
      <w:r>
        <w:t>TELEFONO: [TELÉFONO DE CONTACTO]</w:t>
      </w:r>
    </w:p>
    <w:p>
      <w:pPr>
        <w:pStyle w:val="Heading1"/>
      </w:pPr>
      <w:r>
        <w:t>1. Alcance</w:t>
      </w:r>
    </w:p>
    <w:p>
      <w:r>
        <w:t>Estas condiciones aplican a diagnóstico, mantenimiento, reparación, instalación, soporte remoto, servicio a domicilio, recogida y entrega cuando sean contratados.</w:t>
      </w:r>
    </w:p>
    <w:p>
      <w:pPr>
        <w:pStyle w:val="Heading1"/>
      </w:pPr>
      <w:r>
        <w:t>2. Recepción</w:t>
      </w:r>
    </w:p>
    <w:p>
      <w:r>
        <w:t>Antes de intervenir el equipo se documentará, cuando sea pertinente, su estado físico, serial, accesorios, daños preexistentes, fotografías, motivo de ingreso y observaciones. El cliente deberá informar contraseñas o mecanismos de acceso solo cuando sean estrictamente necesarios y preferiblemente mediante canales seguros.</w:t>
      </w:r>
    </w:p>
    <w:p>
      <w:pPr>
        <w:pStyle w:val="Heading1"/>
      </w:pPr>
      <w:r>
        <w:t>3. Diagnóstico y autorización</w:t>
      </w:r>
    </w:p>
    <w:p>
      <w:r>
        <w:t>El diagnóstico determina el alcance técnicamente razonable del trabajo. No se ejecutarán reparaciones adicionales no autorizadas, salvo actuaciones necesarias para evitar un riesgo inmediato y cuando la ley y las circunstancias lo permitan.</w:t>
      </w:r>
    </w:p>
    <w:p>
      <w:pPr>
        <w:pStyle w:val="Heading1"/>
      </w:pPr>
      <w:r>
        <w:t>4. Pérdida de información</w:t>
      </w:r>
    </w:p>
    <w:p>
      <w:r>
        <w:t>El cliente es responsable de contar con copias de seguridad de su información. TechnoUltra adoptará medidas razonables, pero los procesos de reparación, reinstalación, actualización, formateo, cambio de almacenamiento o recuperación pueden implicar riesgos de pérdida o corrupción de datos. Cuando sea posible, se ofrecerá respaldo o se dejará constancia de la negativa del cliente.</w:t>
      </w:r>
    </w:p>
    <w:p>
      <w:pPr>
        <w:pStyle w:val="Heading1"/>
      </w:pPr>
      <w:r>
        <w:t>5. Piezas y repuestos</w:t>
      </w:r>
    </w:p>
    <w:p>
      <w:r>
        <w:t>Cuando el servicio requiera repuestos, la cotización indicará, cuando sea posible, referencia, condición, compatibilidad, valor y garantía aplicable. Los tiempos pueden variar por disponibilidad del proveedor.</w:t>
      </w:r>
    </w:p>
    <w:p>
      <w:pPr>
        <w:pStyle w:val="Heading1"/>
      </w:pPr>
      <w:r>
        <w:t>6. Estados</w:t>
      </w:r>
    </w:p>
    <w:p>
      <w:pPr>
        <w:pStyle w:val="ListBullet"/>
      </w:pPr>
      <w:r>
        <w:t>Recibido</w:t>
      </w:r>
    </w:p>
    <w:p>
      <w:pPr>
        <w:pStyle w:val="ListBullet"/>
      </w:pPr>
      <w:r>
        <w:t>En diagnóstico</w:t>
      </w:r>
    </w:p>
    <w:p>
      <w:pPr>
        <w:pStyle w:val="ListBullet"/>
      </w:pPr>
      <w:r>
        <w:t>Esperando aprobación</w:t>
      </w:r>
    </w:p>
    <w:p>
      <w:pPr>
        <w:pStyle w:val="ListBullet"/>
      </w:pPr>
      <w:r>
        <w:t>Esperando repuesto</w:t>
      </w:r>
    </w:p>
    <w:p>
      <w:pPr>
        <w:pStyle w:val="ListBullet"/>
      </w:pPr>
      <w:r>
        <w:t>En servicio</w:t>
      </w:r>
    </w:p>
    <w:p>
      <w:pPr>
        <w:pStyle w:val="ListBullet"/>
      </w:pPr>
      <w:r>
        <w:t>En pruebas</w:t>
      </w:r>
    </w:p>
    <w:p>
      <w:pPr>
        <w:pStyle w:val="ListBullet"/>
      </w:pPr>
      <w:r>
        <w:t>Listo para entregar</w:t>
      </w:r>
    </w:p>
    <w:p>
      <w:pPr>
        <w:pStyle w:val="ListBullet"/>
      </w:pPr>
      <w:r>
        <w:t>Entregado</w:t>
      </w:r>
    </w:p>
    <w:p>
      <w:pPr>
        <w:pStyle w:val="ListBullet"/>
      </w:pPr>
      <w:r>
        <w:t>Cancelado</w:t>
      </w:r>
    </w:p>
    <w:p>
      <w:pPr>
        <w:pStyle w:val="Heading1"/>
      </w:pPr>
      <w:r>
        <w:t>7. Entrega</w:t>
      </w:r>
    </w:p>
    <w:p>
      <w:r>
        <w:t>La entrega requerirá, cuando corresponda, checklist, pruebas, aprobación de cotización, registro de observaciones y aceptación del cliente. Se generarán los documentos y garantías aplicables.</w:t>
      </w:r>
    </w:p>
    <w:p>
      <w:pPr>
        <w:pStyle w:val="Heading1"/>
      </w:pPr>
      <w:r>
        <w:t>8. Soporte remoto</w:t>
      </w:r>
    </w:p>
    <w:p>
      <w:r>
        <w:t>El soporte remoto requiere autorización del cliente. TechnoUltra no solicitará acceso remoto permanente. El cliente debe cerrar sesiones y revocar herramientas de acceso cuando el servicio termine, cuando corresponda.</w:t>
      </w:r>
    </w:p>
    <w:p>
      <w:pPr>
        <w:pStyle w:val="Heading1"/>
      </w:pPr>
      <w:r>
        <w:t>9. Domicilio</w:t>
      </w:r>
    </w:p>
    <w:p>
      <w:r>
        <w:t>El valor de domicilio es independiente del servicio y se informa antes de aprobar la operación. La tarifa puede depender de la ciudad y modalidad configuradas.</w:t>
      </w:r>
    </w:p>
    <w:p>
      <w:pPr>
        <w:pStyle w:val="Heading1"/>
      </w:pPr>
      <w:r>
        <w:t>10. IA</w:t>
      </w:r>
    </w:p>
    <w:p>
      <w:r>
        <w:t>Cuando se utilice IA para apoyo diagnóstico, la salida es preliminar y será revisada por personal técnico. La IA no autoriza reparaciones, no cambia precios y no reemplaza el criterio técnico.</w:t>
      </w:r>
    </w:p>
    <w:p>
      <w:pPr>
        <w:pStyle w:val="Heading1"/>
      </w:pPr>
      <w:r>
        <w:t>Base normativa y referencias para revisión</w:t>
      </w:r>
    </w:p>
    <w:p>
      <w:pPr>
        <w:pStyle w:val="ListBullet"/>
      </w:pPr>
      <w:r>
        <w:t>Constitución Política de Colombia, artículo 15 (intimidad, buen nombre y hábeas data) y artículo 20 (información).</w:t>
      </w:r>
    </w:p>
    <w:p>
      <w:pPr>
        <w:pStyle w:val="ListBullet"/>
      </w:pPr>
      <w:r>
        <w:t>Ley 1581 de 2012, régimen general de protección de datos personales.</w:t>
      </w:r>
    </w:p>
    <w:p>
      <w:pPr>
        <w:pStyle w:val="ListBullet"/>
      </w:pPr>
      <w:r>
        <w:t>Decreto 1074 de 2015, reglamentación compilada del sector Comercio, Industria y Turismo en materia de protección de datos y consumidor.</w:t>
      </w:r>
    </w:p>
    <w:p>
      <w:pPr>
        <w:pStyle w:val="ListBullet"/>
      </w:pPr>
      <w:r>
        <w:t>Ley 527 de 1999, mensajes de datos, comercio electrónico y firma electrónica/digital.</w:t>
      </w:r>
    </w:p>
    <w:p>
      <w:pPr>
        <w:pStyle w:val="ListBullet"/>
      </w:pPr>
      <w:r>
        <w:t>Decreto 2364 de 2012, reglamentación de la firma electrónica.</w:t>
      </w:r>
    </w:p>
    <w:p>
      <w:pPr>
        <w:pStyle w:val="ListBullet"/>
      </w:pPr>
      <w:r>
        <w:t>Ley 1480 de 2011, Estatuto del Consumidor, incluyendo comercio electrónico, garantías, retracto y deberes de información.</w:t>
      </w:r>
    </w:p>
    <w:p>
      <w:pPr>
        <w:pStyle w:val="ListBullet"/>
      </w:pPr>
      <w:r>
        <w:t>Ley 2439 de 2024 y criterios posteriores de la SIC aplicables al comercio electrónico.</w:t>
      </w:r>
    </w:p>
    <w:p>
      <w:pPr>
        <w:pStyle w:val="ListBullet"/>
      </w:pPr>
      <w:r>
        <w:t>Ley 2300 de 2023, cuando resulte aplicable a comunicaciones comerciales y canales de contacto.</w:t>
      </w:r>
    </w:p>
    <w:p>
      <w:pPr>
        <w:pStyle w:val="ListBullet"/>
      </w:pPr>
      <w:r>
        <w:t>Cualquier regulación posterior vigente al momento de publicación deberá ser verificada por el abogado revisor.</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