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TECHNOULTRA</w:t>
      </w:r>
    </w:p>
    <w:p>
      <w:pPr>
        <w:jc w:val="center"/>
      </w:pPr>
      <w:r>
        <w:rPr>
          <w:b/>
          <w:sz w:val="34"/>
        </w:rPr>
        <w:t>POLÍTICA DE GARANTÍAS DE PRODUCTOS Y SERVICIOS</w:t>
      </w:r>
    </w:p>
    <w:p>
      <w:pPr>
        <w:jc w:val="center"/>
      </w:pPr>
      <w:r>
        <w:rPr>
          <w:i/>
        </w:rPr>
        <w:t>Versión 1.0 — [FECHA DE PUBLICACIÓN]</w:t>
      </w:r>
    </w:p>
    <w:p>
      <w:pPr>
        <w:jc w:val="center"/>
      </w:pPr>
      <w:r>
        <w:rPr>
          <w:b/>
        </w:rP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pPr>
        <w:pStyle w:val="ListBullet"/>
      </w:pPr>
      <w:r>
        <w:t>RESPONSABLE: [NOMBRE LEGAL COMPLETO DEL RESPONSABLE / TITULAR DE TECHN0ULTRA]</w:t>
      </w:r>
    </w:p>
    <w:p>
      <w:pPr>
        <w:pStyle w:val="ListBullet"/>
      </w:pPr>
      <w:r>
        <w:t>IDENTIFICACION: [CC/NIT]</w:t>
      </w:r>
    </w:p>
    <w:p>
      <w:pPr>
        <w:pStyle w:val="ListBullet"/>
      </w:pPr>
      <w:r>
        <w:t>DOMICILIO: [DIRECCIÓN FÍSICA DE NOTIFICACIONES]</w:t>
      </w:r>
    </w:p>
    <w:p>
      <w:pPr>
        <w:pStyle w:val="ListBullet"/>
      </w:pPr>
      <w:r>
        <w:t>CIUDAD: [CIUDAD, COLOMBIA]</w:t>
      </w:r>
    </w:p>
    <w:p>
      <w:pPr>
        <w:pStyle w:val="ListBullet"/>
      </w:pPr>
      <w:r>
        <w:t>EMAIL: [CORREO JURÍDICO/DE PRIVACIDAD]</w:t>
      </w:r>
    </w:p>
    <w:p>
      <w:pPr>
        <w:pStyle w:val="ListBullet"/>
      </w:pPr>
      <w:r>
        <w:t>TELEFONO: [TELÉFONO DE CONTACTO]</w:t>
      </w:r>
    </w:p>
    <w:p>
      <w:pPr>
        <w:pStyle w:val="Heading1"/>
      </w:pPr>
      <w:r>
        <w:t>1. Objeto</w:t>
      </w:r>
    </w:p>
    <w:p>
      <w:r>
        <w:t>Regular las garantías ofrecidas por TechnoUltra respecto de productos vendidos y servicios técnicos prestados, sin limitar las garantías legales irrenunciables del consumidor.</w:t>
      </w:r>
    </w:p>
    <w:p>
      <w:pPr>
        <w:pStyle w:val="Heading1"/>
      </w:pPr>
      <w:r>
        <w:t>2. Garantía del producto</w:t>
      </w:r>
    </w:p>
    <w:p>
      <w:r>
        <w:t>La garantía del producto será la establecida por la ley y, cuando corresponda, por el fabricante o proveedor. El documento de garantía indicará producto, referencia, fecha, cobertura y procedimiento.</w:t>
      </w:r>
    </w:p>
    <w:p>
      <w:pPr>
        <w:pStyle w:val="Heading1"/>
      </w:pPr>
      <w:r>
        <w:t>3. Garantía del servicio</w:t>
      </w:r>
    </w:p>
    <w:p>
      <w:r>
        <w:t>La garantía de mano de obra se documentará por separado de la garantía del producto. Su duración y alcance dependerán del servicio concreto y se indicarán en la cotización o certificado.</w:t>
      </w:r>
    </w:p>
    <w:p>
      <w:pPr>
        <w:pStyle w:val="Heading1"/>
      </w:pPr>
      <w:r>
        <w:t>4. Exclusiones legítimas</w:t>
      </w:r>
    </w:p>
    <w:p>
      <w:pPr>
        <w:pStyle w:val="ListBullet"/>
      </w:pPr>
      <w:r>
        <w:t>Daños causados por golpes, líquidos, voltaje, manipulación no autorizada o modificaciones posteriores.</w:t>
      </w:r>
    </w:p>
    <w:p>
      <w:pPr>
        <w:pStyle w:val="ListBullet"/>
      </w:pPr>
      <w:r>
        <w:t>Uso contrario a las recomendaciones documentadas.</w:t>
      </w:r>
    </w:p>
    <w:p>
      <w:pPr>
        <w:pStyle w:val="ListBullet"/>
      </w:pPr>
      <w:r>
        <w:t>Fallas de terceros no relacionadas con el trabajo realizado.</w:t>
      </w:r>
    </w:p>
    <w:p>
      <w:pPr>
        <w:pStyle w:val="ListBullet"/>
      </w:pPr>
      <w:r>
        <w:t>Daños o defectos preexistentes que no hayan sido causados o agravados por TechnoUltra.</w:t>
      </w:r>
    </w:p>
    <w:p>
      <w:pPr>
        <w:pStyle w:val="ListBullet"/>
      </w:pPr>
      <w:r>
        <w:t>Software, malware o configuraciones externas, salvo que estén incluidos en el servicio.</w:t>
      </w:r>
    </w:p>
    <w:p>
      <w:r>
        <w:t>Las exclusiones no podrán utilizarse para desconocer derechos legales del consumidor cuando el supuesto esté cubierto por una garantía legal.</w:t>
      </w:r>
    </w:p>
    <w:p>
      <w:pPr>
        <w:pStyle w:val="Heading1"/>
      </w:pPr>
      <w:r>
        <w:t>5. Reclamación</w:t>
      </w:r>
    </w:p>
    <w:p>
      <w:r>
        <w:t>El cliente deberá presentar la reclamación por los canales habilitados, indicando número de ticket, documento o soporte disponible y descripción de la falla. TechnoUltra realizará diagnóstico para determinar procedencia.</w:t>
      </w:r>
    </w:p>
    <w:p>
      <w:pPr>
        <w:pStyle w:val="Heading1"/>
      </w:pPr>
      <w:r>
        <w:t>6. Reingreso</w:t>
      </w:r>
    </w:p>
    <w:p>
      <w:r>
        <w:t>Si se requiere reingreso, se documentará nuevamente el estado del equipo y se conservarán evidencias. La garantía no reinicia automáticamente salvo que la ley o el caso concreto así lo determine.</w:t>
      </w:r>
    </w:p>
    <w:p>
      <w:pPr>
        <w:pStyle w:val="Heading1"/>
      </w:pPr>
      <w:r>
        <w:t>7. Repuestos</w:t>
      </w:r>
    </w:p>
    <w:p>
      <w:r>
        <w:t>Cuando el servicio incluya un repuesto, la cobertura de dicho componente y la mano de obra se identificarán por separado cuando corresponda.</w:t>
      </w:r>
    </w:p>
    <w:p>
      <w:pPr>
        <w:pStyle w:val="Heading1"/>
      </w:pPr>
      <w:r>
        <w:t>Base normativa y referencias para revisión</w:t>
      </w:r>
    </w:p>
    <w:p>
      <w:pPr>
        <w:pStyle w:val="ListBullet"/>
      </w:pPr>
      <w:r>
        <w:t>Constitución Política de Colombia, artículo 15 (intimidad, buen nombre y hábeas data) y artículo 20 (información).</w:t>
      </w:r>
    </w:p>
    <w:p>
      <w:pPr>
        <w:pStyle w:val="ListBullet"/>
      </w:pPr>
      <w:r>
        <w:t>Ley 1581 de 2012, régimen general de protección de datos personales.</w:t>
      </w:r>
    </w:p>
    <w:p>
      <w:pPr>
        <w:pStyle w:val="ListBullet"/>
      </w:pPr>
      <w:r>
        <w:t>Decreto 1074 de 2015, reglamentación compilada del sector Comercio, Industria y Turismo en materia de protección de datos y consumidor.</w:t>
      </w:r>
    </w:p>
    <w:p>
      <w:pPr>
        <w:pStyle w:val="ListBullet"/>
      </w:pPr>
      <w:r>
        <w:t>Ley 527 de 1999, mensajes de datos, comercio electrónico y firma electrónica/digital.</w:t>
      </w:r>
    </w:p>
    <w:p>
      <w:pPr>
        <w:pStyle w:val="ListBullet"/>
      </w:pPr>
      <w:r>
        <w:t>Decreto 2364 de 2012, reglamentación de la firma electrónica.</w:t>
      </w:r>
    </w:p>
    <w:p>
      <w:pPr>
        <w:pStyle w:val="ListBullet"/>
      </w:pPr>
      <w:r>
        <w:t>Ley 1480 de 2011, Estatuto del Consumidor, incluyendo comercio electrónico, garantías, retracto y deberes de información.</w:t>
      </w:r>
    </w:p>
    <w:p>
      <w:pPr>
        <w:pStyle w:val="ListBullet"/>
      </w:pPr>
      <w:r>
        <w:t>Ley 2439 de 2024 y criterios posteriores de la SIC aplicables al comercio electrónico.</w:t>
      </w:r>
    </w:p>
    <w:p>
      <w:pPr>
        <w:pStyle w:val="ListBullet"/>
      </w:pPr>
      <w:r>
        <w:t>Ley 2300 de 2023, cuando resulte aplicable a comunicaciones comerciales y canales de contacto.</w:t>
      </w:r>
    </w:p>
    <w:p>
      <w:pPr>
        <w:pStyle w:val="ListBullet"/>
      </w:pPr>
      <w:r>
        <w:t>Cualquier regulación posterior vigente al momento de publicación deberá ser verificada por el abogado revisor.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