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TECHNOULTRA</w:t>
      </w:r>
    </w:p>
    <w:p>
      <w:pPr>
        <w:jc w:val="center"/>
      </w:pPr>
      <w:r>
        <w:rPr>
          <w:b/>
          <w:sz w:val="34"/>
        </w:rPr>
        <w:t>CONDICIONES DE COMPRA Y COMERCIO ELECTRÓNICO</w:t>
      </w:r>
    </w:p>
    <w:p>
      <w:pPr>
        <w:jc w:val="center"/>
      </w:pPr>
      <w:r>
        <w:rPr>
          <w:i/>
        </w:rPr>
        <w:t>Versión 1.0 — [FECHA DE PUBLICACIÓN]</w:t>
      </w:r>
    </w:p>
    <w:p>
      <w:pPr>
        <w:jc w:val="center"/>
      </w:pPr>
      <w:r>
        <w:rPr>
          <w:b/>
        </w:rPr>
        <w:t>BORRADOR JURÍDICO PARA REVISIÓN Y APROBACIÓN PROFESIONAL</w:t>
      </w:r>
    </w:p>
    <w:p>
      <w:r>
        <w:t>Nota: este documento es un borrador de trabajo preparado con base en la información del proyecto y normativa colombiana consultada. No constituye concepto jurídico ni sustituye la revisión de un abogado colombiano. Antes de publicarlo, deben completarse los datos del Responsable, validar la actividad económica, régimen tributario, operación concreta y actualizar la normativa aplicable.</w:t>
      </w:r>
    </w:p>
    <w:p>
      <w:r>
        <w:t>Datos que deben completarse antes de publicar:</w:t>
      </w:r>
    </w:p>
    <w:p>
      <w:pPr>
        <w:pStyle w:val="ListBullet"/>
      </w:pPr>
      <w:r>
        <w:t>RESPONSABLE: [NOMBRE LEGAL COMPLETO DEL RESPONSABLE / TITULAR DE TECHN0ULTRA]</w:t>
      </w:r>
    </w:p>
    <w:p>
      <w:pPr>
        <w:pStyle w:val="ListBullet"/>
      </w:pPr>
      <w:r>
        <w:t>IDENTIFICACION: [CC/NIT]</w:t>
      </w:r>
    </w:p>
    <w:p>
      <w:pPr>
        <w:pStyle w:val="ListBullet"/>
      </w:pPr>
      <w:r>
        <w:t>DOMICILIO: [DIRECCIÓN FÍSICA DE NOTIFICACIONES]</w:t>
      </w:r>
    </w:p>
    <w:p>
      <w:pPr>
        <w:pStyle w:val="ListBullet"/>
      </w:pPr>
      <w:r>
        <w:t>CIUDAD: [CIUDAD, COLOMBIA]</w:t>
      </w:r>
    </w:p>
    <w:p>
      <w:pPr>
        <w:pStyle w:val="ListBullet"/>
      </w:pPr>
      <w:r>
        <w:t>EMAIL: [CORREO JURÍDICO/DE PRIVACIDAD]</w:t>
      </w:r>
    </w:p>
    <w:p>
      <w:pPr>
        <w:pStyle w:val="ListBullet"/>
      </w:pPr>
      <w:r>
        <w:t>TELEFONO: [TELÉFONO DE CONTACTO]</w:t>
      </w:r>
    </w:p>
    <w:p>
      <w:pPr>
        <w:pStyle w:val="Heading1"/>
      </w:pPr>
      <w:r>
        <w:t>1. Información previa</w:t>
      </w:r>
    </w:p>
    <w:p>
      <w:r>
        <w:t>Antes de contratar o pagar, TechnoUltra deberá mostrar identidad del proveedor, características, precio total, costos adicionales, disponibilidad, medios de pago, tiempos de entrega/prestación, condiciones generales y derechos aplicables.</w:t>
      </w:r>
    </w:p>
    <w:p>
      <w:pPr>
        <w:pStyle w:val="Heading1"/>
      </w:pPr>
      <w:r>
        <w:t>2. Resumen y aceptación</w:t>
      </w:r>
    </w:p>
    <w:p>
      <w:r>
        <w:t>Antes de finalizar una compra electrónica, el consumidor debe poder revisar descripción, cantidades, precios, gastos y total, corregir errores o cancelar antes de concluir la transacción. La aceptación debe ser expresa, inequívoca y verificable.</w:t>
      </w:r>
    </w:p>
    <w:p>
      <w:pPr>
        <w:pStyle w:val="Heading1"/>
      </w:pPr>
      <w:r>
        <w:t>3. Pago</w:t>
      </w:r>
    </w:p>
    <w:p>
      <w:r>
        <w:t>La confirmación de un pago electrónico dependerá del proveedor de pagos y de la validación server-side. Una notificación del navegador no constituye por sí sola confirmación de pago.</w:t>
      </w:r>
    </w:p>
    <w:p>
      <w:pPr>
        <w:pStyle w:val="Heading1"/>
      </w:pPr>
      <w:r>
        <w:t>4. Entrega</w:t>
      </w:r>
    </w:p>
    <w:p>
      <w:r>
        <w:t>La fecha o plazo de entrega será el informado para la operación concreta. Si ocurre una circunstancia que afecte sustancialmente el plazo, TechnoUltra comunicará la situación y aplicará las reglas legales y contractuales correspondientes.</w:t>
      </w:r>
    </w:p>
    <w:p>
      <w:pPr>
        <w:pStyle w:val="Heading1"/>
      </w:pPr>
      <w:r>
        <w:t>5. Instalación</w:t>
      </w:r>
    </w:p>
    <w:p>
      <w:r>
        <w:t>Cuando el producto incluya instalación, la compra podrá generar automáticamente un ticket de instalación. La instalación tendrá el alcance indicado en la oferta y puede requerir condiciones técnicas o de acceso.</w:t>
      </w:r>
    </w:p>
    <w:p>
      <w:pPr>
        <w:pStyle w:val="Heading1"/>
      </w:pPr>
      <w:r>
        <w:t>6. Retracto</w:t>
      </w:r>
    </w:p>
    <w:p>
      <w:r>
        <w:t>Cuando legalmente proceda, el consumidor podrá ejercer el derecho de retracto dentro del término legal. Para servicios cuya ejecución haya comenzado con autorización del consumidor y en los demás casos previstos por la ley, pueden existir excepciones. El procedimiento publicado nunca podrá reducir derechos legales.</w:t>
      </w:r>
    </w:p>
    <w:p>
      <w:pPr>
        <w:pStyle w:val="Heading1"/>
      </w:pPr>
      <w:r>
        <w:t>7. PQR</w:t>
      </w:r>
    </w:p>
    <w:p>
      <w:r>
        <w:t>El consumidor podrá presentar PQR por los canales habilitados. Se conservará soporte de la transacción y de las comunicaciones relevantes.</w:t>
      </w:r>
    </w:p>
    <w:p>
      <w:pPr>
        <w:pStyle w:val="Heading1"/>
      </w:pPr>
      <w:r>
        <w:t>8. Enlace a autoridad de protección al consumidor</w:t>
      </w:r>
    </w:p>
    <w:p>
      <w:r>
        <w:t>La plataforma de comercio electrónico deberá incluir un enlace visible y fácilmente identificable hacia la autoridad colombiana de protección al consumidor, conforme a la normativa vigente.</w:t>
      </w:r>
    </w:p>
    <w:p>
      <w:pPr>
        <w:pStyle w:val="Heading1"/>
      </w:pPr>
      <w:r>
        <w:t>Base normativa y referencias para revisión</w:t>
      </w:r>
    </w:p>
    <w:p>
      <w:pPr>
        <w:pStyle w:val="ListBullet"/>
      </w:pPr>
      <w:r>
        <w:t>Constitución Política de Colombia, artículo 15 (intimidad, buen nombre y hábeas data) y artículo 20 (información).</w:t>
      </w:r>
    </w:p>
    <w:p>
      <w:pPr>
        <w:pStyle w:val="ListBullet"/>
      </w:pPr>
      <w:r>
        <w:t>Ley 1581 de 2012, régimen general de protección de datos personales.</w:t>
      </w:r>
    </w:p>
    <w:p>
      <w:pPr>
        <w:pStyle w:val="ListBullet"/>
      </w:pPr>
      <w:r>
        <w:t>Decreto 1074 de 2015, reglamentación compilada del sector Comercio, Industria y Turismo en materia de protección de datos y consumidor.</w:t>
      </w:r>
    </w:p>
    <w:p>
      <w:pPr>
        <w:pStyle w:val="ListBullet"/>
      </w:pPr>
      <w:r>
        <w:t>Ley 527 de 1999, mensajes de datos, comercio electrónico y firma electrónica/digital.</w:t>
      </w:r>
    </w:p>
    <w:p>
      <w:pPr>
        <w:pStyle w:val="ListBullet"/>
      </w:pPr>
      <w:r>
        <w:t>Decreto 2364 de 2012, reglamentación de la firma electrónica.</w:t>
      </w:r>
    </w:p>
    <w:p>
      <w:pPr>
        <w:pStyle w:val="ListBullet"/>
      </w:pPr>
      <w:r>
        <w:t>Ley 1480 de 2011, Estatuto del Consumidor, incluyendo comercio electrónico, garantías, retracto y deberes de información.</w:t>
      </w:r>
    </w:p>
    <w:p>
      <w:pPr>
        <w:pStyle w:val="ListBullet"/>
      </w:pPr>
      <w:r>
        <w:t>Ley 2439 de 2024 y criterios posteriores de la SIC aplicables al comercio electrónico.</w:t>
      </w:r>
    </w:p>
    <w:p>
      <w:pPr>
        <w:pStyle w:val="ListBullet"/>
      </w:pPr>
      <w:r>
        <w:t>Ley 2300 de 2023, cuando resulte aplicable a comunicaciones comerciales y canales de contacto.</w:t>
      </w:r>
    </w:p>
    <w:p>
      <w:pPr>
        <w:pStyle w:val="ListBullet"/>
      </w:pPr>
      <w:r>
        <w:t>Cualquier regulación posterior vigente al momento de publicación deberá ser verificada por el abogado revisor.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