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POLÍTICA DE CANCELACIÓN, CAMBIOS, RETRACTO Y REEMBOLSOS</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Cancelación antes de ejecución</w:t>
      </w:r>
    </w:p>
    <w:p>
      <w:r>
        <w:t>Cuando el cliente cancele antes de iniciar la prestación, TechnoUltra evaluará el estado de la operación y aplicará las condiciones aceptadas y los derechos legales correspondientes.</w:t>
      </w:r>
    </w:p>
    <w:p>
      <w:pPr>
        <w:pStyle w:val="Heading1"/>
      </w:pPr>
      <w:r>
        <w:t>2. Servicios ya iniciados</w:t>
      </w:r>
    </w:p>
    <w:p>
      <w:r>
        <w:t>Una vez iniciado un servicio, la posibilidad de cancelación y el valor a reconocer dependerán del estado de ejecución, trabajos efectivamente realizados, bienes adquiridos, autorizaciones y normas de protección al consumidor. No se impondrán penalidades contrarias a la ley.</w:t>
      </w:r>
    </w:p>
    <w:p>
      <w:pPr>
        <w:pStyle w:val="Heading1"/>
      </w:pPr>
      <w:r>
        <w:t>3. Retracto</w:t>
      </w:r>
    </w:p>
    <w:p>
      <w:r>
        <w:t>En contratos a distancia, el derecho de retracto se reconocerá cuando legalmente proceda. La regla general del artículo 47 de la Ley 1480 contempla cinco días hábiles, con excepciones legales, entre ellas determinados servicios cuya ejecución haya comenzado con acuerdo del consumidor. El término y las excepciones deberán mostrarse de forma clara antes de contratar.</w:t>
      </w:r>
    </w:p>
    <w:p>
      <w:pPr>
        <w:pStyle w:val="Heading1"/>
      </w:pPr>
      <w:r>
        <w:t>4. Reembolsos</w:t>
      </w:r>
    </w:p>
    <w:p>
      <w:r>
        <w:t>Cuando corresponda devolver dinero, se procesará por el medio permitido y dentro del término legal aplicable. En retracto, la devolución deberá respetar las reglas legales sobre sumas pagadas y costos financieros.</w:t>
      </w:r>
    </w:p>
    <w:p>
      <w:pPr>
        <w:pStyle w:val="Heading1"/>
      </w:pPr>
      <w:r>
        <w:t>5. Diagnóstico</w:t>
      </w:r>
    </w:p>
    <w:p>
      <w:r>
        <w:t>Si el diagnóstico ya fue prestado y el cliente no continúa con la reparación, el valor del diagnóstico puede mantenerse como servicio efectivamente prestado cuando así haya sido informado y aceptado. Si el diagnóstico es abonable y el cliente continúa, se aplicará el crédito conforme a las condiciones del sistema.</w:t>
      </w:r>
    </w:p>
    <w:p>
      <w:pPr>
        <w:pStyle w:val="Heading1"/>
      </w:pPr>
      <w:r>
        <w:t>6. Mercado Pago</w:t>
      </w:r>
    </w:p>
    <w:p>
      <w:r>
        <w:t>Las devoluciones de pagos electrónicos requerirán registro de la operación original, validación del pago y trazabilidad. La devolución no debe marcarse como exitosa hasta recibir confirmación del proveedor cuando sea aplicable.</w:t>
      </w:r>
    </w:p>
    <w:p>
      <w:pPr>
        <w:pStyle w:val="Heading1"/>
      </w:pPr>
      <w:r>
        <w:t>7. Evidencia</w:t>
      </w:r>
    </w:p>
    <w:p>
      <w:r>
        <w:t>Toda cancelación, retracto, aprobación de devolución y reembolso debe conservar evidencia de fecha, usuario, operación, monto, motivo, estado y responsable de la gestión.</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