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TECHNOULTRA</w:t>
      </w:r>
    </w:p>
    <w:p>
      <w:pPr>
        <w:jc w:val="center"/>
      </w:pPr>
      <w:r>
        <w:rPr>
          <w:b/>
          <w:sz w:val="34"/>
        </w:rPr>
        <w:t>AUTORIZACIÓN PARA EL TRATAMIENTO DE DATOS PERSONALES</w:t>
      </w:r>
    </w:p>
    <w:p>
      <w:pPr>
        <w:jc w:val="center"/>
      </w:pPr>
      <w:r>
        <w:rPr>
          <w:i/>
        </w:rPr>
        <w:t>Versión 1.0 — [FECHA DE PUBLICACIÓN]</w:t>
      </w:r>
    </w:p>
    <w:p>
      <w:pPr>
        <w:jc w:val="center"/>
      </w:pPr>
      <w:r>
        <w:rPr>
          <w:b/>
        </w:rPr>
        <w:t>BORRADOR JURÍDICO PARA REVISIÓN Y APROBACIÓN PROFESIONAL</w:t>
      </w:r>
    </w:p>
    <w:p>
      <w:r>
        <w:t>Nota: este documento es un borrador de trabajo preparado con base en la información del proyecto y normativa colombiana consultada. No constituye concepto jurídico ni sustituye la revisión de un abogado colombiano. Antes de publicarlo, deben completarse los datos del Responsable, validar la actividad económica, régimen tributario, operación concreta y actualizar la normativa aplicable.</w:t>
      </w:r>
    </w:p>
    <w:p>
      <w:r>
        <w:t>Datos que deben completarse antes de publicar:</w:t>
      </w:r>
    </w:p>
    <w:p>
      <w:pPr>
        <w:pStyle w:val="ListBullet"/>
      </w:pPr>
      <w:r>
        <w:t>RESPONSABLE: [NOMBRE LEGAL COMPLETO DEL RESPONSABLE / TITULAR DE TECHN0ULTRA]</w:t>
      </w:r>
    </w:p>
    <w:p>
      <w:pPr>
        <w:pStyle w:val="ListBullet"/>
      </w:pPr>
      <w:r>
        <w:t>IDENTIFICACION: [CC/NIT]</w:t>
      </w:r>
    </w:p>
    <w:p>
      <w:pPr>
        <w:pStyle w:val="ListBullet"/>
      </w:pPr>
      <w:r>
        <w:t>DOMICILIO: [DIRECCIÓN FÍSICA DE NOTIFICACIONES]</w:t>
      </w:r>
    </w:p>
    <w:p>
      <w:pPr>
        <w:pStyle w:val="ListBullet"/>
      </w:pPr>
      <w:r>
        <w:t>CIUDAD: [CIUDAD, COLOMBIA]</w:t>
      </w:r>
    </w:p>
    <w:p>
      <w:pPr>
        <w:pStyle w:val="ListBullet"/>
      </w:pPr>
      <w:r>
        <w:t>EMAIL: [CORREO JURÍDICO/DE PRIVACIDAD]</w:t>
      </w:r>
    </w:p>
    <w:p>
      <w:pPr>
        <w:pStyle w:val="ListBullet"/>
      </w:pPr>
      <w:r>
        <w:t>TELEFONO: [TELÉFONO DE CONTACTO]</w:t>
      </w:r>
    </w:p>
    <w:p>
      <w:pPr>
        <w:pStyle w:val="Heading1"/>
      </w:pPr>
      <w:r>
        <w:t>Texto para aceptación electrónica</w:t>
      </w:r>
    </w:p>
    <w:p>
      <w:r>
        <w:t>Yo, titular de los datos personales, autorizo de manera previa, expresa, informada y verificable a [NOMBRE LEGAL COMPLETO DEL RESPONSABLE / TITULAR DE TECHN0ULTRA] para recolectar, almacenar, usar, actualizar, consultar, organizar, conservar y, cuando sea necesario para la prestación del servicio, transmitir o encargar el tratamiento de mis datos personales conforme a la Política de Tratamiento de Datos Personales de TechnoUltra.</w:t>
      </w:r>
    </w:p>
    <w:p>
      <w:pPr>
        <w:pStyle w:val="Heading1"/>
      </w:pPr>
      <w:r>
        <w:t>Finalidades autorizadas</w:t>
      </w:r>
    </w:p>
    <w:p>
      <w:pPr>
        <w:pStyle w:val="ListBullet"/>
      </w:pPr>
      <w:r>
        <w:t>Crear y administrar mi cuenta.</w:t>
      </w:r>
    </w:p>
    <w:p>
      <w:pPr>
        <w:pStyle w:val="ListBullet"/>
      </w:pPr>
      <w:r>
        <w:t>Atender solicitudes, diagnósticos, tickets, cotizaciones, pedidos y garantías.</w:t>
      </w:r>
    </w:p>
    <w:p>
      <w:pPr>
        <w:pStyle w:val="ListBullet"/>
      </w:pPr>
      <w:r>
        <w:t>Contactarme respecto de la operación contratada.</w:t>
      </w:r>
    </w:p>
    <w:p>
      <w:pPr>
        <w:pStyle w:val="ListBullet"/>
      </w:pPr>
      <w:r>
        <w:t>Gestionar pagos y soporte.</w:t>
      </w:r>
    </w:p>
    <w:p>
      <w:pPr>
        <w:pStyle w:val="ListBullet"/>
      </w:pPr>
      <w:r>
        <w:t>Generar documentos, evidencias y registros de aceptación.</w:t>
      </w:r>
    </w:p>
    <w:p>
      <w:pPr>
        <w:pStyle w:val="ListBullet"/>
      </w:pPr>
      <w:r>
        <w:t>Prevenir fraude y proteger la seguridad de la cuenta y del servicio.</w:t>
      </w:r>
    </w:p>
    <w:p>
      <w:pPr>
        <w:pStyle w:val="ListBullet"/>
      </w:pPr>
      <w:r>
        <w:t>Cumplir obligaciones legales y atender autoridades competentes.</w:t>
      </w:r>
    </w:p>
    <w:p>
      <w:pPr>
        <w:pStyle w:val="ListBullet"/>
      </w:pPr>
      <w:r>
        <w:t>Las demás finalidades expresamente informadas en el momento de la recolección.</w:t>
      </w:r>
    </w:p>
    <w:p>
      <w:pPr>
        <w:pStyle w:val="Heading1"/>
      </w:pPr>
      <w:r>
        <w:t>Derechos</w:t>
      </w:r>
    </w:p>
    <w:p>
      <w:r>
        <w:t>Sé que puedo conocer, actualizar y rectificar mis datos; solicitar prueba de la autorización cuando corresponda; conocer su uso; ejercer los demás derechos previstos en la Ley 1581 de 2012; y presentar consultas o reclamos ante el Responsable y, cuando corresponda, ante la Superintendencia de Industria y Comercio.</w:t>
      </w:r>
    </w:p>
    <w:p>
      <w:pPr>
        <w:pStyle w:val="Heading1"/>
      </w:pPr>
      <w:r>
        <w:t>Carácter facultativo</w:t>
      </w:r>
    </w:p>
    <w:p>
      <w:r>
        <w:t>Entiendo que las respuestas sobre datos sensibles son facultativas y que TechnoUltra no condicionará innecesariamente el servicio a información que no sea necesaria para su prestación.</w:t>
      </w:r>
    </w:p>
    <w:p>
      <w:pPr>
        <w:pStyle w:val="Heading1"/>
      </w:pPr>
      <w:r>
        <w:t>Constancia</w:t>
      </w:r>
    </w:p>
    <w:p>
      <w:r>
        <w:t>La aceptación electrónica se conservará junto con la versión de la política, fecha y hora, identificación de la cuenta y evidencia técnica disponible, de forma que pueda ser consultada posteriormente.</w:t>
      </w:r>
    </w:p>
    <w:p>
      <w:pPr>
        <w:pStyle w:val="Heading1"/>
      </w:pPr>
      <w:r>
        <w:t>Casilla recomendada</w:t>
      </w:r>
    </w:p>
    <w:p>
      <w:r>
        <w:t>☐ He leído y acepto la Política de Tratamiento de Datos Personales de TechnoUltra y autorizo el tratamiento de mis datos para las finalidades informadas.</w:t>
      </w:r>
    </w:p>
    <w:p>
      <w:pPr>
        <w:pStyle w:val="Heading1"/>
      </w:pPr>
      <w:r>
        <w:t>Base normativa y referencias para revisión</w:t>
      </w:r>
    </w:p>
    <w:p>
      <w:pPr>
        <w:pStyle w:val="ListBullet"/>
      </w:pPr>
      <w:r>
        <w:t>Constitución Política de Colombia, artículo 15 (intimidad, buen nombre y hábeas data) y artículo 20 (información).</w:t>
      </w:r>
    </w:p>
    <w:p>
      <w:pPr>
        <w:pStyle w:val="ListBullet"/>
      </w:pPr>
      <w:r>
        <w:t>Ley 1581 de 2012, régimen general de protección de datos personales.</w:t>
      </w:r>
    </w:p>
    <w:p>
      <w:pPr>
        <w:pStyle w:val="ListBullet"/>
      </w:pPr>
      <w:r>
        <w:t>Decreto 1074 de 2015, reglamentación compilada del sector Comercio, Industria y Turismo en materia de protección de datos y consumidor.</w:t>
      </w:r>
    </w:p>
    <w:p>
      <w:pPr>
        <w:pStyle w:val="ListBullet"/>
      </w:pPr>
      <w:r>
        <w:t>Ley 527 de 1999, mensajes de datos, comercio electrónico y firma electrónica/digital.</w:t>
      </w:r>
    </w:p>
    <w:p>
      <w:pPr>
        <w:pStyle w:val="ListBullet"/>
      </w:pPr>
      <w:r>
        <w:t>Decreto 2364 de 2012, reglamentación de la firma electrónica.</w:t>
      </w:r>
    </w:p>
    <w:p>
      <w:pPr>
        <w:pStyle w:val="ListBullet"/>
      </w:pPr>
      <w:r>
        <w:t>Ley 1480 de 2011, Estatuto del Consumidor, incluyendo comercio electrónico, garantías, retracto y deberes de información.</w:t>
      </w:r>
    </w:p>
    <w:p>
      <w:pPr>
        <w:pStyle w:val="ListBullet"/>
      </w:pPr>
      <w:r>
        <w:t>Ley 2439 de 2024 y criterios posteriores de la SIC aplicables al comercio electrónico.</w:t>
      </w:r>
    </w:p>
    <w:p>
      <w:pPr>
        <w:pStyle w:val="ListBullet"/>
      </w:pPr>
      <w:r>
        <w:t>Ley 2300 de 2023, cuando resulte aplicable a comunicaciones comerciales y canales de contacto.</w:t>
      </w:r>
    </w:p>
    <w:p>
      <w:pPr>
        <w:pStyle w:val="ListBullet"/>
      </w:pPr>
      <w:r>
        <w:t>Cualquier regulación posterior vigente al momento de publicación deberá ser verificada por el abogado revisor.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