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TECHNOULTRA</w:t>
      </w:r>
    </w:p>
    <w:p>
      <w:pPr>
        <w:jc w:val="center"/>
      </w:pPr>
      <w:r>
        <w:rPr>
          <w:b/>
          <w:sz w:val="34"/>
        </w:rPr>
        <w:t>CONSENTIMIENTO E INFORMACIÓN SOBRE DIAGNÓSTICO ASISTIDO POR IA</w:t>
      </w:r>
    </w:p>
    <w:p>
      <w:pPr>
        <w:jc w:val="center"/>
      </w:pPr>
      <w:r>
        <w:rPr>
          <w:i/>
        </w:rPr>
        <w:t>Versión 1.0 — [FECHA DE PUBLICACIÓN]</w:t>
      </w:r>
    </w:p>
    <w:p>
      <w:pPr>
        <w:jc w:val="center"/>
      </w:pPr>
      <w:r>
        <w:rPr>
          <w:b/>
        </w:rPr>
        <w:t>BORRADOR JURÍDICO PARA REVISIÓN Y APROBACIÓN PROFESIONAL</w:t>
      </w:r>
    </w:p>
    <w:p>
      <w:r>
        <w:t>Nota: este documento es un borrador de trabajo preparado con base en la información del proyecto y normativa colombiana consultada. No constituye concepto jurídico ni sustituye la revisión de un abogado colombiano. Antes de publicarlo, deben completarse los datos del Responsable, validar la actividad económica, régimen tributario, operación concreta y actualizar la normativa aplicable.</w:t>
      </w:r>
    </w:p>
    <w:p>
      <w:r>
        <w:t>Datos que deben completarse antes de publicar:</w:t>
      </w:r>
    </w:p>
    <w:p>
      <w:pPr>
        <w:pStyle w:val="ListBullet"/>
      </w:pPr>
      <w:r>
        <w:t>RESPONSABLE: [NOMBRE LEGAL COMPLETO DEL RESPONSABLE / TITULAR DE TECHN0ULTRA]</w:t>
      </w:r>
    </w:p>
    <w:p>
      <w:pPr>
        <w:pStyle w:val="ListBullet"/>
      </w:pPr>
      <w:r>
        <w:t>IDENTIFICACION: [CC/NIT]</w:t>
      </w:r>
    </w:p>
    <w:p>
      <w:pPr>
        <w:pStyle w:val="ListBullet"/>
      </w:pPr>
      <w:r>
        <w:t>DOMICILIO: [DIRECCIÓN FÍSICA DE NOTIFICACIONES]</w:t>
      </w:r>
    </w:p>
    <w:p>
      <w:pPr>
        <w:pStyle w:val="ListBullet"/>
      </w:pPr>
      <w:r>
        <w:t>CIUDAD: [CIUDAD, COLOMBIA]</w:t>
      </w:r>
    </w:p>
    <w:p>
      <w:pPr>
        <w:pStyle w:val="ListBullet"/>
      </w:pPr>
      <w:r>
        <w:t>EMAIL: [CORREO JURÍDICO/DE PRIVACIDAD]</w:t>
      </w:r>
    </w:p>
    <w:p>
      <w:pPr>
        <w:pStyle w:val="ListBullet"/>
      </w:pPr>
      <w:r>
        <w:t>TELEFONO: [TELÉFONO DE CONTACTO]</w:t>
      </w:r>
    </w:p>
    <w:p>
      <w:pPr>
        <w:pStyle w:val="Heading1"/>
      </w:pPr>
      <w:r>
        <w:t>1. Objeto</w:t>
      </w:r>
    </w:p>
    <w:p>
      <w:r>
        <w:t>TechnoUltra puede utilizar herramientas de inteligencia artificial generativa como apoyo para organizar información, identificar posibles causas, sugerir verificaciones y generar un diagnóstico preliminar.</w:t>
      </w:r>
    </w:p>
    <w:p>
      <w:pPr>
        <w:pStyle w:val="Heading1"/>
      </w:pPr>
      <w:r>
        <w:t>2. Alcance</w:t>
      </w:r>
    </w:p>
    <w:p>
      <w:r>
        <w:t>La IA no sustituye al técnico. Su resultado es orientativo y debe ser revisado antes de tomar decisiones de reparación, sustitución de componentes, precios o entrega.</w:t>
      </w:r>
    </w:p>
    <w:p>
      <w:pPr>
        <w:pStyle w:val="Heading1"/>
      </w:pPr>
      <w:r>
        <w:t>3. Aviso obligatorio</w:t>
      </w:r>
    </w:p>
    <w:p>
      <w:r>
        <w:t>“Diagnóstico preliminar generado con asistencia de IA. La recomendación está sujeta a verificación técnica presencial.”</w:t>
      </w:r>
    </w:p>
    <w:p>
      <w:pPr>
        <w:pStyle w:val="Heading1"/>
      </w:pPr>
      <w:r>
        <w:t>4. Información tratada</w:t>
      </w:r>
    </w:p>
    <w:p>
      <w:r>
        <w:t>Según el caso, pueden utilizarse datos técnicos del equipo, síntomas, especificaciones, resultados de pruebas y evidencias necesarias. TechnoUltra debe aplicar minimización y evitar enviar a la herramienta información personal que no sea necesaria.</w:t>
      </w:r>
    </w:p>
    <w:p>
      <w:pPr>
        <w:pStyle w:val="Heading1"/>
      </w:pPr>
      <w:r>
        <w:t>5. Proveedores tecnológicos</w:t>
      </w:r>
    </w:p>
    <w:p>
      <w:r>
        <w:t>El procesamiento puede involucrar proveedores tecnológicos ubicados dentro o fuera de Colombia. La configuración definitiva deberá documentar qué datos se envían, con qué finalidad, durante cuánto tiempo y bajo qué condiciones.</w:t>
      </w:r>
    </w:p>
    <w:p>
      <w:pPr>
        <w:pStyle w:val="Heading1"/>
      </w:pPr>
      <w:r>
        <w:t>6. Decisiones automatizadas</w:t>
      </w:r>
    </w:p>
    <w:p>
      <w:r>
        <w:t>La recomendación de IA no constituye una decisión automática definitiva sobre reparación, garantía, precio, rechazo de servicio o responsabilidad. Las decisiones relevantes serán adoptadas o validadas por personal autorizado.</w:t>
      </w:r>
    </w:p>
    <w:p>
      <w:pPr>
        <w:pStyle w:val="Heading1"/>
      </w:pPr>
      <w:r>
        <w:t>7. Aceptación</w:t>
      </w:r>
    </w:p>
    <w:p>
      <w:r>
        <w:t>Cuando el uso de IA requiera una aceptación específica, la plataforma deberá presentar este documento antes de iniciar el procesamiento y conservar evidencia de la versión aceptada.</w:t>
      </w:r>
    </w:p>
    <w:p>
      <w:pPr>
        <w:pStyle w:val="Heading1"/>
      </w:pPr>
      <w:r>
        <w:t>Casilla recomendada</w:t>
      </w:r>
    </w:p>
    <w:p>
      <w:r>
        <w:t>☐ He sido informado de que el diagnóstico puede recibir asistencia de inteligencia artificial y entiendo que su resultado es preliminar y está sujeto a verificación técnica.</w:t>
      </w:r>
    </w:p>
    <w:p>
      <w:pPr>
        <w:pStyle w:val="Heading1"/>
      </w:pPr>
      <w:r>
        <w:t>Base normativa y referencias para revisión</w:t>
      </w:r>
    </w:p>
    <w:p>
      <w:pPr>
        <w:pStyle w:val="ListBullet"/>
      </w:pPr>
      <w:r>
        <w:t>Constitución Política de Colombia, artículo 15 (intimidad, buen nombre y hábeas data) y artículo 20 (información).</w:t>
      </w:r>
    </w:p>
    <w:p>
      <w:pPr>
        <w:pStyle w:val="ListBullet"/>
      </w:pPr>
      <w:r>
        <w:t>Ley 1581 de 2012, régimen general de protección de datos personales.</w:t>
      </w:r>
    </w:p>
    <w:p>
      <w:pPr>
        <w:pStyle w:val="ListBullet"/>
      </w:pPr>
      <w:r>
        <w:t>Decreto 1074 de 2015, reglamentación compilada del sector Comercio, Industria y Turismo en materia de protección de datos y consumidor.</w:t>
      </w:r>
    </w:p>
    <w:p>
      <w:pPr>
        <w:pStyle w:val="ListBullet"/>
      </w:pPr>
      <w:r>
        <w:t>Ley 527 de 1999, mensajes de datos, comercio electrónico y firma electrónica/digital.</w:t>
      </w:r>
    </w:p>
    <w:p>
      <w:pPr>
        <w:pStyle w:val="ListBullet"/>
      </w:pPr>
      <w:r>
        <w:t>Decreto 2364 de 2012, reglamentación de la firma electrónica.</w:t>
      </w:r>
    </w:p>
    <w:p>
      <w:pPr>
        <w:pStyle w:val="ListBullet"/>
      </w:pPr>
      <w:r>
        <w:t>Ley 1480 de 2011, Estatuto del Consumidor, incluyendo comercio electrónico, garantías, retracto y deberes de información.</w:t>
      </w:r>
    </w:p>
    <w:p>
      <w:pPr>
        <w:pStyle w:val="ListBullet"/>
      </w:pPr>
      <w:r>
        <w:t>Ley 2439 de 2024 y criterios posteriores de la SIC aplicables al comercio electrónico.</w:t>
      </w:r>
    </w:p>
    <w:p>
      <w:pPr>
        <w:pStyle w:val="ListBullet"/>
      </w:pPr>
      <w:r>
        <w:t>Ley 2300 de 2023, cuando resulte aplicable a comunicaciones comerciales y canales de contacto.</w:t>
      </w:r>
    </w:p>
    <w:p>
      <w:pPr>
        <w:pStyle w:val="ListBullet"/>
      </w:pPr>
      <w:r>
        <w:t>Cualquier regulación posterior vigente al momento de publicación deberá ser verificada por el abogado revisor.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