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6F5C"/>
          <w:sz w:val="38"/>
          <w:szCs w:val="38"/>
        </w:rPr>
        <w:t xml:space="preserve">Business Insights and Recommendations Report</w:t>
      </w:r>
    </w:p>
    <w:p>
      <w:pPr>
        <w:spacing w:after="40"/>
      </w:pPr>
      <w:r>
        <w:rPr>
          <w:color w:val="555555"/>
          <w:sz w:val="22"/>
          <w:szCs w:val="22"/>
        </w:rPr>
        <w:t xml:space="preserve">Global Superstore — Advanced Analysis</w:t>
      </w:r>
    </w:p>
    <w:p>
      <w:pPr>
        <w:spacing w:after="20"/>
      </w:pPr>
      <w:r>
        <w:rPr>
          <w:color w:val="777777"/>
          <w:sz w:val="20"/>
          <w:szCs w:val="20"/>
        </w:rPr>
        <w:t xml:space="preserve">AnalystLab Africa Data Analytics Internship — Week 3</w:t>
      </w:r>
    </w:p>
    <w:p>
      <w:pPr>
        <w:spacing w:after="400"/>
      </w:pPr>
      <w:r>
        <w:rPr>
          <w:color w:val="777777"/>
          <w:sz w:val="20"/>
          <w:szCs w:val="20"/>
        </w:rPr>
        <w:t xml:space="preserve">Prepared by Oluwatosin Olusanya, Data Analyst — AnalystLab Africa Consulting</w:t>
      </w:r>
    </w:p>
    <w:p>
      <w:pPr>
        <w:pStyle w:val="Heading1"/>
        <w:spacing w:after="160" w:before="320"/>
      </w:pPr>
      <w:r>
        <w:t xml:space="preserve">Purpose</w:t>
      </w:r>
    </w:p>
    <w:p>
      <w:pPr>
        <w:spacing w:after="160"/>
      </w:pPr>
      <w:r>
        <w:t xml:space="preserve">This report translates the Week 3 advanced dashboard analysis into insights and recommendations senior management can act on directly. It builds on Week 2's descriptive findings by identifying root causes — specifically, why certain regions and products underperform, and what concrete policy changes would recover profit that is currently being lost.</w:t>
      </w:r>
    </w:p>
    <w:p>
      <w:pPr>
        <w:pStyle w:val="Heading1"/>
        <w:spacing w:after="160" w:before="320"/>
      </w:pPr>
      <w:r>
        <w:t xml:space="preserve">Five Key Insights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Growth is genuine at the aggregate level, but masks a severe discount problem within specific orders. Sales and profit have grown together every year (2011-2014) with no sign of profit being sacrificed for volume overall — yet within the order-level data, heavy discounting is quietly destroying margin (see Insight 2).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Discount above 20% is the single strongest, cleanest destructive pattern in the dataset. Profit margin falls in a near-perfect staircase as discount rises — from 25.3% margin at 0% discount down to a severe -111% margin at 51%+ discount, a row-level correlation of -0.847. Orders discounted above 20% collectively lost $814,683, while undiscounted orders alone generated $1,770,695 in profit.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Loss-making products extend well beyond the Tables sub-category flagged in Week 2. Dozens of individual products across Furniture, Technology, and Office Supplies carry negative net profit, together totaling roughly $920,646 in losses — this is a broad, systemic pricing issue, not one bad product line.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Southeast Asia's underperformance is concentrated specifically in Furniture, not the region as a whole. Southeast Asia's Furniture margin is actually negative (-2.3%), while its Office Supplies (1.7%) and Technology (6.4%) lines are merely thin, not loss-making. This reframes the fix from a broad regional review to a targeted Southeast Asia Furniture pricing review.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Q4 is a reliable, repeatable seasonal peak every single year, with November and December consistently the two strongest months company-wide. This is predictable enough to plan around, not just react to.</w:t>
      </w:r>
    </w:p>
    <w:p>
      <w:pPr>
        <w:pStyle w:val="Heading1"/>
        <w:spacing w:after="160" w:before="320"/>
      </w:pPr>
      <w:r>
        <w:t xml:space="preserve">Three Business Risks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Structural discount risk: if discounting above 20% is a standard sales-team practice rather than an exception, then scaling the business without addressing this scales the losses proportionally alongside the growth.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Diffuse, long-tail product losses: because losses are spread across dozens of individual products rather than concentrated in one sub-category, this cannot be fixed with a single policy — it requires a systematic SKU-level review, which is more resource-intensive to execute.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Compounding regional-category weakness: Southeast Asia's Furniture line combines a weak region with a structurally difficult category (Furniture already has the company's lowest sub-category margins), a combination at risk of worsening if the business expands there without first correcting pricing.</w:t>
      </w:r>
    </w:p>
    <w:p>
      <w:pPr>
        <w:pStyle w:val="Heading1"/>
        <w:spacing w:after="160" w:before="320"/>
      </w:pPr>
      <w:r>
        <w:t xml:space="preserve">Three Business Opportunities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Discount governance: capping discretionary discounts at or below 20% (with manager approval required above that threshold) directly targets the strongest, most quantifiable finding in this analysis.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SKU-level profitability audit: a structured review of the identified loss-making products, deciding reprice, bundle, or discontinue per item, converts a diffuse $920,646 problem into a concrete action 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Seasonal demand planning: formalizing Q4 (particularly Nov-Dec) into proactive inventory and staffing planning lets the business capture more of a pattern it already reliably produces every year, rather than treating each Q4 as a surprise.</w:t>
      </w:r>
    </w:p>
    <w:p>
      <w:pPr>
        <w:pStyle w:val="Heading1"/>
        <w:spacing w:after="160" w:before="320"/>
      </w:pPr>
      <w:r>
        <w:t xml:space="preserve">Five Recommendations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Cap discretionary discounts at 20%, with mandatory manager approval for anything higher — this is the single highest-leverage, best-evidenced recommendation in this report, directly addressing an r = -0.847 relationship.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Launch a SKU-level profitability audit covering all identified loss-making products within one quarter, resulting in a reprice, bundle, or discontinue decision for each.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Run a targeted Southeast Asia Furniture pricing and cost review specifically, rather than a broad regional initiative, since the negative margin is concentrated in that exact combination.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Formalize Q4 demand planning (Sept-Dec) — pre-position inventory and staffing ahead of the season using four consecutive years of consistent evidence, rather than responding reactively each year.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Adopt product- and sub-category-level (not just category-level) profitability reviews as a standing quarterly practice — this is the level of granularity at which both the Southeast Asia Furniture and long-tail product loss findings only became visible.</w:t>
      </w:r>
    </w:p>
    <w:p>
      <w:pPr>
        <w:pStyle w:val="Heading1"/>
        <w:spacing w:after="160" w:before="320"/>
      </w:pPr>
      <w:r>
        <w:t xml:space="preserve">Conclusion</w:t>
      </w:r>
    </w:p>
    <w:p>
      <w:pPr>
        <w:spacing w:after="160"/>
      </w:pPr>
      <w:r>
        <w:t xml:space="preserve">The business is fundamentally healthy and growing — four consecutive years of sales and profit growth, with no single region, category, or segment carrying the company alone. The real opportunity uncovered in this advanced analysis is not top-line growth, which is already strong, but tightening control over decisions already being made today: discount approval, product-level pricing, and regional-category targeting. None of these five recommendations require acquiring a single new customer — they recover profit that is currently being given away.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2026-08-20T21:07:00.410Z</dcterms:created>
  <dcterms:modified xsi:type="dcterms:W3CDTF">2026-08-20T21:07:00.422Z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