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6F5C"/>
          <w:sz w:val="40"/>
          <w:szCs w:val="40"/>
        </w:rPr>
        <w:t xml:space="preserve">Project Continuity Summary</w:t>
      </w:r>
    </w:p>
    <w:p>
      <w:pPr>
        <w:spacing w:after="40"/>
      </w:pPr>
      <w:r>
        <w:rPr>
          <w:color w:val="555555"/>
          <w:sz w:val="22"/>
          <w:szCs w:val="22"/>
        </w:rPr>
        <w:t xml:space="preserve">Advanced Data Analysis, KPI Development &amp; Business Intelligence Dashboard</w:t>
      </w:r>
    </w:p>
    <w:p>
      <w:pPr>
        <w:spacing w:after="20"/>
      </w:pPr>
      <w:r>
        <w:rPr>
          <w:color w:val="777777"/>
          <w:sz w:val="20"/>
          <w:szCs w:val="20"/>
        </w:rPr>
        <w:t xml:space="preserve">AnalystLab Africa Data Analytics Internship — Week 3</w:t>
      </w:r>
    </w:p>
    <w:p>
      <w:pPr>
        <w:spacing w:after="400"/>
      </w:pPr>
      <w:r>
        <w:rPr>
          <w:color w:val="777777"/>
          <w:sz w:val="20"/>
          <w:szCs w:val="20"/>
        </w:rPr>
        <w:t xml:space="preserve">Prepared by Oluwatosin Olusanya, Data Analyst — AnalystLab Africa Consulting</w:t>
      </w:r>
    </w:p>
    <w:p>
      <w:pPr>
        <w:pStyle w:val="Heading1"/>
        <w:spacing w:after="160" w:before="320"/>
      </w:pPr>
      <w:r>
        <w:t xml:space="preserve">1. The Dataset We Are Using</w:t>
      </w:r>
    </w:p>
    <w:p>
      <w:pPr>
        <w:spacing w:after="160"/>
      </w:pPr>
      <w:r>
        <w:t xml:space="preserve">This project continues with the Global Superstore dataset used in Week 2: 51,290 order line items spanning 2011-2014, across 147 countries, 7 markets, 3 product categories, and 3 customer segments. No new dataset is introduced in Week 3 — the same cleaned file (Global_Superstore_Clean.csv) is used throughout, ensuring full continuity with Week 2's dashboard and findings.</w:t>
      </w:r>
    </w:p>
    <w:p>
      <w:pPr>
        <w:pStyle w:val="Heading1"/>
        <w:spacing w:after="160" w:before="320"/>
      </w:pPr>
      <w:r>
        <w:t xml:space="preserve">2. The Business Problem</w:t>
      </w:r>
    </w:p>
    <w:p>
      <w:pPr>
        <w:spacing w:after="160"/>
      </w:pPr>
      <w:r>
        <w:t xml:space="preserve">A national retail company engaged AnalystLab Africa Consulting to build an executive dashboard monitoring sales performance, profitability, customer behavior, and regional performance. Week 2 delivered the first version of that dashboard. Week 3 extends this into deeper diagnostic territory: not just what is happening, but why, and what specifically management should do about it.</w:t>
      </w:r>
    </w:p>
    <w:p>
      <w:pPr>
        <w:pStyle w:val="Heading1"/>
        <w:spacing w:after="160" w:before="320"/>
      </w:pPr>
      <w:r>
        <w:t xml:space="preserve">3. Key Findings From Week 2</w:t>
      </w:r>
    </w:p>
    <w:p>
      <w:pPr>
        <w:pStyle w:val="ListParagraph"/>
        <w:numPr>
          <w:ilvl w:val="0"/>
          <w:numId w:val="2"/>
        </w:numPr>
        <w:spacing w:after="80"/>
      </w:pPr>
      <w:r>
        <w:t xml:space="preserve">Total Sales of $12.64M and Total Profit of $1.47M across the period, an overall 11.6% profit margin.</w:t>
      </w:r>
    </w:p>
    <w:p>
      <w:pPr>
        <w:pStyle w:val="ListParagraph"/>
        <w:numPr>
          <w:ilvl w:val="0"/>
          <w:numId w:val="2"/>
        </w:numPr>
        <w:spacing w:after="80"/>
      </w:pPr>
      <w:r>
        <w:t xml:space="preserve">Consistent year-over-year sales growth with no down years: $2.26M (2011) rising to $4.30M (2014).</w:t>
      </w:r>
    </w:p>
    <w:p>
      <w:pPr>
        <w:pStyle w:val="ListParagraph"/>
        <w:numPr>
          <w:ilvl w:val="0"/>
          <w:numId w:val="2"/>
        </w:numPr>
        <w:spacing w:after="80"/>
      </w:pPr>
      <w:r>
        <w:t xml:space="preserve">Canada, the smallest market by sales, posted the highest profit margin (26.6%) — more than double the company average.</w:t>
      </w:r>
    </w:p>
    <w:p>
      <w:pPr>
        <w:pStyle w:val="ListParagraph"/>
        <w:numPr>
          <w:ilvl w:val="0"/>
          <w:numId w:val="2"/>
        </w:numPr>
        <w:spacing w:after="80"/>
      </w:pPr>
      <w:r>
        <w:t xml:space="preserve">The Tables sub-category was flagged as the only sub-category generating a net loss company-wide.</w:t>
      </w:r>
    </w:p>
    <w:p>
      <w:pPr>
        <w:pStyle w:val="ListParagraph"/>
        <w:numPr>
          <w:ilvl w:val="0"/>
          <w:numId w:val="2"/>
        </w:numPr>
        <w:spacing w:after="80"/>
      </w:pPr>
      <w:r>
        <w:t xml:space="preserve">Southeast Asia and EMEA were flagged as regions converting solid sales into unusually thin profit.</w:t>
      </w:r>
    </w:p>
    <w:p>
      <w:pPr>
        <w:pStyle w:val="Heading1"/>
        <w:spacing w:after="160" w:before="320"/>
      </w:pPr>
      <w:r>
        <w:t xml:space="preserve">4. Areas Investigated Further in Week 3</w:t>
      </w:r>
    </w:p>
    <w:p>
      <w:pPr>
        <w:spacing w:after="160"/>
      </w:pPr>
      <w:r>
        <w:t xml:space="preserve">Week 2 identified these patterns descriptively. Week 3 investigates the underlying drivers using a structured, data-backed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6F5C" w:val="clear"/>
          </w:tcPr>
          <w:p>
            <w:r>
              <w:rPr>
                <w:b/>
                <w:bCs/>
                <w:color w:val="FFFFFF"/>
                <w:sz w:val="20"/>
                <w:szCs w:val="20"/>
              </w:rPr>
              <w:t xml:space="preserve">Focus Area</w:t>
            </w:r>
          </w:p>
        </w:tc>
        <w:tc>
          <w:tcPr>
            <w:tcW w:type="dxa" w:w="4680"/>
            <w:shd w:fill="1F6F5C" w:val="clear"/>
          </w:tcPr>
          <w:p>
            <w:r>
              <w:rPr>
                <w:b/>
                <w:bCs/>
                <w:color w:val="FFFFFF"/>
                <w:sz w:val="20"/>
                <w:szCs w:val="20"/>
              </w:rPr>
              <w:t xml:space="preserve">What's New in Week 3</w:t>
            </w:r>
          </w:p>
        </w:tc>
      </w:tr>
      <w:tr>
        <w:tc>
          <w:tcPr>
            <w:tcW w:type="dxa" w:w="4680"/>
          </w:tcPr>
          <w:p>
            <w:r>
              <w:rPr>
                <w:b w:val="false"/>
                <w:bCs w:val="false"/>
                <w:color w:val="000000"/>
                <w:sz w:val="20"/>
                <w:szCs w:val="20"/>
              </w:rPr>
              <w:t xml:space="preserve">Sales &amp; profit trends</w:t>
            </w:r>
          </w:p>
        </w:tc>
        <w:tc>
          <w:tcPr>
            <w:tcW w:type="dxa" w:w="4680"/>
          </w:tcPr>
          <w:p>
            <w:r>
              <w:rPr>
                <w:b w:val="false"/>
                <w:bCs w:val="false"/>
                <w:color w:val="000000"/>
                <w:sz w:val="20"/>
                <w:szCs w:val="20"/>
              </w:rPr>
              <w:t xml:space="preserve">Quarterly and monthly breakdown, not just annual totals</w:t>
            </w:r>
          </w:p>
        </w:tc>
      </w:tr>
      <w:tr>
        <w:tc>
          <w:tcPr>
            <w:tcW w:type="dxa" w:w="4680"/>
          </w:tcPr>
          <w:p>
            <w:r>
              <w:rPr>
                <w:b w:val="false"/>
                <w:bCs w:val="false"/>
                <w:color w:val="000000"/>
                <w:sz w:val="20"/>
                <w:szCs w:val="20"/>
              </w:rPr>
              <w:t xml:space="preserve">Product performance</w:t>
            </w:r>
          </w:p>
        </w:tc>
        <w:tc>
          <w:tcPr>
            <w:tcW w:type="dxa" w:w="4680"/>
          </w:tcPr>
          <w:p>
            <w:r>
              <w:rPr>
                <w:b w:val="false"/>
                <w:bCs w:val="false"/>
                <w:color w:val="000000"/>
                <w:sz w:val="20"/>
                <w:szCs w:val="20"/>
              </w:rPr>
              <w:t xml:space="preserve">Individual loss-making products, not just sub-category totals</w:t>
            </w:r>
          </w:p>
        </w:tc>
      </w:tr>
      <w:tr>
        <w:tc>
          <w:tcPr>
            <w:tcW w:type="dxa" w:w="4680"/>
          </w:tcPr>
          <w:p>
            <w:r>
              <w:rPr>
                <w:b w:val="false"/>
                <w:bCs w:val="false"/>
                <w:color w:val="000000"/>
                <w:sz w:val="20"/>
                <w:szCs w:val="20"/>
              </w:rPr>
              <w:t xml:space="preserve">Discount impact</w:t>
            </w:r>
          </w:p>
        </w:tc>
        <w:tc>
          <w:tcPr>
            <w:tcW w:type="dxa" w:w="4680"/>
          </w:tcPr>
          <w:p>
            <w:r>
              <w:rPr>
                <w:b w:val="false"/>
                <w:bCs w:val="false"/>
                <w:color w:val="000000"/>
                <w:sz w:val="20"/>
                <w:szCs w:val="20"/>
              </w:rPr>
              <w:t xml:space="preserve">Not examined at all in Week 2 — new for Week 3</w:t>
            </w:r>
          </w:p>
        </w:tc>
      </w:tr>
      <w:tr>
        <w:tc>
          <w:tcPr>
            <w:tcW w:type="dxa" w:w="4680"/>
          </w:tcPr>
          <w:p>
            <w:r>
              <w:rPr>
                <w:b w:val="false"/>
                <w:bCs w:val="false"/>
                <w:color w:val="000000"/>
                <w:sz w:val="20"/>
                <w:szCs w:val="20"/>
              </w:rPr>
              <w:t xml:space="preserve">Regional underperformance</w:t>
            </w:r>
          </w:p>
        </w:tc>
        <w:tc>
          <w:tcPr>
            <w:tcW w:type="dxa" w:w="4680"/>
          </w:tcPr>
          <w:p>
            <w:r>
              <w:rPr>
                <w:b w:val="false"/>
                <w:bCs w:val="false"/>
                <w:color w:val="000000"/>
                <w:sz w:val="20"/>
                <w:szCs w:val="20"/>
              </w:rPr>
              <w:t xml:space="preserve">Root-cause investigation of Southeast Asia and EMEA</w:t>
            </w:r>
          </w:p>
        </w:tc>
      </w:tr>
      <w:tr>
        <w:tc>
          <w:tcPr>
            <w:tcW w:type="dxa" w:w="4680"/>
          </w:tcPr>
          <w:p>
            <w:r>
              <w:rPr>
                <w:b w:val="false"/>
                <w:bCs w:val="false"/>
                <w:color w:val="000000"/>
                <w:sz w:val="20"/>
                <w:szCs w:val="20"/>
              </w:rPr>
              <w:t xml:space="preserve">Customer/segment analysis</w:t>
            </w:r>
          </w:p>
        </w:tc>
        <w:tc>
          <w:tcPr>
            <w:tcW w:type="dxa" w:w="4680"/>
          </w:tcPr>
          <w:p>
            <w:r>
              <w:rPr>
                <w:b w:val="false"/>
                <w:bCs w:val="false"/>
                <w:color w:val="000000"/>
                <w:sz w:val="20"/>
                <w:szCs w:val="20"/>
              </w:rPr>
              <w:t xml:space="preserve">Segment-level margin and top-customer profitability — new for Week 3</w:t>
            </w:r>
          </w:p>
        </w:tc>
      </w:tr>
    </w:tbl>
    <w:p>
      <w:pPr>
        <w:spacing w:after="160"/>
      </w:pPr>
      <w:r>
        <w:t xml:space="preserve">Full findings for each of these areas are documented in the accompanying Advanced Data Analysis Report, with the resulting KPIs, DAX measures, and business recommendations built into the updated Power BI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2026-08-19T02:26:22.287Z</dcterms:created>
  <dcterms:modified xsi:type="dcterms:W3CDTF">2026-08-19T02:26:22.295Z</dcterms:modified>
</cp:coreProperties>
</file>

<file path=docProps/custom.xml><?xml version="1.0" encoding="utf-8"?>
<Properties xmlns="http://schemas.openxmlformats.org/officeDocument/2006/custom-properties" xmlns:vt="http://schemas.openxmlformats.org/officeDocument/2006/docPropsVTypes"/>
</file>