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6F5C"/>
          <w:sz w:val="40"/>
          <w:szCs w:val="40"/>
        </w:rPr>
        <w:t xml:space="preserve">Advanced Data Analysis Report</w:t>
      </w:r>
    </w:p>
    <w:p>
      <w:pPr>
        <w:spacing w:after="40"/>
      </w:pPr>
      <w:r>
        <w:rPr>
          <w:color w:val="555555"/>
          <w:sz w:val="22"/>
          <w:szCs w:val="22"/>
        </w:rPr>
        <w:t xml:space="preserve">Global Superstore — Deep-Dive Business Analysis</w:t>
      </w:r>
    </w:p>
    <w:p>
      <w:pPr>
        <w:spacing w:after="20"/>
      </w:pPr>
      <w:r>
        <w:rPr>
          <w:color w:val="777777"/>
          <w:sz w:val="20"/>
          <w:szCs w:val="20"/>
        </w:rPr>
        <w:t xml:space="preserve">AnalystLab Africa Data Analytics Internship — Week 3</w:t>
      </w:r>
    </w:p>
    <w:p>
      <w:pPr>
        <w:spacing w:after="400"/>
      </w:pPr>
      <w:r>
        <w:rPr>
          <w:color w:val="777777"/>
          <w:sz w:val="20"/>
          <w:szCs w:val="20"/>
        </w:rPr>
        <w:t xml:space="preserve">Prepared by Oluwatosin Olusanya, Data Analyst — AnalystLab Africa Consulting</w:t>
      </w:r>
    </w:p>
    <w:p>
      <w:pPr>
        <w:pStyle w:val="Heading1"/>
        <w:spacing w:after="160" w:before="320"/>
      </w:pPr>
      <w:r>
        <w:t xml:space="preserve">1. Sales &amp; Profitability Trends Over Time</w:t>
      </w:r>
    </w:p>
    <w:p>
      <w:pPr>
        <w:spacing w:after="160"/>
      </w:pPr>
      <w:r>
        <w:t xml:space="preserve">Year-over-year growth has been consistent and accelerating: sales grew 18.5% (2012), 27.2% (2013), and 26.3% (2014), with profit growth tracking closely or exceeding sales growth every year — a healthy sign that growth is not being bought through unprofitable discounting at the aggregate level, even though (as Section 3 shows) it is a serious problem within specific segments of the business.</w:t>
      </w:r>
    </w:p>
    <w:p>
      <w:pPr>
        <w:spacing w:after="60" w:before="120"/>
        <w:jc w:val="center"/>
      </w:pPr>
      <w:r>
        <w:drawing>
          <wp:inline distT="0" distB="0" distL="0" distR="0">
            <wp:extent cx="58007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00725" cy="3219450"/>
                    </a:xfrm>
                    <a:prstGeom prst="rect">
                      <a:avLst/>
                    </a:prstGeom>
                  </pic:spPr>
                </pic:pic>
              </a:graphicData>
            </a:graphic>
          </wp:inline>
        </w:drawing>
      </w:r>
    </w:p>
    <w:p>
      <w:pPr>
        <w:spacing w:after="280"/>
        <w:jc w:val="center"/>
      </w:pPr>
      <w:r>
        <w:rPr>
          <w:i/>
          <w:iCs/>
          <w:color w:val="555555"/>
          <w:sz w:val="18"/>
          <w:szCs w:val="18"/>
        </w:rPr>
        <w:t xml:space="preserve">Figure 1: Quarterly sales and profit trend, 2011-2014.</w:t>
      </w:r>
    </w:p>
    <w:p>
      <w:pPr>
        <w:spacing w:after="160"/>
      </w:pPr>
      <w:r>
        <w:t xml:space="preserve">The quarterly view shows Q4 (Oct-Dec) is consistently the strongest quarter every single year, and Q1 the weakest — a reliable seasonal pattern rather than a one-off. Profit tracks sales closely on this chart, meaning the business is not sacrificing margin to hit seasonal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6F5C" w:val="clear"/>
          </w:tcPr>
          <w:p>
            <w:r>
              <w:rPr>
                <w:b/>
                <w:bCs/>
                <w:color w:val="FFFFFF"/>
                <w:sz w:val="20"/>
                <w:szCs w:val="20"/>
              </w:rPr>
              <w:t xml:space="preserve">Month</w:t>
            </w:r>
          </w:p>
        </w:tc>
        <w:tc>
          <w:tcPr>
            <w:tcW w:type="dxa" w:w="4680"/>
            <w:shd w:fill="1F6F5C" w:val="clear"/>
          </w:tcPr>
          <w:p>
            <w:r>
              <w:rPr>
                <w:b/>
                <w:bCs/>
                <w:color w:val="FFFFFF"/>
                <w:sz w:val="20"/>
                <w:szCs w:val="20"/>
              </w:rPr>
              <w:t xml:space="preserve">Total Sales ($, all years combined)</w:t>
            </w:r>
          </w:p>
        </w:tc>
      </w:tr>
      <w:tr>
        <w:tc>
          <w:tcPr>
            <w:tcW w:type="dxa" w:w="4680"/>
          </w:tcPr>
          <w:p>
            <w:r>
              <w:rPr>
                <w:b w:val="false"/>
                <w:bCs w:val="false"/>
                <w:color w:val="000000"/>
                <w:sz w:val="20"/>
                <w:szCs w:val="20"/>
              </w:rPr>
              <w:t xml:space="preserve">January</w:t>
            </w:r>
          </w:p>
        </w:tc>
        <w:tc>
          <w:tcPr>
            <w:tcW w:type="dxa" w:w="4680"/>
          </w:tcPr>
          <w:p>
            <w:r>
              <w:rPr>
                <w:b w:val="false"/>
                <w:bCs w:val="false"/>
                <w:color w:val="000000"/>
                <w:sz w:val="20"/>
                <w:szCs w:val="20"/>
              </w:rPr>
              <w:t xml:space="preserve">675,134</w:t>
            </w:r>
          </w:p>
        </w:tc>
      </w:tr>
      <w:tr>
        <w:tc>
          <w:tcPr>
            <w:tcW w:type="dxa" w:w="4680"/>
          </w:tcPr>
          <w:p>
            <w:r>
              <w:rPr>
                <w:b w:val="false"/>
                <w:bCs w:val="false"/>
                <w:color w:val="000000"/>
                <w:sz w:val="20"/>
                <w:szCs w:val="20"/>
              </w:rPr>
              <w:t xml:space="preserve">February</w:t>
            </w:r>
          </w:p>
        </w:tc>
        <w:tc>
          <w:tcPr>
            <w:tcW w:type="dxa" w:w="4680"/>
          </w:tcPr>
          <w:p>
            <w:r>
              <w:rPr>
                <w:b w:val="false"/>
                <w:bCs w:val="false"/>
                <w:color w:val="000000"/>
                <w:sz w:val="20"/>
                <w:szCs w:val="20"/>
              </w:rPr>
              <w:t xml:space="preserve">543,739 (lowest)</w:t>
            </w:r>
          </w:p>
        </w:tc>
      </w:tr>
      <w:tr>
        <w:tc>
          <w:tcPr>
            <w:tcW w:type="dxa" w:w="4680"/>
          </w:tcPr>
          <w:p>
            <w:r>
              <w:rPr>
                <w:b w:val="false"/>
                <w:bCs w:val="false"/>
                <w:color w:val="000000"/>
                <w:sz w:val="20"/>
                <w:szCs w:val="20"/>
              </w:rPr>
              <w:t xml:space="preserve">March</w:t>
            </w:r>
          </w:p>
        </w:tc>
        <w:tc>
          <w:tcPr>
            <w:tcW w:type="dxa" w:w="4680"/>
          </w:tcPr>
          <w:p>
            <w:r>
              <w:rPr>
                <w:b w:val="false"/>
                <w:bCs w:val="false"/>
                <w:color w:val="000000"/>
                <w:sz w:val="20"/>
                <w:szCs w:val="20"/>
              </w:rPr>
              <w:t xml:space="preserve">770,501</w:t>
            </w:r>
          </w:p>
        </w:tc>
      </w:tr>
      <w:tr>
        <w:tc>
          <w:tcPr>
            <w:tcW w:type="dxa" w:w="4680"/>
          </w:tcPr>
          <w:p>
            <w:r>
              <w:rPr>
                <w:b w:val="false"/>
                <w:bCs w:val="false"/>
                <w:color w:val="000000"/>
                <w:sz w:val="20"/>
                <w:szCs w:val="20"/>
              </w:rPr>
              <w:t xml:space="preserve">June</w:t>
            </w:r>
          </w:p>
        </w:tc>
        <w:tc>
          <w:tcPr>
            <w:tcW w:type="dxa" w:w="4680"/>
          </w:tcPr>
          <w:p>
            <w:r>
              <w:rPr>
                <w:b w:val="false"/>
                <w:bCs w:val="false"/>
                <w:color w:val="000000"/>
                <w:sz w:val="20"/>
                <w:szCs w:val="20"/>
              </w:rPr>
              <w:t xml:space="preserve">1,269,717</w:t>
            </w:r>
          </w:p>
        </w:tc>
      </w:tr>
      <w:tr>
        <w:tc>
          <w:tcPr>
            <w:tcW w:type="dxa" w:w="4680"/>
          </w:tcPr>
          <w:p>
            <w:r>
              <w:rPr>
                <w:b w:val="false"/>
                <w:bCs w:val="false"/>
                <w:color w:val="000000"/>
                <w:sz w:val="20"/>
                <w:szCs w:val="20"/>
              </w:rPr>
              <w:t xml:space="preserve">September</w:t>
            </w:r>
          </w:p>
        </w:tc>
        <w:tc>
          <w:tcPr>
            <w:tcW w:type="dxa" w:w="4680"/>
          </w:tcPr>
          <w:p>
            <w:r>
              <w:rPr>
                <w:b w:val="false"/>
                <w:bCs w:val="false"/>
                <w:color w:val="000000"/>
                <w:sz w:val="20"/>
                <w:szCs w:val="20"/>
              </w:rPr>
              <w:t xml:space="preserve">1,437,380</w:t>
            </w:r>
          </w:p>
        </w:tc>
      </w:tr>
      <w:tr>
        <w:tc>
          <w:tcPr>
            <w:tcW w:type="dxa" w:w="4680"/>
          </w:tcPr>
          <w:p>
            <w:r>
              <w:rPr>
                <w:b w:val="false"/>
                <w:bCs w:val="false"/>
                <w:color w:val="000000"/>
                <w:sz w:val="20"/>
                <w:szCs w:val="20"/>
              </w:rPr>
              <w:t xml:space="preserve">November</w:t>
            </w:r>
          </w:p>
        </w:tc>
        <w:tc>
          <w:tcPr>
            <w:tcW w:type="dxa" w:w="4680"/>
          </w:tcPr>
          <w:p>
            <w:r>
              <w:rPr>
                <w:b w:val="false"/>
                <w:bCs w:val="false"/>
                <w:color w:val="000000"/>
                <w:sz w:val="20"/>
                <w:szCs w:val="20"/>
              </w:rPr>
              <w:t xml:space="preserve">1,551,277</w:t>
            </w:r>
          </w:p>
        </w:tc>
      </w:tr>
      <w:tr>
        <w:tc>
          <w:tcPr>
            <w:tcW w:type="dxa" w:w="4680"/>
          </w:tcPr>
          <w:p>
            <w:r>
              <w:rPr>
                <w:b w:val="false"/>
                <w:bCs w:val="false"/>
                <w:color w:val="000000"/>
                <w:sz w:val="20"/>
                <w:szCs w:val="20"/>
              </w:rPr>
              <w:t xml:space="preserve">December</w:t>
            </w:r>
          </w:p>
        </w:tc>
        <w:tc>
          <w:tcPr>
            <w:tcW w:type="dxa" w:w="4680"/>
          </w:tcPr>
          <w:p>
            <w:r>
              <w:rPr>
                <w:b w:val="false"/>
                <w:bCs w:val="false"/>
                <w:color w:val="000000"/>
                <w:sz w:val="20"/>
                <w:szCs w:val="20"/>
              </w:rPr>
              <w:t xml:space="preserve">1,580,781 (highest)</w:t>
            </w:r>
          </w:p>
        </w:tc>
      </w:tr>
    </w:tbl>
    <w:p>
      <w:pPr>
        <w:pStyle w:val="Heading1"/>
        <w:spacing w:after="160" w:before="320"/>
      </w:pPr>
      <w:r>
        <w:t xml:space="preserve">2. Product Performance</w:t>
      </w:r>
    </w:p>
    <w:p>
      <w:pPr>
        <w:spacing w:after="60" w:before="120"/>
        <w:jc w:val="center"/>
      </w:pPr>
      <w:r>
        <w:drawing>
          <wp:inline distT="0" distB="0" distL="0" distR="0">
            <wp:extent cx="44005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00550" cy="3295650"/>
                    </a:xfrm>
                    <a:prstGeom prst="rect">
                      <a:avLst/>
                    </a:prstGeom>
                  </pic:spPr>
                </pic:pic>
              </a:graphicData>
            </a:graphic>
          </wp:inline>
        </w:drawing>
      </w:r>
    </w:p>
    <w:p>
      <w:pPr>
        <w:spacing w:after="280"/>
        <w:jc w:val="center"/>
      </w:pPr>
      <w:r>
        <w:rPr>
          <w:i/>
          <w:iCs/>
          <w:color w:val="555555"/>
          <w:sz w:val="18"/>
          <w:szCs w:val="18"/>
        </w:rPr>
        <w:t xml:space="preserve">Figure 2: Profit margin by sub-category.</w:t>
      </w:r>
    </w:p>
    <w:p>
      <w:pPr>
        <w:spacing w:after="160"/>
      </w:pPr>
      <w:r>
        <w:t xml:space="preserve">Tables is the only sub-category with a negative margin (-8.5%), confirming the Week 2 finding at a more precise level: $757,042 in sales produced a $64,083 loss. Machines is the weakest positive performer at 7.6% margin. Paper (24.2%) and Labels (20.4%) are the most efficient sub-categories, though both are low-volume.</w:t>
      </w:r>
    </w:p>
    <w:p>
      <w:pPr>
        <w:pStyle w:val="Heading2"/>
        <w:spacing w:after="120" w:before="240"/>
      </w:pPr>
      <w:r>
        <w:t xml:space="preserve">Individual Loss-Making Products</w:t>
      </w:r>
    </w:p>
    <w:p>
      <w:pPr>
        <w:spacing w:after="160"/>
      </w:pPr>
      <w:r>
        <w:t xml:space="preserve">Drilling below sub-category level surfaces specific products responsible for the losses, most of which are not in Tables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6F5C" w:val="clear"/>
          </w:tcPr>
          <w:p>
            <w:r>
              <w:rPr>
                <w:b/>
                <w:bCs/>
                <w:color w:val="FFFFFF"/>
                <w:sz w:val="20"/>
                <w:szCs w:val="20"/>
              </w:rPr>
              <w:t xml:space="preserve">Product</w:t>
            </w:r>
          </w:p>
        </w:tc>
        <w:tc>
          <w:tcPr>
            <w:tcW w:type="dxa" w:w="3120"/>
            <w:shd w:fill="1F6F5C" w:val="clear"/>
          </w:tcPr>
          <w:p>
            <w:r>
              <w:rPr>
                <w:b/>
                <w:bCs/>
                <w:color w:val="FFFFFF"/>
                <w:sz w:val="20"/>
                <w:szCs w:val="20"/>
              </w:rPr>
              <w:t xml:space="preserve">Sales</w:t>
            </w:r>
          </w:p>
        </w:tc>
        <w:tc>
          <w:tcPr>
            <w:tcW w:type="dxa" w:w="3120"/>
            <w:shd w:fill="1F6F5C" w:val="clear"/>
          </w:tcPr>
          <w:p>
            <w:r>
              <w:rPr>
                <w:b/>
                <w:bCs/>
                <w:color w:val="FFFFFF"/>
                <w:sz w:val="20"/>
                <w:szCs w:val="20"/>
              </w:rPr>
              <w:t xml:space="preserve">Profit</w:t>
            </w:r>
          </w:p>
        </w:tc>
      </w:tr>
      <w:tr>
        <w:tc>
          <w:tcPr>
            <w:tcW w:type="dxa" w:w="3120"/>
          </w:tcPr>
          <w:p>
            <w:r>
              <w:rPr>
                <w:b w:val="false"/>
                <w:bCs w:val="false"/>
                <w:color w:val="000000"/>
                <w:sz w:val="20"/>
                <w:szCs w:val="20"/>
              </w:rPr>
              <w:t xml:space="preserve">Cubify CubeX 3D Printer (Double Head)</w:t>
            </w:r>
          </w:p>
        </w:tc>
        <w:tc>
          <w:tcPr>
            <w:tcW w:type="dxa" w:w="3120"/>
          </w:tcPr>
          <w:p>
            <w:r>
              <w:rPr>
                <w:b w:val="false"/>
                <w:bCs w:val="false"/>
                <w:color w:val="000000"/>
                <w:sz w:val="20"/>
                <w:szCs w:val="20"/>
              </w:rPr>
              <w:t xml:space="preserve">$11,100</w:t>
            </w:r>
          </w:p>
        </w:tc>
        <w:tc>
          <w:tcPr>
            <w:tcW w:type="dxa" w:w="3120"/>
          </w:tcPr>
          <w:p>
            <w:r>
              <w:rPr>
                <w:b w:val="false"/>
                <w:bCs w:val="false"/>
                <w:color w:val="000000"/>
                <w:sz w:val="20"/>
                <w:szCs w:val="20"/>
              </w:rPr>
              <w:t xml:space="preserve">-$8,880</w:t>
            </w:r>
          </w:p>
        </w:tc>
      </w:tr>
      <w:tr>
        <w:tc>
          <w:tcPr>
            <w:tcW w:type="dxa" w:w="3120"/>
          </w:tcPr>
          <w:p>
            <w:r>
              <w:rPr>
                <w:b w:val="false"/>
                <w:bCs w:val="false"/>
                <w:color w:val="000000"/>
                <w:sz w:val="20"/>
                <w:szCs w:val="20"/>
              </w:rPr>
              <w:t xml:space="preserve">Lexmark MX611dhe Laser Printer</w:t>
            </w:r>
          </w:p>
        </w:tc>
        <w:tc>
          <w:tcPr>
            <w:tcW w:type="dxa" w:w="3120"/>
          </w:tcPr>
          <w:p>
            <w:r>
              <w:rPr>
                <w:b w:val="false"/>
                <w:bCs w:val="false"/>
                <w:color w:val="000000"/>
                <w:sz w:val="20"/>
                <w:szCs w:val="20"/>
              </w:rPr>
              <w:t xml:space="preserve">$16,830</w:t>
            </w:r>
          </w:p>
        </w:tc>
        <w:tc>
          <w:tcPr>
            <w:tcW w:type="dxa" w:w="3120"/>
          </w:tcPr>
          <w:p>
            <w:r>
              <w:rPr>
                <w:b w:val="false"/>
                <w:bCs w:val="false"/>
                <w:color w:val="000000"/>
                <w:sz w:val="20"/>
                <w:szCs w:val="20"/>
              </w:rPr>
              <w:t xml:space="preserve">-$4,590</w:t>
            </w:r>
          </w:p>
        </w:tc>
      </w:tr>
      <w:tr>
        <w:tc>
          <w:tcPr>
            <w:tcW w:type="dxa" w:w="3120"/>
          </w:tcPr>
          <w:p>
            <w:r>
              <w:rPr>
                <w:b w:val="false"/>
                <w:bCs w:val="false"/>
                <w:color w:val="000000"/>
                <w:sz w:val="20"/>
                <w:szCs w:val="20"/>
              </w:rPr>
              <w:t xml:space="preserve">Motorola Smart Phone, Cordless</w:t>
            </w:r>
          </w:p>
        </w:tc>
        <w:tc>
          <w:tcPr>
            <w:tcW w:type="dxa" w:w="3120"/>
          </w:tcPr>
          <w:p>
            <w:r>
              <w:rPr>
                <w:b w:val="false"/>
                <w:bCs w:val="false"/>
                <w:color w:val="000000"/>
                <w:sz w:val="20"/>
                <w:szCs w:val="20"/>
              </w:rPr>
              <w:t xml:space="preserve">$38,931</w:t>
            </w:r>
          </w:p>
        </w:tc>
        <w:tc>
          <w:tcPr>
            <w:tcW w:type="dxa" w:w="3120"/>
          </w:tcPr>
          <w:p>
            <w:r>
              <w:rPr>
                <w:b w:val="false"/>
                <w:bCs w:val="false"/>
                <w:color w:val="000000"/>
                <w:sz w:val="20"/>
                <w:szCs w:val="20"/>
              </w:rPr>
              <w:t xml:space="preserve">-$4,447</w:t>
            </w:r>
          </w:p>
        </w:tc>
      </w:tr>
      <w:tr>
        <w:tc>
          <w:tcPr>
            <w:tcW w:type="dxa" w:w="3120"/>
          </w:tcPr>
          <w:p>
            <w:r>
              <w:rPr>
                <w:b w:val="false"/>
                <w:bCs w:val="false"/>
                <w:color w:val="000000"/>
                <w:sz w:val="20"/>
                <w:szCs w:val="20"/>
              </w:rPr>
              <w:t xml:space="preserve">Cubify CubeX 3D Printer (Triple Head)</w:t>
            </w:r>
          </w:p>
        </w:tc>
        <w:tc>
          <w:tcPr>
            <w:tcW w:type="dxa" w:w="3120"/>
          </w:tcPr>
          <w:p>
            <w:r>
              <w:rPr>
                <w:b w:val="false"/>
                <w:bCs w:val="false"/>
                <w:color w:val="000000"/>
                <w:sz w:val="20"/>
                <w:szCs w:val="20"/>
              </w:rPr>
              <w:t xml:space="preserve">$8,000</w:t>
            </w:r>
          </w:p>
        </w:tc>
        <w:tc>
          <w:tcPr>
            <w:tcW w:type="dxa" w:w="3120"/>
          </w:tcPr>
          <w:p>
            <w:r>
              <w:rPr>
                <w:b w:val="false"/>
                <w:bCs w:val="false"/>
                <w:color w:val="000000"/>
                <w:sz w:val="20"/>
                <w:szCs w:val="20"/>
              </w:rPr>
              <w:t xml:space="preserve">-$3,840</w:t>
            </w:r>
          </w:p>
        </w:tc>
      </w:tr>
      <w:tr>
        <w:tc>
          <w:tcPr>
            <w:tcW w:type="dxa" w:w="3120"/>
          </w:tcPr>
          <w:p>
            <w:r>
              <w:rPr>
                <w:b w:val="false"/>
                <w:bCs w:val="false"/>
                <w:color w:val="000000"/>
                <w:sz w:val="20"/>
                <w:szCs w:val="20"/>
              </w:rPr>
              <w:t xml:space="preserve">Bevis Round Table, Adjustable Height</w:t>
            </w:r>
          </w:p>
        </w:tc>
        <w:tc>
          <w:tcPr>
            <w:tcW w:type="dxa" w:w="3120"/>
          </w:tcPr>
          <w:p>
            <w:r>
              <w:rPr>
                <w:b w:val="false"/>
                <w:bCs w:val="false"/>
                <w:color w:val="000000"/>
                <w:sz w:val="20"/>
                <w:szCs w:val="20"/>
              </w:rPr>
              <w:t xml:space="preserve">$5,655</w:t>
            </w:r>
          </w:p>
        </w:tc>
        <w:tc>
          <w:tcPr>
            <w:tcW w:type="dxa" w:w="3120"/>
          </w:tcPr>
          <w:p>
            <w:r>
              <w:rPr>
                <w:b w:val="false"/>
                <w:bCs w:val="false"/>
                <w:color w:val="000000"/>
                <w:sz w:val="20"/>
                <w:szCs w:val="20"/>
              </w:rPr>
              <w:t xml:space="preserve">-$3,650</w:t>
            </w:r>
          </w:p>
        </w:tc>
      </w:tr>
    </w:tbl>
    <w:p>
      <w:pPr>
        <w:spacing w:after="160"/>
      </w:pPr>
      <w:r>
        <w:t xml:space="preserve">Notably, the two worst individual losses are 3D printers (Technology category) and a laser printer — not Furniture. This means the 'high sales, low profit' problem is broader than the Tables sub-category alone, and a product-level (not just sub-category-level) review is warranted.</w:t>
      </w:r>
    </w:p>
    <w:p>
      <w:pPr>
        <w:pStyle w:val="Heading1"/>
        <w:spacing w:after="160" w:before="320"/>
      </w:pPr>
      <w:r>
        <w:t xml:space="preserve">3. Discount Impact — The Single Strongest Pattern in the Data</w:t>
      </w:r>
    </w:p>
    <w:p>
      <w:pPr>
        <w:spacing w:after="60" w:before="120"/>
        <w:jc w:val="center"/>
      </w:pPr>
      <w:r>
        <w:drawing>
          <wp:inline distT="0" distB="0" distL="0" distR="0">
            <wp:extent cx="46005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00575" cy="3352800"/>
                    </a:xfrm>
                    <a:prstGeom prst="rect">
                      <a:avLst/>
                    </a:prstGeom>
                  </pic:spPr>
                </pic:pic>
              </a:graphicData>
            </a:graphic>
          </wp:inline>
        </w:drawing>
      </w:r>
    </w:p>
    <w:p>
      <w:pPr>
        <w:spacing w:after="280"/>
        <w:jc w:val="center"/>
      </w:pPr>
      <w:r>
        <w:rPr>
          <w:i/>
          <w:iCs/>
          <w:color w:val="555555"/>
          <w:sz w:val="18"/>
          <w:szCs w:val="18"/>
        </w:rPr>
        <w:t xml:space="preserve">Figure 3: Profit margin by discount band.</w:t>
      </w:r>
    </w:p>
    <w:p>
      <w:pPr>
        <w:spacing w:after="160"/>
      </w:pPr>
      <w:r>
        <w:t xml:space="preserve">This is the clearest relationship found in the entire analysis. Profit margin declines in a near-perfect staircase as discount increases: 25.3% margin with no discount, dropping to 17.2% (1-10% discount), 9.9% (11-20%), then turning negative at -5.5% (21-30%), -32.4% (31-50%), and a severe -111.0% (51%+ discount). The row-level correlation between discount and profit margin is -0.847 — a very strong relationship rarely seen this cleanly in real business data.</w:t>
      </w:r>
    </w:p>
    <w:p>
      <w:pPr>
        <w:spacing w:after="160"/>
      </w:pPr>
      <w:r>
        <w:t xml:space="preserve">In dollar terms: orders with discounts above 20% collectively lost $814,683, while orders with no discount at all generated $1,770,695 in profit alone. Discounting above the 20% threshold is not a minor drag on margin — it is actively unprofitable business the company would be better off not writing.</w:t>
      </w:r>
    </w:p>
    <w:p>
      <w:pPr>
        <w:pStyle w:val="Heading1"/>
        <w:spacing w:after="160" w:before="320"/>
      </w:pPr>
      <w:r>
        <w:t xml:space="preserve">4. Regional &amp; Geographic Performance</w:t>
      </w:r>
    </w:p>
    <w:p>
      <w:pPr>
        <w:spacing w:after="60" w:before="120"/>
        <w:jc w:val="center"/>
      </w:pPr>
      <w:r>
        <w:drawing>
          <wp:inline distT="0" distB="0" distL="0" distR="0">
            <wp:extent cx="44005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00550" cy="3295650"/>
                    </a:xfrm>
                    <a:prstGeom prst="rect">
                      <a:avLst/>
                    </a:prstGeom>
                  </pic:spPr>
                </pic:pic>
              </a:graphicData>
            </a:graphic>
          </wp:inline>
        </w:drawing>
      </w:r>
    </w:p>
    <w:p>
      <w:pPr>
        <w:spacing w:after="280"/>
        <w:jc w:val="center"/>
      </w:pPr>
      <w:r>
        <w:rPr>
          <w:i/>
          <w:iCs/>
          <w:color w:val="555555"/>
          <w:sz w:val="18"/>
          <w:szCs w:val="18"/>
        </w:rPr>
        <w:t xml:space="preserve">Figure 4: Profit margin by region.</w:t>
      </w:r>
    </w:p>
    <w:p>
      <w:pPr>
        <w:spacing w:after="160"/>
      </w:pPr>
      <w:r>
        <w:t xml:space="preserve">Southeast Asia (2.0% margin) and EMEA (5.4% margin) remain the weakest regions, confirming Week 2's finding. Shipping cost as a percentage of sales is nearly uniform across all regions (10.9%-11.2%), and average shipping delay is similarly consistent (3.7-4.0 days) — ruling out logistics efficiency as the explanation. This points toward pricing and discounting practices, rather than operational cost structure, as the likely driver of regional margin gaps, directly connecting to the discount findings in Section 3.</w:t>
      </w:r>
    </w:p>
    <w:p>
      <w:pPr>
        <w:pStyle w:val="Heading1"/>
        <w:spacing w:after="160" w:before="320"/>
      </w:pPr>
      <w:r>
        <w:t xml:space="preserve">5. Customer &amp; Segment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6F5C" w:val="clear"/>
          </w:tcPr>
          <w:p>
            <w:r>
              <w:rPr>
                <w:b/>
                <w:bCs/>
                <w:color w:val="FFFFFF"/>
                <w:sz w:val="20"/>
                <w:szCs w:val="20"/>
              </w:rPr>
              <w:t xml:space="preserve">Segment</w:t>
            </w:r>
          </w:p>
        </w:tc>
        <w:tc>
          <w:tcPr>
            <w:tcW w:type="dxa" w:w="1872"/>
            <w:shd w:fill="1F6F5C" w:val="clear"/>
          </w:tcPr>
          <w:p>
            <w:r>
              <w:rPr>
                <w:b/>
                <w:bCs/>
                <w:color w:val="FFFFFF"/>
                <w:sz w:val="20"/>
                <w:szCs w:val="20"/>
              </w:rPr>
              <w:t xml:space="preserve">Sales</w:t>
            </w:r>
          </w:p>
        </w:tc>
        <w:tc>
          <w:tcPr>
            <w:tcW w:type="dxa" w:w="1872"/>
            <w:shd w:fill="1F6F5C" w:val="clear"/>
          </w:tcPr>
          <w:p>
            <w:r>
              <w:rPr>
                <w:b/>
                <w:bCs/>
                <w:color w:val="FFFFFF"/>
                <w:sz w:val="20"/>
                <w:szCs w:val="20"/>
              </w:rPr>
              <w:t xml:space="preserve">Sales Share</w:t>
            </w:r>
          </w:p>
        </w:tc>
        <w:tc>
          <w:tcPr>
            <w:tcW w:type="dxa" w:w="1872"/>
            <w:shd w:fill="1F6F5C" w:val="clear"/>
          </w:tcPr>
          <w:p>
            <w:r>
              <w:rPr>
                <w:b/>
                <w:bCs/>
                <w:color w:val="FFFFFF"/>
                <w:sz w:val="20"/>
                <w:szCs w:val="20"/>
              </w:rPr>
              <w:t xml:space="preserve">Profit Margin</w:t>
            </w:r>
          </w:p>
        </w:tc>
        <w:tc>
          <w:tcPr>
            <w:tcW w:type="dxa" w:w="1872"/>
            <w:shd w:fill="1F6F5C" w:val="clear"/>
          </w:tcPr>
          <w:p>
            <w:r>
              <w:rPr>
                <w:b/>
                <w:bCs/>
                <w:color w:val="FFFFFF"/>
                <w:sz w:val="20"/>
                <w:szCs w:val="20"/>
              </w:rPr>
              <w:t xml:space="preserve">Customers</w:t>
            </w:r>
          </w:p>
        </w:tc>
      </w:tr>
      <w:tr>
        <w:tc>
          <w:tcPr>
            <w:tcW w:type="dxa" w:w="1872"/>
          </w:tcPr>
          <w:p>
            <w:r>
              <w:rPr>
                <w:b w:val="false"/>
                <w:bCs w:val="false"/>
                <w:color w:val="000000"/>
                <w:sz w:val="20"/>
                <w:szCs w:val="20"/>
              </w:rPr>
              <w:t xml:space="preserve">Consumer</w:t>
            </w:r>
          </w:p>
        </w:tc>
        <w:tc>
          <w:tcPr>
            <w:tcW w:type="dxa" w:w="1872"/>
          </w:tcPr>
          <w:p>
            <w:r>
              <w:rPr>
                <w:b w:val="false"/>
                <w:bCs w:val="false"/>
                <w:color w:val="000000"/>
                <w:sz w:val="20"/>
                <w:szCs w:val="20"/>
              </w:rPr>
              <w:t xml:space="preserve">$6,507,949</w:t>
            </w:r>
          </w:p>
        </w:tc>
        <w:tc>
          <w:tcPr>
            <w:tcW w:type="dxa" w:w="1872"/>
          </w:tcPr>
          <w:p>
            <w:r>
              <w:rPr>
                <w:b w:val="false"/>
                <w:bCs w:val="false"/>
                <w:color w:val="000000"/>
                <w:sz w:val="20"/>
                <w:szCs w:val="20"/>
              </w:rPr>
              <w:t xml:space="preserve">51.5%</w:t>
            </w:r>
          </w:p>
        </w:tc>
        <w:tc>
          <w:tcPr>
            <w:tcW w:type="dxa" w:w="1872"/>
          </w:tcPr>
          <w:p>
            <w:r>
              <w:rPr>
                <w:b w:val="false"/>
                <w:bCs w:val="false"/>
                <w:color w:val="000000"/>
                <w:sz w:val="20"/>
                <w:szCs w:val="20"/>
              </w:rPr>
              <w:t xml:space="preserve">11.5%</w:t>
            </w:r>
          </w:p>
        </w:tc>
        <w:tc>
          <w:tcPr>
            <w:tcW w:type="dxa" w:w="1872"/>
          </w:tcPr>
          <w:p>
            <w:r>
              <w:rPr>
                <w:b w:val="false"/>
                <w:bCs w:val="false"/>
                <w:color w:val="000000"/>
                <w:sz w:val="20"/>
                <w:szCs w:val="20"/>
              </w:rPr>
              <w:t xml:space="preserve">818</w:t>
            </w:r>
          </w:p>
        </w:tc>
      </w:tr>
      <w:tr>
        <w:tc>
          <w:tcPr>
            <w:tcW w:type="dxa" w:w="1872"/>
          </w:tcPr>
          <w:p>
            <w:r>
              <w:rPr>
                <w:b w:val="false"/>
                <w:bCs w:val="false"/>
                <w:color w:val="000000"/>
                <w:sz w:val="20"/>
                <w:szCs w:val="20"/>
              </w:rPr>
              <w:t xml:space="preserve">Corporate</w:t>
            </w:r>
          </w:p>
        </w:tc>
        <w:tc>
          <w:tcPr>
            <w:tcW w:type="dxa" w:w="1872"/>
          </w:tcPr>
          <w:p>
            <w:r>
              <w:rPr>
                <w:b w:val="false"/>
                <w:bCs w:val="false"/>
                <w:color w:val="000000"/>
                <w:sz w:val="20"/>
                <w:szCs w:val="20"/>
              </w:rPr>
              <w:t xml:space="preserve">$3,824,698</w:t>
            </w:r>
          </w:p>
        </w:tc>
        <w:tc>
          <w:tcPr>
            <w:tcW w:type="dxa" w:w="1872"/>
          </w:tcPr>
          <w:p>
            <w:r>
              <w:rPr>
                <w:b w:val="false"/>
                <w:bCs w:val="false"/>
                <w:color w:val="000000"/>
                <w:sz w:val="20"/>
                <w:szCs w:val="20"/>
              </w:rPr>
              <w:t xml:space="preserve">30.3%</w:t>
            </w:r>
          </w:p>
        </w:tc>
        <w:tc>
          <w:tcPr>
            <w:tcW w:type="dxa" w:w="1872"/>
          </w:tcPr>
          <w:p>
            <w:r>
              <w:rPr>
                <w:b w:val="false"/>
                <w:bCs w:val="false"/>
                <w:color w:val="000000"/>
                <w:sz w:val="20"/>
                <w:szCs w:val="20"/>
              </w:rPr>
              <w:t xml:space="preserve">11.5%</w:t>
            </w:r>
          </w:p>
        </w:tc>
        <w:tc>
          <w:tcPr>
            <w:tcW w:type="dxa" w:w="1872"/>
          </w:tcPr>
          <w:p>
            <w:r>
              <w:rPr>
                <w:b w:val="false"/>
                <w:bCs w:val="false"/>
                <w:color w:val="000000"/>
                <w:sz w:val="20"/>
                <w:szCs w:val="20"/>
              </w:rPr>
              <w:t xml:space="preserve">476</w:t>
            </w:r>
          </w:p>
        </w:tc>
      </w:tr>
      <w:tr>
        <w:tc>
          <w:tcPr>
            <w:tcW w:type="dxa" w:w="1872"/>
          </w:tcPr>
          <w:p>
            <w:r>
              <w:rPr>
                <w:b w:val="false"/>
                <w:bCs w:val="false"/>
                <w:color w:val="000000"/>
                <w:sz w:val="20"/>
                <w:szCs w:val="20"/>
              </w:rPr>
              <w:t xml:space="preserve">Home Office</w:t>
            </w:r>
          </w:p>
        </w:tc>
        <w:tc>
          <w:tcPr>
            <w:tcW w:type="dxa" w:w="1872"/>
          </w:tcPr>
          <w:p>
            <w:r>
              <w:rPr>
                <w:b w:val="false"/>
                <w:bCs w:val="false"/>
                <w:color w:val="000000"/>
                <w:sz w:val="20"/>
                <w:szCs w:val="20"/>
              </w:rPr>
              <w:t xml:space="preserve">$2,309,855</w:t>
            </w:r>
          </w:p>
        </w:tc>
        <w:tc>
          <w:tcPr>
            <w:tcW w:type="dxa" w:w="1872"/>
          </w:tcPr>
          <w:p>
            <w:r>
              <w:rPr>
                <w:b w:val="false"/>
                <w:bCs w:val="false"/>
                <w:color w:val="000000"/>
                <w:sz w:val="20"/>
                <w:szCs w:val="20"/>
              </w:rPr>
              <w:t xml:space="preserve">18.3%</w:t>
            </w:r>
          </w:p>
        </w:tc>
        <w:tc>
          <w:tcPr>
            <w:tcW w:type="dxa" w:w="1872"/>
          </w:tcPr>
          <w:p>
            <w:r>
              <w:rPr>
                <w:b w:val="false"/>
                <w:bCs w:val="false"/>
                <w:color w:val="000000"/>
                <w:sz w:val="20"/>
                <w:szCs w:val="20"/>
              </w:rPr>
              <w:t xml:space="preserve">12.0%</w:t>
            </w:r>
          </w:p>
        </w:tc>
        <w:tc>
          <w:tcPr>
            <w:tcW w:type="dxa" w:w="1872"/>
          </w:tcPr>
          <w:p>
            <w:r>
              <w:rPr>
                <w:b w:val="false"/>
                <w:bCs w:val="false"/>
                <w:color w:val="000000"/>
                <w:sz w:val="20"/>
                <w:szCs w:val="20"/>
              </w:rPr>
              <w:t xml:space="preserve">296</w:t>
            </w:r>
          </w:p>
        </w:tc>
      </w:tr>
    </w:tbl>
    <w:p>
      <w:pPr>
        <w:spacing w:after="160"/>
      </w:pPr>
      <w:r>
        <w:t xml:space="preserve">All three segments carry nearly identical profit margins (11.5%-12.0%), meaning the earlier discount pattern is likely spread evenly across segments rather than concentrated in one. With 1,590 total customers, the top 10 most profitable customers (led by Tamara Chand at $8,673 profit) each contribute more individual profit than many entire low-performing sub-categories — a small, identifiable group worth targeted retention attention.</w:t>
      </w:r>
    </w:p>
    <w:p>
      <w:pPr>
        <w:pStyle w:val="Heading1"/>
        <w:spacing w:after="160" w:before="320"/>
      </w:pPr>
      <w:r>
        <w:t xml:space="preserve">6. Summary of Advanced Findings</w:t>
      </w:r>
    </w:p>
    <w:p>
      <w:pPr>
        <w:pStyle w:val="ListParagraph"/>
        <w:numPr>
          <w:ilvl w:val="0"/>
          <w:numId w:val="2"/>
        </w:numPr>
        <w:spacing w:after="80"/>
      </w:pPr>
      <w:r>
        <w:t xml:space="preserve">Growth is genuine and accelerating, not discount-fueled at the aggregate level — but discounting is a serious problem within specific orders.</w:t>
      </w:r>
    </w:p>
    <w:p>
      <w:pPr>
        <w:pStyle w:val="ListParagraph"/>
        <w:numPr>
          <w:ilvl w:val="0"/>
          <w:numId w:val="2"/>
        </w:numPr>
        <w:spacing w:after="80"/>
      </w:pPr>
      <w:r>
        <w:t xml:space="preserve">Q4 is a reliable, repeatable seasonal peak every year; Q1/February is reliably the weakest period.</w:t>
      </w:r>
    </w:p>
    <w:p>
      <w:pPr>
        <w:pStyle w:val="ListParagraph"/>
        <w:numPr>
          <w:ilvl w:val="0"/>
          <w:numId w:val="2"/>
        </w:numPr>
        <w:spacing w:after="80"/>
      </w:pPr>
      <w:r>
        <w:t xml:space="preserve">Loss-making products exist beyond the Tables sub-category, including Technology items like 3D printers and laser printers.</w:t>
      </w:r>
    </w:p>
    <w:p>
      <w:pPr>
        <w:pStyle w:val="ListParagraph"/>
        <w:numPr>
          <w:ilvl w:val="0"/>
          <w:numId w:val="2"/>
        </w:numPr>
        <w:spacing w:after="80"/>
      </w:pPr>
      <w:r>
        <w:t xml:space="preserve">Discount above 20% is the single strongest, cleanest negative driver of profitability found in the dataset (r = -0.847).</w:t>
      </w:r>
    </w:p>
    <w:p>
      <w:pPr>
        <w:pStyle w:val="ListParagraph"/>
        <w:numPr>
          <w:ilvl w:val="0"/>
          <w:numId w:val="2"/>
        </w:numPr>
        <w:spacing w:after="80"/>
      </w:pPr>
      <w:r>
        <w:t xml:space="preserve">Regional margin gaps are not explained by shipping cost or delivery speed, pointing instead toward discounting and pricing practices.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35e80ae1980487e3d07de04f735a24ca8590e9.png"/><Relationship Id="rId8" Type="http://schemas.openxmlformats.org/officeDocument/2006/relationships/image" Target="media/cdb44e9c0790f19f06c4158be702f3a03582fbac.png"/><Relationship Id="rId9" Type="http://schemas.openxmlformats.org/officeDocument/2006/relationships/image" Target="media/1684826c6062c56ae4631612f5a5aaa935fd2152.png"/><Relationship Id="rId10" Type="http://schemas.openxmlformats.org/officeDocument/2006/relationships/image" Target="media/cf1d61caba57dcea732379c0419346d4f3a971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2026-08-19T02:26:56.554Z</dcterms:created>
  <dcterms:modified xsi:type="dcterms:W3CDTF">2026-08-19T02:26:56.554Z</dcterms:modified>
</cp:coreProperties>
</file>

<file path=docProps/custom.xml><?xml version="1.0" encoding="utf-8"?>
<Properties xmlns="http://schemas.openxmlformats.org/officeDocument/2006/custom-properties" xmlns:vt="http://schemas.openxmlformats.org/officeDocument/2006/docPropsVTypes"/>
</file>