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6F5C"/>
          <w:sz w:val="40"/>
          <w:szCs w:val="40"/>
        </w:rPr>
        <w:t xml:space="preserve">Executive Summary Report</w:t>
      </w:r>
    </w:p>
    <w:p>
      <w:pPr>
        <w:spacing w:after="40"/>
      </w:pPr>
      <w:r>
        <w:rPr>
          <w:color w:val="555555"/>
          <w:sz w:val="22"/>
          <w:szCs w:val="22"/>
        </w:rPr>
        <w:t xml:space="preserve">Global Superstore — Executive Sales &amp; Profitability Dashboard</w:t>
      </w:r>
    </w:p>
    <w:p>
      <w:pPr>
        <w:spacing w:after="20"/>
      </w:pPr>
      <w:r>
        <w:rPr>
          <w:color w:val="777777"/>
          <w:sz w:val="20"/>
          <w:szCs w:val="20"/>
        </w:rPr>
        <w:t xml:space="preserve">AnalystLab Africa Data Analytics Internship — Week 2</w:t>
      </w:r>
    </w:p>
    <w:p>
      <w:pPr>
        <w:spacing w:after="400"/>
      </w:pPr>
      <w:r>
        <w:rPr>
          <w:color w:val="777777"/>
          <w:sz w:val="20"/>
          <w:szCs w:val="20"/>
        </w:rPr>
        <w:t xml:space="preserve">Prepared by Oluwatosin Olusanya, Junior Business Intelligence Analyst — AnalystLab Africa Consulting</w:t>
      </w:r>
    </w:p>
    <w:p>
      <w:pPr>
        <w:pStyle w:val="Heading1"/>
        <w:spacing w:after="160" w:before="320"/>
      </w:pPr>
      <w:r>
        <w:t xml:space="preserve">Purpose</w:t>
      </w:r>
    </w:p>
    <w:p>
      <w:pPr>
        <w:spacing w:after="160"/>
      </w:pPr>
      <w:r>
        <w:t xml:space="preserve">This report summarizes the findings of the interactive Power BI dashboard built for a national retail client to monitor sales performance, profitability, customer behavior, and regional performance. It is intended to be read alongside the dashboard export, translating what is visible on screen into a narrative senior management can act on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6F5C" w:val="clear"/>
          </w:tcPr>
          <w:p>
            <w:r>
              <w:rPr>
                <w:b/>
                <w:bCs/>
                <w:color w:val="FFFFFF"/>
                <w:sz w:val="20"/>
                <w:szCs w:val="20"/>
              </w:rPr>
              <w:t xml:space="preserve">Headline Metric</w:t>
            </w:r>
          </w:p>
        </w:tc>
        <w:tc>
          <w:tcPr>
            <w:tcW w:type="dxa" w:w="4680"/>
            <w:shd w:fill="1F6F5C" w:val="clear"/>
          </w:tcPr>
          <w:p>
            <w:r>
              <w:rPr>
                <w:b/>
                <w:bCs/>
                <w:color w:val="FFFFFF"/>
                <w:sz w:val="20"/>
                <w:szCs w:val="20"/>
              </w:rPr>
              <w:t xml:space="preserve">Value</w:t>
            </w:r>
          </w:p>
        </w:tc>
      </w:tr>
      <w:tr>
        <w:tc>
          <w:tcPr>
            <w:tcW w:type="dxa" w:w="4680"/>
          </w:tcPr>
          <w:p>
            <w:r>
              <w:rPr>
                <w:b w:val="false"/>
                <w:bCs w:val="false"/>
                <w:color w:val="000000"/>
                <w:sz w:val="20"/>
                <w:szCs w:val="20"/>
              </w:rPr>
              <w:t xml:space="preserve">Total Sales</w:t>
            </w:r>
          </w:p>
        </w:tc>
        <w:tc>
          <w:tcPr>
            <w:tcW w:type="dxa" w:w="4680"/>
          </w:tcPr>
          <w:p>
            <w:r>
              <w:rPr>
                <w:b w:val="false"/>
                <w:bCs w:val="false"/>
                <w:color w:val="000000"/>
                <w:sz w:val="20"/>
                <w:szCs w:val="20"/>
              </w:rPr>
              <w:t xml:space="preserve">$12,642,501.91</w:t>
            </w:r>
          </w:p>
        </w:tc>
      </w:tr>
      <w:tr>
        <w:tc>
          <w:tcPr>
            <w:tcW w:type="dxa" w:w="4680"/>
          </w:tcPr>
          <w:p>
            <w:r>
              <w:rPr>
                <w:b w:val="false"/>
                <w:bCs w:val="false"/>
                <w:color w:val="000000"/>
                <w:sz w:val="20"/>
                <w:szCs w:val="20"/>
              </w:rPr>
              <w:t xml:space="preserve">Total Profit</w:t>
            </w:r>
          </w:p>
        </w:tc>
        <w:tc>
          <w:tcPr>
            <w:tcW w:type="dxa" w:w="4680"/>
          </w:tcPr>
          <w:p>
            <w:r>
              <w:rPr>
                <w:b w:val="false"/>
                <w:bCs w:val="false"/>
                <w:color w:val="000000"/>
                <w:sz w:val="20"/>
                <w:szCs w:val="20"/>
              </w:rPr>
              <w:t xml:space="preserve">$1,467,457.29</w:t>
            </w:r>
          </w:p>
        </w:tc>
      </w:tr>
      <w:tr>
        <w:tc>
          <w:tcPr>
            <w:tcW w:type="dxa" w:w="4680"/>
          </w:tcPr>
          <w:p>
            <w:r>
              <w:rPr>
                <w:b w:val="false"/>
                <w:bCs w:val="false"/>
                <w:color w:val="000000"/>
                <w:sz w:val="20"/>
                <w:szCs w:val="20"/>
              </w:rPr>
              <w:t xml:space="preserve">Overall Profit Margin</w:t>
            </w:r>
          </w:p>
        </w:tc>
        <w:tc>
          <w:tcPr>
            <w:tcW w:type="dxa" w:w="4680"/>
          </w:tcPr>
          <w:p>
            <w:r>
              <w:rPr>
                <w:b w:val="false"/>
                <w:bCs w:val="false"/>
                <w:color w:val="000000"/>
                <w:sz w:val="20"/>
                <w:szCs w:val="20"/>
              </w:rPr>
              <w:t xml:space="preserve">11.6%</w:t>
            </w:r>
          </w:p>
        </w:tc>
      </w:tr>
      <w:tr>
        <w:tc>
          <w:tcPr>
            <w:tcW w:type="dxa" w:w="4680"/>
          </w:tcPr>
          <w:p>
            <w:r>
              <w:rPr>
                <w:b w:val="false"/>
                <w:bCs w:val="false"/>
                <w:color w:val="000000"/>
                <w:sz w:val="20"/>
                <w:szCs w:val="20"/>
              </w:rPr>
              <w:t xml:space="preserve">Total Orders</w:t>
            </w:r>
          </w:p>
        </w:tc>
        <w:tc>
          <w:tcPr>
            <w:tcW w:type="dxa" w:w="4680"/>
          </w:tcPr>
          <w:p>
            <w:r>
              <w:rPr>
                <w:b w:val="false"/>
                <w:bCs w:val="false"/>
                <w:color w:val="000000"/>
                <w:sz w:val="20"/>
                <w:szCs w:val="20"/>
              </w:rPr>
              <w:t xml:space="preserve">25,035</w:t>
            </w:r>
          </w:p>
        </w:tc>
      </w:tr>
      <w:tr>
        <w:tc>
          <w:tcPr>
            <w:tcW w:type="dxa" w:w="4680"/>
          </w:tcPr>
          <w:p>
            <w:r>
              <w:rPr>
                <w:b w:val="false"/>
                <w:bCs w:val="false"/>
                <w:color w:val="000000"/>
                <w:sz w:val="20"/>
                <w:szCs w:val="20"/>
              </w:rPr>
              <w:t xml:space="preserve">Average Sale (per order)</w:t>
            </w:r>
          </w:p>
        </w:tc>
        <w:tc>
          <w:tcPr>
            <w:tcW w:type="dxa" w:w="4680"/>
          </w:tcPr>
          <w:p>
            <w:r>
              <w:rPr>
                <w:b w:val="false"/>
                <w:bCs w:val="false"/>
                <w:color w:val="000000"/>
                <w:sz w:val="20"/>
                <w:szCs w:val="20"/>
              </w:rPr>
              <w:t xml:space="preserve">$505.07</w:t>
            </w:r>
          </w:p>
        </w:tc>
      </w:tr>
      <w:tr>
        <w:tc>
          <w:tcPr>
            <w:tcW w:type="dxa" w:w="4680"/>
          </w:tcPr>
          <w:p>
            <w:r>
              <w:rPr>
                <w:b w:val="false"/>
                <w:bCs w:val="false"/>
                <w:color w:val="000000"/>
                <w:sz w:val="20"/>
                <w:szCs w:val="20"/>
              </w:rPr>
              <w:t xml:space="preserve">Period Covered</w:t>
            </w:r>
          </w:p>
        </w:tc>
        <w:tc>
          <w:tcPr>
            <w:tcW w:type="dxa" w:w="4680"/>
          </w:tcPr>
          <w:p>
            <w:r>
              <w:rPr>
                <w:b w:val="false"/>
                <w:bCs w:val="false"/>
                <w:color w:val="000000"/>
                <w:sz w:val="20"/>
                <w:szCs w:val="20"/>
              </w:rPr>
              <w:t xml:space="preserve">2011 - 2014</w:t>
            </w:r>
          </w:p>
        </w:tc>
      </w:tr>
    </w:tbl>
    <w:p>
      <w:pPr>
        <w:pStyle w:val="Heading1"/>
        <w:spacing w:after="160" w:before="320"/>
      </w:pPr>
      <w:r>
        <w:t xml:space="preserve">Answers to the Seven Business Questions</w:t>
      </w:r>
    </w:p>
    <w:p>
      <w:pPr>
        <w:pStyle w:val="Heading2"/>
        <w:spacing w:after="120" w:before="240"/>
      </w:pPr>
      <w:r>
        <w:t xml:space="preserve">1. What is the overall sales performance of the company?</w:t>
      </w:r>
    </w:p>
    <w:p>
      <w:pPr>
        <w:spacing w:after="160"/>
      </w:pPr>
      <w:r>
        <w:t xml:space="preserve">The company generated $12.64M in total sales and $1.47M in profit over the four-year period, an overall profit margin of 11.6%. Performance has grown consistently every year: $2.26M (2011) to $2.68M (2012) to $3.41M (2013) to $4.30M (2014) — essentially doubling sales in four years with no down years, a genuinely strong growth trajectory.</w:t>
      </w:r>
    </w:p>
    <w:p>
      <w:pPr>
        <w:pStyle w:val="Heading2"/>
        <w:spacing w:after="120" w:before="240"/>
      </w:pPr>
      <w:r>
        <w:t xml:space="preserve">2. Which regions generate the highest sales and profit?</w:t>
      </w:r>
    </w:p>
    <w:p>
      <w:pPr>
        <w:spacing w:after="160"/>
      </w:pPr>
      <w:r>
        <w:t xml:space="preserve">Central is the largest region by sales ($2.82M) and profit ($311,404), followed by South ($1.60M sales) and North ($1.25M sales). However, size does not equal efficiency: Canada, the smallest market by sales ($66,928), posts the highest profit margin of any region at 26.6% — more than double the company average.</w:t>
      </w:r>
    </w:p>
    <w:p>
      <w:pPr>
        <w:pStyle w:val="Heading2"/>
        <w:spacing w:after="120" w:before="240"/>
      </w:pPr>
      <w:r>
        <w:t xml:space="preserve">3. Which customer segments contribute the most revenue?</w:t>
      </w:r>
    </w:p>
    <w:p>
      <w:pPr>
        <w:spacing w:after="160"/>
      </w:pPr>
      <w:r>
        <w:t xml:space="preserve">The Consumer segment leads decisively at roughly $6.5M in sales, well ahead of Corporate (~$3.8M) and Home Office (~$2.3M). Consumer alone accounts for close to half of total company revenue.</w:t>
      </w:r>
    </w:p>
    <w:p>
      <w:pPr>
        <w:pStyle w:val="Heading2"/>
        <w:spacing w:after="120" w:before="240"/>
      </w:pPr>
      <w:r>
        <w:t xml:space="preserve">4. Which product categories perform best?</w:t>
      </w:r>
    </w:p>
    <w:p>
      <w:pPr>
        <w:spacing w:after="160"/>
      </w:pPr>
      <w:r>
        <w:t xml:space="preserve">Technology leads at $4.74M (37.5% of sales), narrowly ahead of Office Supplies at $4.11M (32.5%) and Furniture at $3.79M (30.0%). The three categories are closer in size than a typical retail business, meaning the company is not over-reliant on a single product line.</w:t>
      </w:r>
    </w:p>
    <w:p>
      <w:pPr>
        <w:pStyle w:val="Heading2"/>
        <w:spacing w:after="120" w:before="240"/>
      </w:pPr>
      <w:r>
        <w:t xml:space="preserve">5. Which products are the most profitable?</w:t>
      </w:r>
    </w:p>
    <w:p>
      <w:pPr>
        <w:spacing w:after="160"/>
      </w:pPr>
      <w:r>
        <w:t xml:space="preserve">At the sub-category level, Copiers and Phones are the strongest profit contributors. Tables is the standout underperformer — the only sub-category in the entire dataset generating a net loss (approximately -$64,000), despite meaningful sales volume. This single sub-category is actively dragging down Furniture's overall profitability.</w:t>
      </w:r>
    </w:p>
    <w:p>
      <w:pPr>
        <w:pStyle w:val="Heading2"/>
        <w:spacing w:after="120" w:before="240"/>
      </w:pPr>
      <w:r>
        <w:t xml:space="preserve">6. What trends can be observed over time?</w:t>
      </w:r>
    </w:p>
    <w:p>
      <w:pPr>
        <w:spacing w:after="160"/>
      </w:pPr>
      <w:r>
        <w:t xml:space="preserve">Sales show clean, uninterrupted year-over-year growth across all four years with no seasonal collapse — a healthy, expanding business rather than one propped up by a single strong year. This trend, combined with rising order volume, suggests the growth is driven by genuine demand expansion rather than one-off large deals.</w:t>
      </w:r>
    </w:p>
    <w:p>
      <w:pPr>
        <w:pStyle w:val="Heading2"/>
        <w:spacing w:after="120" w:before="240"/>
      </w:pPr>
      <w:r>
        <w:t xml:space="preserve">7. What recommendations should management implement?</w:t>
      </w:r>
    </w:p>
    <w:p>
      <w:pPr>
        <w:spacing w:after="160"/>
      </w:pPr>
      <w:r>
        <w:t xml:space="preserve">See the Recommendations section below — in summary: address the Tables sub-category's losses, investigate why Southeast Asia and EMEA convert high sales into unusually thin margins, and study what Canada is doing differently to achieve a 26.6% margin so it can potentially be replicated elsewhere.</w:t>
      </w:r>
    </w:p>
    <w:p>
      <w:pPr>
        <w:pStyle w:val="Heading1"/>
        <w:spacing w:after="160" w:before="320"/>
      </w:pPr>
      <w:r>
        <w:t xml:space="preserve">Five Key Insights</w:t>
      </w:r>
    </w:p>
    <w:p>
      <w:pPr>
        <w:pStyle w:val="ListParagraph"/>
        <w:numPr>
          <w:ilvl w:val="0"/>
          <w:numId w:val="2"/>
        </w:numPr>
        <w:spacing w:after="80"/>
      </w:pPr>
      <w:r>
        <w:t xml:space="preserve">Growth is broad-based, not fragile: all three product categories and all major markets are growing together, rather than the company depending on one standout segment.</w:t>
      </w:r>
    </w:p>
    <w:p>
      <w:pPr>
        <w:pStyle w:val="ListParagraph"/>
        <w:numPr>
          <w:ilvl w:val="0"/>
          <w:numId w:val="2"/>
        </w:numPr>
        <w:spacing w:after="80"/>
      </w:pPr>
      <w:r>
        <w:t xml:space="preserve">Profitability and sales volume are not the same story: Central generates the most revenue, but Canada — 40x smaller — is nearly 2.5x more profitable per dollar of sales.</w:t>
      </w:r>
    </w:p>
    <w:p>
      <w:pPr>
        <w:pStyle w:val="ListParagraph"/>
        <w:numPr>
          <w:ilvl w:val="0"/>
          <w:numId w:val="2"/>
        </w:numPr>
        <w:spacing w:after="80"/>
      </w:pPr>
      <w:r>
        <w:t xml:space="preserve">One sub-category is quietly loss-making: Tables loses money outright, hidden inside an otherwise healthy Furniture category.</w:t>
      </w:r>
    </w:p>
    <w:p>
      <w:pPr>
        <w:pStyle w:val="ListParagraph"/>
        <w:numPr>
          <w:ilvl w:val="0"/>
          <w:numId w:val="2"/>
        </w:numPr>
        <w:spacing w:after="80"/>
      </w:pPr>
      <w:r>
        <w:t xml:space="preserve">Consumer is the core customer base: nearly half of all revenue comes from a single segment, making Consumer-focused decisions the highest-leverage lever management has.</w:t>
      </w:r>
    </w:p>
    <w:p>
      <w:pPr>
        <w:pStyle w:val="ListParagraph"/>
        <w:numPr>
          <w:ilvl w:val="0"/>
          <w:numId w:val="2"/>
        </w:numPr>
        <w:spacing w:after="80"/>
      </w:pPr>
      <w:r>
        <w:t xml:space="preserve">Margin varies far more by region than sales does: a 24-point margin spread exists between the best region (Canada, 26.6%) and the worst (Southeast Asia, 2.0%), despite both being active, meaningful markets.</w:t>
      </w:r>
    </w:p>
    <w:p>
      <w:pPr>
        <w:pStyle w:val="Heading1"/>
        <w:spacing w:after="160" w:before="320"/>
      </w:pPr>
      <w:r>
        <w:t xml:space="preserve">Three Business Risks</w:t>
      </w:r>
    </w:p>
    <w:p>
      <w:pPr>
        <w:pStyle w:val="ListParagraph"/>
        <w:numPr>
          <w:ilvl w:val="0"/>
          <w:numId w:val="2"/>
        </w:numPr>
        <w:spacing w:after="80"/>
      </w:pPr>
      <w:r>
        <w:t xml:space="preserve">Margin erosion risk in high-sales regions: Southeast Asia ($884K sales, 2.0% margin) and EMEA ($806K sales, 5.4% margin) are both substantial markets generating disproportionately little profit — a pricing, discounting, or cost-to-serve problem in two markets big enough to matter.</w:t>
      </w:r>
    </w:p>
    <w:p>
      <w:pPr>
        <w:pStyle w:val="ListParagraph"/>
        <w:numPr>
          <w:ilvl w:val="0"/>
          <w:numId w:val="2"/>
        </w:numPr>
        <w:spacing w:after="80"/>
      </w:pPr>
      <w:r>
        <w:t xml:space="preserve">Concealed loss inside a healthy category: because Tables' losses are absorbed into Furniture's overall positive total, this risk would not appear at all in a category-level report — only sub-category-level analysis catches it, meaning other losses could be hiding at a similar level of granularity.</w:t>
      </w:r>
    </w:p>
    <w:p>
      <w:pPr>
        <w:pStyle w:val="ListParagraph"/>
        <w:numPr>
          <w:ilvl w:val="0"/>
          <w:numId w:val="2"/>
        </w:numPr>
        <w:spacing w:after="80"/>
      </w:pPr>
      <w:r>
        <w:t xml:space="preserve">Revenue concentration in one segment: with Consumer driving roughly half of total revenue, any shift in Consumer demand or competitive pressure in that segment would disproportionately impact the whole business.</w:t>
      </w:r>
    </w:p>
    <w:p>
      <w:pPr>
        <w:pStyle w:val="Heading1"/>
        <w:spacing w:after="160" w:before="320"/>
      </w:pPr>
      <w:r>
        <w:t xml:space="preserve">Three Business Opportunities</w:t>
      </w:r>
    </w:p>
    <w:p>
      <w:pPr>
        <w:pStyle w:val="ListParagraph"/>
        <w:numPr>
          <w:ilvl w:val="0"/>
          <w:numId w:val="2"/>
        </w:numPr>
        <w:spacing w:after="80"/>
      </w:pPr>
      <w:r>
        <w:t xml:space="preserve">Replicate Canada's margin performance: understanding what drives Canada's 26.6% margin (pricing discipline, product mix, lower discounting, shipping efficiency) could inform a playbook to lift margins in larger but less efficient regions.</w:t>
      </w:r>
    </w:p>
    <w:p>
      <w:pPr>
        <w:pStyle w:val="ListParagraph"/>
        <w:numPr>
          <w:ilvl w:val="0"/>
          <w:numId w:val="2"/>
        </w:numPr>
        <w:spacing w:after="80"/>
      </w:pPr>
      <w:r>
        <w:t xml:space="preserve">Fix or exit the Tables sub-category: since it is the only category-wide loss-maker in the entire dataset, even modest pricing or cost adjustments here have an outsized, easily measurable impact on total company profit.</w:t>
      </w:r>
    </w:p>
    <w:p>
      <w:pPr>
        <w:pStyle w:val="ListParagraph"/>
        <w:numPr>
          <w:ilvl w:val="0"/>
          <w:numId w:val="2"/>
        </w:numPr>
        <w:spacing w:after="80"/>
      </w:pPr>
      <w:r>
        <w:t xml:space="preserve">Deepen the Consumer relationship: given Consumer already drives half of revenue, targeted loyalty or repeat-purchase initiatives in this segment likely offer a better return than efforts spread evenly across all three segments.</w:t>
      </w:r>
    </w:p>
    <w:p>
      <w:pPr>
        <w:pStyle w:val="Heading1"/>
        <w:spacing w:after="160" w:before="320"/>
      </w:pPr>
      <w:r>
        <w:t xml:space="preserve">Five Recommendations</w:t>
      </w:r>
    </w:p>
    <w:p>
      <w:pPr>
        <w:pStyle w:val="ListParagraph"/>
        <w:numPr>
          <w:ilvl w:val="0"/>
          <w:numId w:val="2"/>
        </w:numPr>
        <w:spacing w:after="80"/>
      </w:pPr>
      <w:r>
        <w:t xml:space="preserve">Launch a margin review specifically for Southeast Asia and EMEA — investigate discount levels, shipping costs, and product mix in these two markets to identify why sales are not converting to profit at a normal rate.</w:t>
      </w:r>
    </w:p>
    <w:p>
      <w:pPr>
        <w:pStyle w:val="ListParagraph"/>
        <w:numPr>
          <w:ilvl w:val="0"/>
          <w:numId w:val="2"/>
        </w:numPr>
        <w:spacing w:after="80"/>
      </w:pPr>
      <w:r>
        <w:t xml:space="preserve">Conduct a pricing and cost review of the Tables sub-category, and consider discontinuing or repricing the worst-performing individual products within it if margins cannot be corrected.</w:t>
      </w:r>
    </w:p>
    <w:p>
      <w:pPr>
        <w:pStyle w:val="ListParagraph"/>
        <w:numPr>
          <w:ilvl w:val="0"/>
          <w:numId w:val="2"/>
        </w:numPr>
        <w:spacing w:after="80"/>
      </w:pPr>
      <w:r>
        <w:t xml:space="preserve">Study Canada's operating model as a potential best-practice case, and test applying similar pricing/discounting discipline in one comparable underperforming region as a pilot.</w:t>
      </w:r>
    </w:p>
    <w:p>
      <w:pPr>
        <w:pStyle w:val="ListParagraph"/>
        <w:numPr>
          <w:ilvl w:val="0"/>
          <w:numId w:val="2"/>
        </w:numPr>
        <w:spacing w:after="80"/>
      </w:pPr>
      <w:r>
        <w:t xml:space="preserve">Build a Consumer segment retention program, given its outsized share of revenue — even a small improvement in Consumer repeat-purchase rate would have a large absolute revenue impact.</w:t>
      </w:r>
    </w:p>
    <w:p>
      <w:pPr>
        <w:pStyle w:val="ListParagraph"/>
        <w:numPr>
          <w:ilvl w:val="0"/>
          <w:numId w:val="2"/>
        </w:numPr>
        <w:spacing w:after="80"/>
      </w:pPr>
      <w:r>
        <w:t xml:space="preserve">Adopt sub-category-level (not just category-level) profitability reviews as a standing quarterly practice, since this is the level of detail at which the Tables issue was only just caught.</w:t>
      </w:r>
    </w:p>
    <w:p>
      <w:pPr>
        <w:pStyle w:val="Heading1"/>
        <w:spacing w:after="160" w:before="320"/>
      </w:pPr>
      <w:r>
        <w:t xml:space="preserve">Conclusion</w:t>
      </w:r>
    </w:p>
    <w:p>
      <w:pPr>
        <w:spacing w:after="160"/>
      </w:pPr>
      <w:r>
        <w:t xml:space="preserve">The business is in a genuinely healthy growth position — sales have nearly doubled over four years with no down years, and no single category or region is carrying the company alone. The real opportunity is not top-line growth, which is already strong, but tightening the gap between sales and profit: a 24-point margin spread between regions, and one sub-category actively losing money, both represent profit sitting on the table that requires no new customers to capture. The dashboard makes both issues immediately visible to management going forward, replacing what would otherwise be an easy-to-miss pattern buried in transaction-level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2026-08-13T21:13:37.119Z</dcterms:created>
  <dcterms:modified xsi:type="dcterms:W3CDTF">2026-08-13T21:13:37.134Z</dcterms:modified>
</cp:coreProperties>
</file>

<file path=docProps/custom.xml><?xml version="1.0" encoding="utf-8"?>
<Properties xmlns="http://schemas.openxmlformats.org/officeDocument/2006/custom-properties" xmlns:vt="http://schemas.openxmlformats.org/officeDocument/2006/docPropsVTypes"/>
</file>