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A2C70"/>
          <w:sz w:val="38"/>
          <w:szCs w:val="38"/>
        </w:rPr>
        <w:t xml:space="preserve">Initial Analysis Document</w:t>
      </w:r>
    </w:p>
    <w:p>
      <w:pPr>
        <w:spacing w:after="40"/>
      </w:pPr>
      <w:r>
        <w:rPr>
          <w:color w:val="555555"/>
          <w:sz w:val="22"/>
          <w:szCs w:val="22"/>
        </w:rPr>
        <w:t xml:space="preserve">HealthConnect Clinic — Data Analytics Track</w:t>
      </w:r>
    </w:p>
    <w:p>
      <w:pPr>
        <w:spacing w:after="20"/>
      </w:pPr>
      <w:r>
        <w:rPr>
          <w:color w:val="777777"/>
          <w:sz w:val="20"/>
          <w:szCs w:val="20"/>
        </w:rPr>
        <w:t xml:space="preserve">AnalystLab Africa Experience Lab — Week 4</w:t>
      </w:r>
    </w:p>
    <w:p>
      <w:pPr>
        <w:spacing w:after="400"/>
      </w:pPr>
      <w:r>
        <w:rPr>
          <w:color w:val="777777"/>
          <w:sz w:val="20"/>
          <w:szCs w:val="20"/>
        </w:rPr>
        <w:t xml:space="preserve">Prepared by Oluwatosin Olusanya, Data Analyst — AnalystLab Africa</w:t>
      </w:r>
    </w:p>
    <w:p>
      <w:pPr>
        <w:pStyle w:val="Heading1"/>
        <w:spacing w:after="160" w:before="320"/>
      </w:pPr>
      <w:r>
        <w:t xml:space="preserve">1. My Role in the HealthConnect Project</w:t>
      </w:r>
    </w:p>
    <w:p>
      <w:pPr>
        <w:spacing w:after="160"/>
      </w:pPr>
      <w:r>
        <w:t xml:space="preserve">HealthConnect Clinic is experiencing a high rate of missed appointments, inefficient use of appointment slots, and limited understanding of what drives patients to miss their scheduled visits. As the Data Analytics track contributor, my responsibility this week is to understand the appointment dataset, assess its quality, define the business questions worth investigating, and propose KPIs that will guide deeper analysis in subsequent weeks — laying the groundwork the Data Science track will later build a predictive model on top of.</w:t>
      </w:r>
    </w:p>
    <w:p>
      <w:pPr>
        <w:pStyle w:val="Heading1"/>
        <w:spacing w:after="160" w:before="320"/>
      </w:pPr>
      <w:r>
        <w:t xml:space="preserve">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6A2C70" w:val="clear"/>
          </w:tcPr>
          <w:p>
            <w:r>
              <w:rPr>
                <w:b/>
                <w:bCs/>
                <w:color w:val="FFFFFF"/>
                <w:sz w:val="19"/>
                <w:szCs w:val="19"/>
              </w:rPr>
              <w:t xml:space="preserve">Attribute</w:t>
            </w:r>
          </w:p>
        </w:tc>
        <w:tc>
          <w:tcPr>
            <w:tcW w:type="dxa" w:w="4680"/>
            <w:shd w:fill="6A2C70" w:val="clear"/>
          </w:tcPr>
          <w:p>
            <w:r>
              <w:rPr>
                <w:b/>
                <w:bCs/>
                <w:color w:val="FFFFFF"/>
                <w:sz w:val="19"/>
                <w:szCs w:val="19"/>
              </w:rPr>
              <w:t xml:space="preserve">Value</w:t>
            </w:r>
          </w:p>
        </w:tc>
      </w:tr>
      <w:tr>
        <w:tc>
          <w:tcPr>
            <w:tcW w:type="dxa" w:w="4680"/>
          </w:tcPr>
          <w:p>
            <w:r>
              <w:rPr>
                <w:b w:val="false"/>
                <w:bCs w:val="false"/>
                <w:color w:val="000000"/>
                <w:sz w:val="19"/>
                <w:szCs w:val="19"/>
              </w:rPr>
              <w:t xml:space="preserve">Total records</w:t>
            </w:r>
          </w:p>
        </w:tc>
        <w:tc>
          <w:tcPr>
            <w:tcW w:type="dxa" w:w="4680"/>
          </w:tcPr>
          <w:p>
            <w:r>
              <w:rPr>
                <w:b w:val="false"/>
                <w:bCs w:val="false"/>
                <w:color w:val="000000"/>
                <w:sz w:val="19"/>
                <w:szCs w:val="19"/>
              </w:rPr>
              <w:t xml:space="preserve">5,000 appointments</w:t>
            </w:r>
          </w:p>
        </w:tc>
      </w:tr>
      <w:tr>
        <w:tc>
          <w:tcPr>
            <w:tcW w:type="dxa" w:w="4680"/>
          </w:tcPr>
          <w:p>
            <w:r>
              <w:rPr>
                <w:b w:val="false"/>
                <w:bCs w:val="false"/>
                <w:color w:val="000000"/>
                <w:sz w:val="19"/>
                <w:szCs w:val="19"/>
              </w:rPr>
              <w:t xml:space="preserve">Total variables</w:t>
            </w:r>
          </w:p>
        </w:tc>
        <w:tc>
          <w:tcPr>
            <w:tcW w:type="dxa" w:w="4680"/>
          </w:tcPr>
          <w:p>
            <w:r>
              <w:rPr>
                <w:b w:val="false"/>
                <w:bCs w:val="false"/>
                <w:color w:val="000000"/>
                <w:sz w:val="19"/>
                <w:szCs w:val="19"/>
              </w:rPr>
              <w:t xml:space="preserve">18</w:t>
            </w:r>
          </w:p>
        </w:tc>
      </w:tr>
      <w:tr>
        <w:tc>
          <w:tcPr>
            <w:tcW w:type="dxa" w:w="4680"/>
          </w:tcPr>
          <w:p>
            <w:r>
              <w:rPr>
                <w:b w:val="false"/>
                <w:bCs w:val="false"/>
                <w:color w:val="000000"/>
                <w:sz w:val="19"/>
                <w:szCs w:val="19"/>
              </w:rPr>
              <w:t xml:space="preserve">Date range (appointments)</w:t>
            </w:r>
          </w:p>
        </w:tc>
        <w:tc>
          <w:tcPr>
            <w:tcW w:type="dxa" w:w="4680"/>
          </w:tcPr>
          <w:p>
            <w:r>
              <w:rPr>
                <w:b w:val="false"/>
                <w:bCs w:val="false"/>
                <w:color w:val="000000"/>
                <w:sz w:val="19"/>
                <w:szCs w:val="19"/>
              </w:rPr>
              <w:t xml:space="preserve">1 Jan 2025 - 30 Jun 2026</w:t>
            </w:r>
          </w:p>
        </w:tc>
      </w:tr>
      <w:tr>
        <w:tc>
          <w:tcPr>
            <w:tcW w:type="dxa" w:w="4680"/>
          </w:tcPr>
          <w:p>
            <w:r>
              <w:rPr>
                <w:b w:val="false"/>
                <w:bCs w:val="false"/>
                <w:color w:val="000000"/>
                <w:sz w:val="19"/>
                <w:szCs w:val="19"/>
              </w:rPr>
              <w:t xml:space="preserve">Date range (bookings)</w:t>
            </w:r>
          </w:p>
        </w:tc>
        <w:tc>
          <w:tcPr>
            <w:tcW w:type="dxa" w:w="4680"/>
          </w:tcPr>
          <w:p>
            <w:r>
              <w:rPr>
                <w:b w:val="false"/>
                <w:bCs w:val="false"/>
                <w:color w:val="000000"/>
                <w:sz w:val="19"/>
                <w:szCs w:val="19"/>
              </w:rPr>
              <w:t xml:space="preserve">7 Nov 2024 - 27 Jun 2026</w:t>
            </w:r>
          </w:p>
        </w:tc>
      </w:tr>
      <w:tr>
        <w:tc>
          <w:tcPr>
            <w:tcW w:type="dxa" w:w="4680"/>
          </w:tcPr>
          <w:p>
            <w:r>
              <w:rPr>
                <w:b w:val="false"/>
                <w:bCs w:val="false"/>
                <w:color w:val="000000"/>
                <w:sz w:val="19"/>
                <w:szCs w:val="19"/>
              </w:rPr>
              <w:t xml:space="preserve">Appointment outcomes</w:t>
            </w:r>
          </w:p>
        </w:tc>
        <w:tc>
          <w:tcPr>
            <w:tcW w:type="dxa" w:w="4680"/>
          </w:tcPr>
          <w:p>
            <w:r>
              <w:rPr>
                <w:b w:val="false"/>
                <w:bCs w:val="false"/>
                <w:color w:val="000000"/>
                <w:sz w:val="19"/>
                <w:szCs w:val="19"/>
              </w:rPr>
              <w:t xml:space="preserve">No-Show: 2,423 (48.5%) | Attended: 2,314 (46.3%) | Cancelled: 263 (5.3%)</w:t>
            </w:r>
          </w:p>
        </w:tc>
      </w:tr>
    </w:tbl>
    <w:p>
      <w:pPr>
        <w:spacing w:after="160"/>
      </w:pPr>
      <w:r>
        <w:t xml:space="preserve">The dataset contains one row per appointment, covering patient demographics (gender, age, age group), appointment details (type, date, day, time), booking behavior (lead time, prior appointment and no-show history), reminder information (whether sent, and channel), and contextual factors (distance to clinic, waiting time). The near-50/50 split between No-Show and Attended outcomes is notable in itself — this is a far higher no-show rate than most real-world clinics report, making it a genuinely urgent business problem worth investigating rather than a marginal one.</w:t>
      </w:r>
    </w:p>
    <w:p>
      <w:pPr>
        <w:pStyle w:val="Heading1"/>
        <w:spacing w:after="160" w:before="320"/>
      </w:pPr>
      <w:r>
        <w:t xml:space="preserve">3. Data Quality Assessment</w:t>
      </w:r>
    </w:p>
    <w:p>
      <w:pPr>
        <w:pStyle w:val="ListParagraph"/>
        <w:numPr>
          <w:ilvl w:val="0"/>
          <w:numId w:val="2"/>
        </w:numPr>
        <w:spacing w:after="80"/>
      </w:pPr>
      <w:r>
        <w:t xml:space="preserve">No missing values in any core identifier, demographic, or outcome field (appointment_id, patient_id, gender, age, appointment_outcome, etc.).</w:t>
      </w:r>
    </w:p>
    <w:p>
      <w:pPr>
        <w:pStyle w:val="ListParagraph"/>
        <w:numPr>
          <w:ilvl w:val="0"/>
          <w:numId w:val="2"/>
        </w:numPr>
        <w:spacing w:after="80"/>
      </w:pPr>
      <w:r>
        <w:t xml:space="preserve">reminder_channel is missing for 1,366 rows — but this is not a data quality defect: it corresponds exactly to the 1,366 rows where reminder_sent = "No". A channel cannot exist for a reminder that was never sent, so this is expected structural missingness, not an error.</w:t>
      </w:r>
    </w:p>
    <w:p>
      <w:pPr>
        <w:pStyle w:val="ListParagraph"/>
        <w:numPr>
          <w:ilvl w:val="0"/>
          <w:numId w:val="2"/>
        </w:numPr>
        <w:spacing w:after="80"/>
      </w:pPr>
      <w:r>
        <w:t xml:space="preserve">distance_to_clinic_km is missing for 90 rows (1.8%) and waiting_time_minutes for 60 rows (1.2%) — both small, likely genuine gaps in data capture. Low enough volume that dropping or imputing these rows for specific analyses should not meaningfully bias results, but this should be revisited before any modeling work.</w:t>
      </w:r>
    </w:p>
    <w:p>
      <w:pPr>
        <w:pStyle w:val="ListParagraph"/>
        <w:numPr>
          <w:ilvl w:val="0"/>
          <w:numId w:val="2"/>
        </w:numPr>
        <w:spacing w:after="80"/>
      </w:pPr>
      <w:r>
        <w:t xml:space="preserve">No duplicate rows and no duplicate appointment_id values were found across all 5,000 records.</w:t>
      </w:r>
    </w:p>
    <w:p>
      <w:pPr>
        <w:pStyle w:val="ListParagraph"/>
        <w:numPr>
          <w:ilvl w:val="0"/>
          <w:numId w:val="2"/>
        </w:numPr>
        <w:spacing w:after="80"/>
      </w:pPr>
      <w:r>
        <w:t xml:space="preserve">Referential logic checks passed cleanly: no appointment has a booking_date after its appointment_date, no appointment has previous_no_shows greater than previous_appointments, and booking_lead_days is internally consistent with the calculated gap between booking_date and appointment_date in every row.</w:t>
      </w:r>
    </w:p>
    <w:p>
      <w:pPr>
        <w:pStyle w:val="ListParagraph"/>
        <w:numPr>
          <w:ilvl w:val="0"/>
          <w:numId w:val="2"/>
        </w:numPr>
        <w:spacing w:after="80"/>
      </w:pPr>
      <w:r>
        <w:t xml:space="preserve">No negative values were found in any field where negatives would be illogical (age, distance, waiting time, lead days, appointment counts).</w:t>
      </w:r>
    </w:p>
    <w:p>
      <w:pPr>
        <w:spacing w:after="160"/>
      </w:pPr>
      <w:r>
        <w:t xml:space="preserve">Overall, this is a clean, internally consistent dataset. The only real limitation is the two small pockets of missing distance and waiting-time data, and the fact that reminder_channel's missingness must be handled as structural (conditional on reminder_sent) rather than random in any future analysis or modeling step.</w:t>
      </w:r>
    </w:p>
    <w:p>
      <w:pPr>
        <w:pStyle w:val="Heading1"/>
        <w:spacing w:after="160" w:before="320"/>
      </w:pPr>
      <w:r>
        <w:t xml:space="preserve">4. Relevant Business Questions</w:t>
      </w:r>
    </w:p>
    <w:p>
      <w:pPr>
        <w:pStyle w:val="ListParagraph"/>
        <w:numPr>
          <w:ilvl w:val="0"/>
          <w:numId w:val="2"/>
        </w:numPr>
        <w:spacing w:after="80"/>
      </w:pPr>
      <w:r>
        <w:t xml:space="preserve">What is the overall no-show rate, and how does it vary over time?</w:t>
      </w:r>
    </w:p>
    <w:p>
      <w:pPr>
        <w:pStyle w:val="ListParagraph"/>
        <w:numPr>
          <w:ilvl w:val="0"/>
          <w:numId w:val="2"/>
        </w:numPr>
        <w:spacing w:after="80"/>
      </w:pPr>
      <w:r>
        <w:t xml:space="preserve">Does how far in advance a patient books their appointment affect the likelihood they attend?</w:t>
      </w:r>
    </w:p>
    <w:p>
      <w:pPr>
        <w:pStyle w:val="ListParagraph"/>
        <w:numPr>
          <w:ilvl w:val="0"/>
          <w:numId w:val="2"/>
        </w:numPr>
        <w:spacing w:after="80"/>
      </w:pPr>
      <w:r>
        <w:t xml:space="preserve">Does a patient's own history of prior no-shows predict whether they will miss their next appointment?</w:t>
      </w:r>
    </w:p>
    <w:p>
      <w:pPr>
        <w:pStyle w:val="ListParagraph"/>
        <w:numPr>
          <w:ilvl w:val="0"/>
          <w:numId w:val="2"/>
        </w:numPr>
        <w:spacing w:after="80"/>
      </w:pPr>
      <w:r>
        <w:t xml:space="preserve">Does sending an appointment reminder — and the channel used — reduce no-show rates?</w:t>
      </w:r>
    </w:p>
    <w:p>
      <w:pPr>
        <w:pStyle w:val="ListParagraph"/>
        <w:numPr>
          <w:ilvl w:val="0"/>
          <w:numId w:val="2"/>
        </w:numPr>
        <w:spacing w:after="80"/>
      </w:pPr>
      <w:r>
        <w:t xml:space="preserve">Which appointment types, days of the week, or time slots are most associated with no-shows?</w:t>
      </w:r>
    </w:p>
    <w:p>
      <w:pPr>
        <w:pStyle w:val="ListParagraph"/>
        <w:numPr>
          <w:ilvl w:val="0"/>
          <w:numId w:val="2"/>
        </w:numPr>
        <w:spacing w:after="80"/>
      </w:pPr>
      <w:r>
        <w:t xml:space="preserve">Does distance to the clinic influence attendance?</w:t>
      </w:r>
    </w:p>
    <w:p>
      <w:pPr>
        <w:pStyle w:val="Heading1"/>
        <w:spacing w:after="160" w:before="320"/>
      </w:pPr>
      <w:r>
        <w:t xml:space="preserve">5. Proposed KPIs</w:t>
      </w:r>
    </w:p>
    <w:p>
      <w:pPr>
        <w:spacing w:after="160"/>
      </w:pPr>
      <w:r>
        <w:t xml:space="preserve">The following five KPIs are proposed for deeper analysis in subsequent weeks. At this stage they are identified and justified only — not yet calculated, analysed, or visualised, per the Week 4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200"/>
        <w:gridCol w:w="1800"/>
      </w:tblGrid>
      <w:tr>
        <w:tc>
          <w:tcPr>
            <w:tcW w:type="dxa" w:w="1400"/>
            <w:shd w:fill="6A2C70" w:val="clear"/>
          </w:tcPr>
          <w:p>
            <w:r>
              <w:rPr>
                <w:b/>
                <w:bCs/>
                <w:color w:val="FFFFFF"/>
                <w:sz w:val="19"/>
                <w:szCs w:val="19"/>
              </w:rPr>
              <w:t xml:space="preserve">KPI</w:t>
            </w:r>
          </w:p>
        </w:tc>
        <w:tc>
          <w:tcPr>
            <w:tcW w:type="dxa" w:w="3800"/>
            <w:shd w:fill="6A2C70" w:val="clear"/>
          </w:tcPr>
          <w:p>
            <w:r>
              <w:rPr>
                <w:b/>
                <w:bCs/>
                <w:color w:val="FFFFFF"/>
                <w:sz w:val="19"/>
                <w:szCs w:val="19"/>
              </w:rPr>
              <w:t xml:space="preserve">Definition</w:t>
            </w:r>
          </w:p>
        </w:tc>
        <w:tc>
          <w:tcPr>
            <w:tcW w:type="dxa" w:w="3200"/>
            <w:shd w:fill="6A2C70" w:val="clear"/>
          </w:tcPr>
          <w:p>
            <w:r>
              <w:rPr>
                <w:b/>
                <w:bCs/>
                <w:color w:val="FFFFFF"/>
                <w:sz w:val="19"/>
                <w:szCs w:val="19"/>
              </w:rPr>
              <w:t xml:space="preserve">Linked Business Question</w:t>
            </w:r>
          </w:p>
        </w:tc>
        <w:tc>
          <w:tcPr>
            <w:tcW w:type="dxa" w:w="1800"/>
            <w:shd w:fill="6A2C70" w:val="clear"/>
          </w:tcPr>
          <w:p>
            <w:r>
              <w:rPr>
                <w:b/>
                <w:bCs/>
                <w:color w:val="FFFFFF"/>
                <w:sz w:val="19"/>
                <w:szCs w:val="19"/>
              </w:rPr>
              <w:t xml:space="preserve">Why It Matters</w:t>
            </w:r>
          </w:p>
        </w:tc>
      </w:tr>
      <w:tr>
        <w:tc>
          <w:tcPr>
            <w:tcW w:type="dxa" w:w="1400"/>
          </w:tcPr>
          <w:p>
            <w:r>
              <w:rPr>
                <w:b w:val="false"/>
                <w:bCs w:val="false"/>
                <w:color w:val="000000"/>
                <w:sz w:val="19"/>
                <w:szCs w:val="19"/>
              </w:rPr>
              <w:t xml:space="preserve">Overall No-Show Rate</w:t>
            </w:r>
          </w:p>
        </w:tc>
        <w:tc>
          <w:tcPr>
            <w:tcW w:type="dxa" w:w="3800"/>
          </w:tcPr>
          <w:p>
            <w:r>
              <w:rPr>
                <w:b w:val="false"/>
                <w:bCs w:val="false"/>
                <w:color w:val="000000"/>
                <w:sz w:val="19"/>
                <w:szCs w:val="19"/>
              </w:rPr>
              <w:t xml:space="preserve">No-Shows ÷ (Attended + No-Shows)</w:t>
            </w:r>
          </w:p>
        </w:tc>
        <w:tc>
          <w:tcPr>
            <w:tcW w:type="dxa" w:w="3200"/>
          </w:tcPr>
          <w:p>
            <w:r>
              <w:rPr>
                <w:b w:val="false"/>
                <w:bCs w:val="false"/>
                <w:color w:val="000000"/>
                <w:sz w:val="19"/>
                <w:szCs w:val="19"/>
              </w:rPr>
              <w:t xml:space="preserve">What is the overall no-show rate, and how does it vary over time?</w:t>
            </w:r>
          </w:p>
        </w:tc>
        <w:tc>
          <w:tcPr>
            <w:tcW w:type="dxa" w:w="1800"/>
          </w:tcPr>
          <w:p>
            <w:r>
              <w:rPr>
                <w:b w:val="false"/>
                <w:bCs w:val="false"/>
                <w:color w:val="000000"/>
                <w:sz w:val="19"/>
                <w:szCs w:val="19"/>
              </w:rPr>
              <w:t xml:space="preserve">Baseline metric; the single number management will track over time to know if interventions are working.</w:t>
            </w:r>
          </w:p>
        </w:tc>
      </w:tr>
      <w:tr>
        <w:tc>
          <w:tcPr>
            <w:tcW w:type="dxa" w:w="1400"/>
          </w:tcPr>
          <w:p>
            <w:r>
              <w:rPr>
                <w:b w:val="false"/>
                <w:bCs w:val="false"/>
                <w:color w:val="000000"/>
                <w:sz w:val="19"/>
                <w:szCs w:val="19"/>
              </w:rPr>
              <w:t xml:space="preserve">No-Show Rate by Booking Lead Time</w:t>
            </w:r>
          </w:p>
        </w:tc>
        <w:tc>
          <w:tcPr>
            <w:tcW w:type="dxa" w:w="3800"/>
          </w:tcPr>
          <w:p>
            <w:r>
              <w:rPr>
                <w:b w:val="false"/>
                <w:bCs w:val="false"/>
                <w:color w:val="000000"/>
                <w:sz w:val="19"/>
                <w:szCs w:val="19"/>
              </w:rPr>
              <w:t xml:space="preserve">No-show rate segmented into lead-time bands (e.g. 0-3, 4-7, 8-14, 15-30, 30+ days)</w:t>
            </w:r>
          </w:p>
        </w:tc>
        <w:tc>
          <w:tcPr>
            <w:tcW w:type="dxa" w:w="3200"/>
          </w:tcPr>
          <w:p>
            <w:r>
              <w:rPr>
                <w:b w:val="false"/>
                <w:bCs w:val="false"/>
                <w:color w:val="000000"/>
                <w:sz w:val="19"/>
                <w:szCs w:val="19"/>
              </w:rPr>
              <w:t xml:space="preserve">Does how far in advance a patient books affect attendance?</w:t>
            </w:r>
          </w:p>
        </w:tc>
        <w:tc>
          <w:tcPr>
            <w:tcW w:type="dxa" w:w="1800"/>
          </w:tcPr>
          <w:p>
            <w:r>
              <w:rPr>
                <w:b w:val="false"/>
                <w:bCs w:val="false"/>
                <w:color w:val="000000"/>
                <w:sz w:val="19"/>
                <w:szCs w:val="19"/>
              </w:rPr>
              <w:t xml:space="preserve">Early exploration suggests lead time may be the strongest single behavioral driver in the dataset, making this a high-priority KPI.</w:t>
            </w:r>
          </w:p>
        </w:tc>
      </w:tr>
      <w:tr>
        <w:tc>
          <w:tcPr>
            <w:tcW w:type="dxa" w:w="1400"/>
          </w:tcPr>
          <w:p>
            <w:r>
              <w:rPr>
                <w:b w:val="false"/>
                <w:bCs w:val="false"/>
                <w:color w:val="000000"/>
                <w:sz w:val="19"/>
                <w:szCs w:val="19"/>
              </w:rPr>
              <w:t xml:space="preserve">Repeat No-Show Rate</w:t>
            </w:r>
          </w:p>
        </w:tc>
        <w:tc>
          <w:tcPr>
            <w:tcW w:type="dxa" w:w="3800"/>
          </w:tcPr>
          <w:p>
            <w:r>
              <w:rPr>
                <w:b w:val="false"/>
                <w:bCs w:val="false"/>
                <w:color w:val="000000"/>
                <w:sz w:val="19"/>
                <w:szCs w:val="19"/>
              </w:rPr>
              <w:t xml:space="preserve">No-show rate segmented by a patient's count of prior no-shows</w:t>
            </w:r>
          </w:p>
        </w:tc>
        <w:tc>
          <w:tcPr>
            <w:tcW w:type="dxa" w:w="3200"/>
          </w:tcPr>
          <w:p>
            <w:r>
              <w:rPr>
                <w:b w:val="false"/>
                <w:bCs w:val="false"/>
                <w:color w:val="000000"/>
                <w:sz w:val="19"/>
                <w:szCs w:val="19"/>
              </w:rPr>
              <w:t xml:space="preserve">Does a patient's history predict future no-shows?</w:t>
            </w:r>
          </w:p>
        </w:tc>
        <w:tc>
          <w:tcPr>
            <w:tcW w:type="dxa" w:w="1800"/>
          </w:tcPr>
          <w:p>
            <w:r>
              <w:rPr>
                <w:b w:val="false"/>
                <w:bCs w:val="false"/>
                <w:color w:val="000000"/>
                <w:sz w:val="19"/>
                <w:szCs w:val="19"/>
              </w:rPr>
              <w:t xml:space="preserve">Identifies a high-risk patient segment that could be targeted with proactive outreach or confirmation calls.</w:t>
            </w:r>
          </w:p>
        </w:tc>
      </w:tr>
      <w:tr>
        <w:tc>
          <w:tcPr>
            <w:tcW w:type="dxa" w:w="1400"/>
          </w:tcPr>
          <w:p>
            <w:r>
              <w:rPr>
                <w:b w:val="false"/>
                <w:bCs w:val="false"/>
                <w:color w:val="000000"/>
                <w:sz w:val="19"/>
                <w:szCs w:val="19"/>
              </w:rPr>
              <w:t xml:space="preserve">Reminder Effectiveness Rate</w:t>
            </w:r>
          </w:p>
        </w:tc>
        <w:tc>
          <w:tcPr>
            <w:tcW w:type="dxa" w:w="3800"/>
          </w:tcPr>
          <w:p>
            <w:r>
              <w:rPr>
                <w:b w:val="false"/>
                <w:bCs w:val="false"/>
                <w:color w:val="000000"/>
                <w:sz w:val="19"/>
                <w:szCs w:val="19"/>
              </w:rPr>
              <w:t xml:space="preserve">No-show rate compared across reminder_sent (Yes/No) and by reminder_channel</w:t>
            </w:r>
          </w:p>
        </w:tc>
        <w:tc>
          <w:tcPr>
            <w:tcW w:type="dxa" w:w="3200"/>
          </w:tcPr>
          <w:p>
            <w:r>
              <w:rPr>
                <w:b w:val="false"/>
                <w:bCs w:val="false"/>
                <w:color w:val="000000"/>
                <w:sz w:val="19"/>
                <w:szCs w:val="19"/>
              </w:rPr>
              <w:t xml:space="preserve">Does sending a reminder, and which channel, reduce no-shows?</w:t>
            </w:r>
          </w:p>
        </w:tc>
        <w:tc>
          <w:tcPr>
            <w:tcW w:type="dxa" w:w="1800"/>
          </w:tcPr>
          <w:p>
            <w:r>
              <w:rPr>
                <w:b w:val="false"/>
                <w:bCs w:val="false"/>
                <w:color w:val="000000"/>
                <w:sz w:val="19"/>
                <w:szCs w:val="19"/>
              </w:rPr>
              <w:t xml:space="preserve">Directly actionable — if effective, this is one of the cheapest interventions available to the clinic.</w:t>
            </w:r>
          </w:p>
        </w:tc>
      </w:tr>
      <w:tr>
        <w:tc>
          <w:tcPr>
            <w:tcW w:type="dxa" w:w="1400"/>
          </w:tcPr>
          <w:p>
            <w:r>
              <w:rPr>
                <w:b w:val="false"/>
                <w:bCs w:val="false"/>
                <w:color w:val="000000"/>
                <w:sz w:val="19"/>
                <w:szCs w:val="19"/>
              </w:rPr>
              <w:t xml:space="preserve">Slot Utilisation Loss</w:t>
            </w:r>
          </w:p>
        </w:tc>
        <w:tc>
          <w:tcPr>
            <w:tcW w:type="dxa" w:w="3800"/>
          </w:tcPr>
          <w:p>
            <w:r>
              <w:rPr>
                <w:b w:val="false"/>
                <w:bCs w:val="false"/>
                <w:color w:val="000000"/>
                <w:sz w:val="19"/>
                <w:szCs w:val="19"/>
              </w:rPr>
              <w:t xml:space="preserve">Number and proportion of scheduled appointment slots lost to no-shows, by appointment type/day/time</w:t>
            </w:r>
          </w:p>
        </w:tc>
        <w:tc>
          <w:tcPr>
            <w:tcW w:type="dxa" w:w="3200"/>
          </w:tcPr>
          <w:p>
            <w:r>
              <w:rPr>
                <w:b w:val="false"/>
                <w:bCs w:val="false"/>
                <w:color w:val="000000"/>
                <w:sz w:val="19"/>
                <w:szCs w:val="19"/>
              </w:rPr>
              <w:t xml:space="preserve">Which appointment types, days, or times are most associated with no-shows?</w:t>
            </w:r>
          </w:p>
        </w:tc>
        <w:tc>
          <w:tcPr>
            <w:tcW w:type="dxa" w:w="1800"/>
          </w:tcPr>
          <w:p>
            <w:r>
              <w:rPr>
                <w:b w:val="false"/>
                <w:bCs w:val="false"/>
                <w:color w:val="000000"/>
                <w:sz w:val="19"/>
                <w:szCs w:val="19"/>
              </w:rPr>
              <w:t xml:space="preserve">Translates the no-show problem into operational terms — wasted clinical capacity — which is what management ultimately cares about.</w:t>
            </w:r>
          </w:p>
        </w:tc>
      </w:tr>
    </w:tbl>
    <w:p>
      <w:pPr>
        <w:pStyle w:val="Heading1"/>
        <w:spacing w:after="160" w:before="320"/>
      </w:pPr>
      <w:r>
        <w:t xml:space="preserve">6. Initial Analysis Approach</w:t>
      </w:r>
    </w:p>
    <w:p>
      <w:pPr>
        <w:spacing w:after="160"/>
      </w:pPr>
      <w:r>
        <w:t xml:space="preserve">The proposed approach for subsequent weeks follows a structured path from descriptive to diagnostic analysis:</w:t>
      </w:r>
    </w:p>
    <w:p>
      <w:pPr>
        <w:pStyle w:val="ListParagraph"/>
        <w:numPr>
          <w:ilvl w:val="0"/>
          <w:numId w:val="2"/>
        </w:numPr>
        <w:spacing w:after="80"/>
      </w:pPr>
      <w:r>
        <w:t xml:space="preserve">Calculate the five KPIs above and establish baseline values for the current dataset.</w:t>
      </w:r>
    </w:p>
    <w:p>
      <w:pPr>
        <w:pStyle w:val="ListParagraph"/>
        <w:numPr>
          <w:ilvl w:val="0"/>
          <w:numId w:val="2"/>
        </w:numPr>
        <w:spacing w:after="80"/>
      </w:pPr>
      <w:r>
        <w:t xml:space="preserve">Conduct segmented analysis across each KPI's relevant dimension (booking lead time, prior no-show count, reminder status/channel, appointment type/day/time, and distance) to identify which factors show the strongest association with no-shows.</w:t>
      </w:r>
    </w:p>
    <w:p>
      <w:pPr>
        <w:pStyle w:val="ListParagraph"/>
        <w:numPr>
          <w:ilvl w:val="0"/>
          <w:numId w:val="2"/>
        </w:numPr>
        <w:spacing w:after="80"/>
      </w:pPr>
      <w:r>
        <w:t xml:space="preserve">Where two or more factors appear to interact (for example, whether the lead-time effect holds consistently across all appointment types, or is concentrated in specific ones), investigate combined segments rather than only single-variable breakdowns.</w:t>
      </w:r>
    </w:p>
    <w:p>
      <w:pPr>
        <w:pStyle w:val="ListParagraph"/>
        <w:numPr>
          <w:ilvl w:val="0"/>
          <w:numId w:val="2"/>
        </w:numPr>
        <w:spacing w:after="80"/>
      </w:pPr>
      <w:r>
        <w:t xml:space="preserve">Translate findings into an initial view of which patients or appointment types represent the highest no-show risk, to inform both this track's dashboard work and the Data Science track's predictive modeling work in later weeks.</w:t>
      </w:r>
    </w:p>
    <w:p>
      <w:pPr>
        <w:pStyle w:val="ListParagraph"/>
        <w:numPr>
          <w:ilvl w:val="0"/>
          <w:numId w:val="2"/>
        </w:numPr>
        <w:spacing w:after="80"/>
      </w:pPr>
      <w:r>
        <w:t xml:space="preserve">Build visualisations (bar charts for categorical drivers, a trend line for the time dimension, and a correlation view for the numeric variables) once KPIs are calculated in Week 5.</w:t>
      </w:r>
    </w:p>
    <w:p>
      <w:pPr>
        <w:pStyle w:val="Heading1"/>
        <w:spacing w:after="160" w:before="320"/>
      </w:pPr>
      <w:r>
        <w:t xml:space="preserve">7. Assumptions, Limitations, Risks and Dependencies</w:t>
      </w:r>
    </w:p>
    <w:p>
      <w:pPr>
        <w:pStyle w:val="ListParagraph"/>
        <w:numPr>
          <w:ilvl w:val="0"/>
          <w:numId w:val="2"/>
        </w:numPr>
        <w:spacing w:after="80"/>
      </w:pPr>
      <w:r>
        <w:t xml:space="preserve">Assumption: the dataset is representative of HealthConnect Clinic's typical appointment patterns and is not a biased or filtered subset.</w:t>
      </w:r>
    </w:p>
    <w:p>
      <w:pPr>
        <w:pStyle w:val="ListParagraph"/>
        <w:numPr>
          <w:ilvl w:val="0"/>
          <w:numId w:val="2"/>
        </w:numPr>
        <w:spacing w:after="80"/>
      </w:pPr>
      <w:r>
        <w:t xml:space="preserve">Limitation: distance_to_clinic_km and waiting_time_minutes have small amounts of missing data (1.8% and 1.2% respectively) that should be explicitly handled (excluded or imputed, with the choice documented) before those fields are used in calculations.</w:t>
      </w:r>
    </w:p>
    <w:p>
      <w:pPr>
        <w:pStyle w:val="ListParagraph"/>
        <w:numPr>
          <w:ilvl w:val="0"/>
          <w:numId w:val="2"/>
        </w:numPr>
        <w:spacing w:after="80"/>
      </w:pPr>
      <w:r>
        <w:t xml:space="preserve">Limitation: reminder_channel's missingness is structural (tied to reminder_sent = No), not random — any analysis involving this field must account for that relationship rather than treating it as a simple gap.</w:t>
      </w:r>
    </w:p>
    <w:p>
      <w:pPr>
        <w:pStyle w:val="ListParagraph"/>
        <w:numPr>
          <w:ilvl w:val="0"/>
          <w:numId w:val="2"/>
        </w:numPr>
        <w:spacing w:after="80"/>
      </w:pPr>
      <w:r>
        <w:t xml:space="preserve">Risk: the appointment_outcome category "Cancelled" (5.3% of records) sits conceptually between "Attended" and "No-Show" — how it is treated (excluded, or grouped with No-Show as "non-attendance") will affect every downstream rate calculation, and this decision should be made explicitly and documented, not left implicit.</w:t>
      </w:r>
    </w:p>
    <w:p>
      <w:pPr>
        <w:pStyle w:val="ListParagraph"/>
        <w:numPr>
          <w:ilvl w:val="0"/>
          <w:numId w:val="2"/>
        </w:numPr>
        <w:spacing w:after="80"/>
      </w:pPr>
      <w:r>
        <w:t xml:space="preserve">Dependency: this track's KPI definitions and business questions are intended to directly inform the Data Science track's choice of target variable and features — close coordination between tracks in Week 5 will avoid duplicated or conflicting analysis.</w:t>
      </w:r>
    </w:p>
    <w:p>
      <w:pPr>
        <w:pStyle w:val="ListParagraph"/>
        <w:numPr>
          <w:ilvl w:val="0"/>
          <w:numId w:val="2"/>
        </w:numPr>
        <w:spacing w:after="80"/>
      </w:pPr>
      <w:r>
        <w:t xml:space="preserve">Ethical consideration: age, gender, and distance are all patient attributes that could correlate with no-show risk for reasons tied to access or circumstance rather than intent (for example, longer distance may reflect transport barriers, not unwillingness to attend). Any recommendations arising from this analysis should be framed as support interventions (reminders, transport assistance, flexible rescheduling) rather than used to penalise or deprioritise higher-risk patients.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2026-08-26T10:53:18.659Z</dcterms:created>
  <dcterms:modified xsi:type="dcterms:W3CDTF">2026-08-26T10:53:18.673Z</dcterms:modified>
</cp:coreProperties>
</file>

<file path=docProps/custom.xml><?xml version="1.0" encoding="utf-8"?>
<Properties xmlns="http://schemas.openxmlformats.org/officeDocument/2006/custom-properties" xmlns:vt="http://schemas.openxmlformats.org/officeDocument/2006/docPropsVTypes"/>
</file>