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6A2C70"/>
          <w:sz w:val="36"/>
          <w:szCs w:val="36"/>
        </w:rPr>
        <w:t xml:space="preserve">Week 4 Project Summary</w:t>
      </w:r>
    </w:p>
    <w:p>
      <w:pPr>
        <w:spacing w:after="40"/>
      </w:pPr>
      <w:r>
        <w:rPr>
          <w:color w:val="555555"/>
          <w:sz w:val="22"/>
          <w:szCs w:val="22"/>
        </w:rPr>
        <w:t xml:space="preserve">HealthConnect Clinic — Data Analytics Track</w:t>
      </w:r>
    </w:p>
    <w:p>
      <w:pPr>
        <w:spacing w:after="20"/>
      </w:pPr>
      <w:r>
        <w:rPr>
          <w:color w:val="777777"/>
          <w:sz w:val="20"/>
          <w:szCs w:val="20"/>
        </w:rPr>
        <w:t xml:space="preserve">AnalystLab Africa Experience Lab — Week 4</w:t>
      </w:r>
    </w:p>
    <w:p>
      <w:pPr>
        <w:spacing w:after="360"/>
      </w:pPr>
      <w:r>
        <w:rPr>
          <w:color w:val="777777"/>
          <w:sz w:val="20"/>
          <w:szCs w:val="20"/>
        </w:rPr>
        <w:t xml:space="preserve">Prepared by Oluwatosin Olusanya, Data Analyst — AnalystLab Africa</w:t>
      </w:r>
    </w:p>
    <w:p>
      <w:pPr>
        <w:pStyle w:val="Heading1"/>
        <w:spacing w:after="140" w:before="280"/>
      </w:pPr>
      <w:r>
        <w:t xml:space="preserve">1. The Problem My Track Addresses</w:t>
      </w:r>
    </w:p>
    <w:p>
      <w:pPr>
        <w:spacing w:after="140"/>
      </w:pPr>
      <w:r>
        <w:t xml:space="preserve">HealthConnect Clinic loses close to half of its scheduled appointment capacity to no-shows (48.5% in the available dataset). My role as the Data Analytics track contributor is to understand which factors are associated with no-shows, define the business questions worth pursuing, and propose KPIs that will let the clinic measure and eventually reduce this rate — separate from, but feeding into, the Data Science track's predictive modeling work.</w:t>
      </w:r>
    </w:p>
    <w:p>
      <w:pPr>
        <w:pStyle w:val="Heading1"/>
        <w:spacing w:after="140" w:before="280"/>
      </w:pPr>
      <w:r>
        <w:t xml:space="preserve">2. Resources Used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HealthConnect_Appointment_Data.csv — 5,000 appointment records, reviewed in full.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HealthConnect_Data_Dictionary — used to confirm variable definitions and data types before analysis.</w:t>
      </w:r>
    </w:p>
    <w:p>
      <w:pPr>
        <w:pStyle w:val="Heading1"/>
        <w:spacing w:after="140" w:before="280"/>
      </w:pPr>
      <w:r>
        <w:t xml:space="preserve">3. Key Observations From Week 4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 dataset is clean: no duplicates, no missing core fields, and no logical inconsistencies (e.g. booking dates always precede appointment dates).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 two small pockets of missing data (distance, waiting time) are minor and explainable; reminder_channel's missingness is fully explained by reminder_sent = No, not a data error.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Preliminary exploration (not yet formal KPI calculation) suggests booking lead time is the standout behavioral signal — same-week bookings show markedly better attendance than bookings made a month or more in advance. A patient's own prior no-show history also shows a clear, escalating relationship with future no-shows.</w:t>
      </w:r>
    </w:p>
    <w:p>
      <w:pPr>
        <w:pStyle w:val="Heading1"/>
        <w:spacing w:after="140" w:before="280"/>
      </w:pPr>
      <w:r>
        <w:t xml:space="preserve">4. Proposed Approach</w:t>
      </w:r>
    </w:p>
    <w:p>
      <w:pPr>
        <w:spacing w:after="140"/>
      </w:pPr>
      <w:r>
        <w:t xml:space="preserve">Calculate and formally validate the five proposed KPIs in Week 5, using segmented analysis to confirm which factors most strongly and independently associate with no-shows, then translate those findings into an initial visual dashboard and a set of recommendations the clinic could act on operationally.</w:t>
      </w:r>
    </w:p>
    <w:p>
      <w:pPr>
        <w:pStyle w:val="Heading1"/>
        <w:spacing w:after="140" w:before="280"/>
      </w:pPr>
      <w:r>
        <w:t xml:space="preserve">5. Key Considerations Affecting the Project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How the "Cancelled" outcome category is treated (excluded vs. grouped with No-Show) will change every downstream rate calculation and must be decided and documented explicitly.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Any recommendation arising from demographic or distance-related patterns should be framed as a support intervention, not used to penalise higher-risk patients — several apparent risk factors (e.g. distance) likely reflect access barriers rather than patient intent.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Close coordination with the Data Science track will be needed in Week 5 so that KPI definitions and the ML target/feature definitions stay consistent rather than diverging.</w:t>
      </w:r>
    </w:p>
    <w:p>
      <w:pPr>
        <w:pStyle w:val="Heading1"/>
        <w:spacing w:after="140" w:before="280"/>
      </w:pPr>
      <w:r>
        <w:t xml:space="preserve">6. Proposed Focus for Week 5</w:t>
      </w:r>
    </w:p>
    <w:p>
      <w:pPr>
        <w:spacing w:after="140"/>
      </w:pPr>
      <w:r>
        <w:t xml:space="preserve">Calculate the five proposed KPIs, build initial visualisations for each, and begin drafting business insights and recommendations grounded in the confirmed (not just preliminary) results.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2026-08-26T10:53:54.690Z</dcterms:created>
  <dcterms:modified xsi:type="dcterms:W3CDTF">2026-08-26T10:53:54.690Z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