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AFDE7" w14:textId="77777777" w:rsidR="005736B1" w:rsidRDefault="003F1038" w:rsidP="003F1038">
      <w:pPr>
        <w:spacing w:after="100"/>
        <w:jc w:val="center"/>
      </w:pPr>
      <w:proofErr w:type="spellStart"/>
      <w:r>
        <w:rPr>
          <w:b/>
          <w:bCs/>
          <w:sz w:val="32"/>
          <w:szCs w:val="32"/>
        </w:rPr>
        <w:t>HealthConnect</w:t>
      </w:r>
      <w:proofErr w:type="spellEnd"/>
      <w:r>
        <w:rPr>
          <w:b/>
          <w:bCs/>
          <w:sz w:val="32"/>
          <w:szCs w:val="32"/>
        </w:rPr>
        <w:t xml:space="preserve"> Clinic — Advanced Analytics &amp; Decision Support Report</w:t>
      </w:r>
    </w:p>
    <w:p w14:paraId="088B57C5" w14:textId="77777777" w:rsidR="005736B1" w:rsidRDefault="003F1038">
      <w:pPr>
        <w:spacing w:after="60"/>
      </w:pPr>
      <w:r>
        <w:rPr>
          <w:i/>
          <w:iCs/>
          <w:sz w:val="24"/>
          <w:szCs w:val="24"/>
        </w:rPr>
        <w:t xml:space="preserve">Data Analytics Track | </w:t>
      </w:r>
      <w:proofErr w:type="spellStart"/>
      <w:r>
        <w:rPr>
          <w:i/>
          <w:iCs/>
          <w:sz w:val="24"/>
          <w:szCs w:val="24"/>
        </w:rPr>
        <w:t>AnalystLab</w:t>
      </w:r>
      <w:proofErr w:type="spellEnd"/>
      <w:r>
        <w:rPr>
          <w:i/>
          <w:iCs/>
          <w:sz w:val="24"/>
          <w:szCs w:val="24"/>
        </w:rPr>
        <w:t xml:space="preserve"> Africa Experience Lab — Week 6</w:t>
      </w:r>
    </w:p>
    <w:p w14:paraId="64B2D3AA" w14:textId="77777777" w:rsidR="005736B1" w:rsidRDefault="003F1038">
      <w:pPr>
        <w:spacing w:after="400"/>
      </w:pPr>
      <w:r>
        <w:rPr>
          <w:sz w:val="22"/>
          <w:szCs w:val="22"/>
        </w:rPr>
        <w:t xml:space="preserve">Prepared by Oluwatosin </w:t>
      </w:r>
      <w:proofErr w:type="spellStart"/>
      <w:r>
        <w:rPr>
          <w:sz w:val="22"/>
          <w:szCs w:val="22"/>
        </w:rPr>
        <w:t>Olusanya</w:t>
      </w:r>
      <w:proofErr w:type="spellEnd"/>
      <w:r>
        <w:rPr>
          <w:sz w:val="22"/>
          <w:szCs w:val="22"/>
        </w:rPr>
        <w:t xml:space="preserve">, Data Analyst — </w:t>
      </w:r>
      <w:proofErr w:type="spellStart"/>
      <w:r>
        <w:rPr>
          <w:sz w:val="22"/>
          <w:szCs w:val="22"/>
        </w:rPr>
        <w:t>AnalystLab</w:t>
      </w:r>
      <w:proofErr w:type="spellEnd"/>
      <w:r>
        <w:rPr>
          <w:sz w:val="22"/>
          <w:szCs w:val="22"/>
        </w:rPr>
        <w:t xml:space="preserve"> Africa</w:t>
      </w:r>
    </w:p>
    <w:p w14:paraId="3B6F1C51" w14:textId="77777777" w:rsidR="005736B1" w:rsidRDefault="003F1038">
      <w:pPr>
        <w:pStyle w:val="Heading1"/>
      </w:pPr>
      <w:r>
        <w:t>1. Week 5 → Week 6 Transition</w:t>
      </w:r>
    </w:p>
    <w:p w14:paraId="6EE09570" w14:textId="77777777" w:rsidR="006D488C" w:rsidRPr="003F1038" w:rsidRDefault="006D488C">
      <w:pPr>
        <w:spacing w:after="150"/>
        <w:rPr>
          <w:sz w:val="6"/>
          <w:szCs w:val="6"/>
        </w:rPr>
      </w:pPr>
    </w:p>
    <w:p w14:paraId="309E170F" w14:textId="1EDF12CA" w:rsidR="005736B1" w:rsidRPr="006D488C" w:rsidRDefault="003F1038" w:rsidP="006D488C">
      <w:pPr>
        <w:spacing w:after="150" w:line="360" w:lineRule="auto"/>
        <w:jc w:val="both"/>
        <w:rPr>
          <w:sz w:val="24"/>
          <w:szCs w:val="24"/>
        </w:rPr>
      </w:pPr>
      <w:r w:rsidRPr="006D488C">
        <w:rPr>
          <w:sz w:val="24"/>
          <w:szCs w:val="24"/>
        </w:rPr>
        <w:t>Week 5 delivered five calculated KPIs, exploratory analysis across six candidate drivers, six supporting charts, five business insights, and four recommendation</w:t>
      </w:r>
      <w:r w:rsidRPr="006D488C">
        <w:rPr>
          <w:sz w:val="24"/>
          <w:szCs w:val="24"/>
        </w:rPr>
        <w:t>s. The most important result was identifying two dominant, independent behavioural drivers of no-shows: booking lead time (26.6% at 0–3 days, rising to 63.9% at 30+ days) and prior no-show history (46.3% with no history, rising to 70.3% with 3+ prior no-sh</w:t>
      </w:r>
      <w:r w:rsidRPr="006D488C">
        <w:rPr>
          <w:sz w:val="24"/>
          <w:szCs w:val="24"/>
        </w:rPr>
        <w:t>ows). Appointment type, day of week, and time of day were confirmed as comparatively weak drivers (3–5 point spreads).</w:t>
      </w:r>
    </w:p>
    <w:p w14:paraId="3BE766CD" w14:textId="77777777" w:rsidR="005736B1" w:rsidRPr="006D488C" w:rsidRDefault="003F1038" w:rsidP="006D488C">
      <w:pPr>
        <w:spacing w:after="150" w:line="360" w:lineRule="auto"/>
        <w:jc w:val="both"/>
        <w:rPr>
          <w:sz w:val="24"/>
          <w:szCs w:val="24"/>
        </w:rPr>
      </w:pPr>
      <w:r w:rsidRPr="006D488C">
        <w:rPr>
          <w:sz w:val="24"/>
          <w:szCs w:val="24"/>
        </w:rPr>
        <w:t>The main limitation carried into Week 6 was that these patterns were descriptive only — formal statistical testing to confirm they were n</w:t>
      </w:r>
      <w:r w:rsidRPr="006D488C">
        <w:rPr>
          <w:sz w:val="24"/>
          <w:szCs w:val="24"/>
        </w:rPr>
        <w:t>ot artefacts of chance, and an examination of whether the two drivers interact or simply add up, remained open work explicitly flagged in Section 8 of the Week 5 remaining-work list.</w:t>
      </w:r>
    </w:p>
    <w:p w14:paraId="375FA3D6" w14:textId="77777777" w:rsidR="005736B1" w:rsidRPr="006D488C" w:rsidRDefault="003F1038" w:rsidP="006D488C">
      <w:pPr>
        <w:spacing w:after="150" w:line="360" w:lineRule="auto"/>
        <w:jc w:val="both"/>
        <w:rPr>
          <w:sz w:val="24"/>
          <w:szCs w:val="24"/>
        </w:rPr>
      </w:pPr>
      <w:r w:rsidRPr="006D488C">
        <w:rPr>
          <w:sz w:val="24"/>
          <w:szCs w:val="24"/>
        </w:rPr>
        <w:t>Week 6 work is relevant primarily to the Data Analytics track's own deliv</w:t>
      </w:r>
      <w:r w:rsidRPr="006D488C">
        <w:rPr>
          <w:sz w:val="24"/>
          <w:szCs w:val="24"/>
        </w:rPr>
        <w:t>erable, with a completed integration point into the Project Management track (Section 8).</w:t>
      </w:r>
    </w:p>
    <w:p w14:paraId="6B1D08A7" w14:textId="77777777" w:rsidR="005736B1" w:rsidRPr="006D488C" w:rsidRDefault="003F1038" w:rsidP="006D488C">
      <w:pPr>
        <w:spacing w:after="150" w:line="360" w:lineRule="auto"/>
        <w:jc w:val="both"/>
        <w:rPr>
          <w:sz w:val="24"/>
          <w:szCs w:val="24"/>
        </w:rPr>
      </w:pPr>
      <w:r w:rsidRPr="006D488C">
        <w:rPr>
          <w:sz w:val="24"/>
          <w:szCs w:val="24"/>
        </w:rPr>
        <w:t>This week's focus: (1) statistically validate the two strongest Week 5 drivers, (2) determine whether they interact or combine additively, (3) refine the reminder-eff</w:t>
      </w:r>
      <w:r w:rsidRPr="006D488C">
        <w:rPr>
          <w:sz w:val="24"/>
          <w:szCs w:val="24"/>
        </w:rPr>
        <w:t>ectiveness finding by risk segment, and (4) translate the validated results into sharper, segment-targeted recommendations.</w:t>
      </w:r>
    </w:p>
    <w:p w14:paraId="53E1EC8C" w14:textId="77777777" w:rsidR="005736B1" w:rsidRDefault="003F1038">
      <w:pPr>
        <w:pStyle w:val="Heading1"/>
      </w:pPr>
      <w:r>
        <w:t>2. Data Preparation</w:t>
      </w:r>
    </w:p>
    <w:p w14:paraId="4A4ACF1B" w14:textId="77777777" w:rsidR="006D488C" w:rsidRDefault="006D488C">
      <w:pPr>
        <w:spacing w:after="150"/>
      </w:pPr>
    </w:p>
    <w:p w14:paraId="1D3C96B2" w14:textId="00C196B1" w:rsidR="005736B1" w:rsidRDefault="003F1038" w:rsidP="006D488C">
      <w:pPr>
        <w:spacing w:after="150" w:line="360" w:lineRule="auto"/>
        <w:jc w:val="both"/>
        <w:rPr>
          <w:sz w:val="24"/>
          <w:szCs w:val="24"/>
        </w:rPr>
      </w:pPr>
      <w:r w:rsidRPr="006D488C">
        <w:rPr>
          <w:sz w:val="24"/>
          <w:szCs w:val="24"/>
        </w:rPr>
        <w:t xml:space="preserve">The same dataset and exclusion rule from Week 5 was used for consistency: the 5,000-record </w:t>
      </w:r>
      <w:proofErr w:type="spellStart"/>
      <w:r w:rsidRPr="006D488C">
        <w:rPr>
          <w:sz w:val="24"/>
          <w:szCs w:val="24"/>
        </w:rPr>
        <w:t>HealthConnect</w:t>
      </w:r>
      <w:proofErr w:type="spellEnd"/>
      <w:r w:rsidR="006D488C">
        <w:rPr>
          <w:sz w:val="24"/>
          <w:szCs w:val="24"/>
        </w:rPr>
        <w:t xml:space="preserve"> </w:t>
      </w:r>
      <w:r w:rsidRPr="006D488C">
        <w:rPr>
          <w:sz w:val="24"/>
          <w:szCs w:val="24"/>
        </w:rPr>
        <w:t>Appoint</w:t>
      </w:r>
      <w:r w:rsidRPr="006D488C">
        <w:rPr>
          <w:sz w:val="24"/>
          <w:szCs w:val="24"/>
        </w:rPr>
        <w:t>ment</w:t>
      </w:r>
      <w:r w:rsidR="006D488C">
        <w:rPr>
          <w:sz w:val="24"/>
          <w:szCs w:val="24"/>
        </w:rPr>
        <w:t xml:space="preserve"> </w:t>
      </w:r>
      <w:r w:rsidRPr="006D488C">
        <w:rPr>
          <w:sz w:val="24"/>
          <w:szCs w:val="24"/>
        </w:rPr>
        <w:t>Data.csv, with Cancelled outcomes (5.3%) excluded from no-show rate calculations, leaving 4,737 appointments with a definitive Attended/No-Show outcome. No new data preparation was required; this week's work is additional analysis on the same validate</w:t>
      </w:r>
      <w:r w:rsidRPr="006D488C">
        <w:rPr>
          <w:sz w:val="24"/>
          <w:szCs w:val="24"/>
        </w:rPr>
        <w:t>d dataset, not a re-cleaning exercise.</w:t>
      </w:r>
    </w:p>
    <w:p w14:paraId="1DBEBC20" w14:textId="77777777" w:rsidR="006D488C" w:rsidRPr="006D488C" w:rsidRDefault="006D488C" w:rsidP="006D488C">
      <w:pPr>
        <w:spacing w:after="150" w:line="360" w:lineRule="auto"/>
        <w:jc w:val="both"/>
        <w:rPr>
          <w:sz w:val="24"/>
          <w:szCs w:val="24"/>
        </w:rPr>
      </w:pPr>
    </w:p>
    <w:p w14:paraId="386DEA5B" w14:textId="77777777" w:rsidR="005736B1" w:rsidRDefault="003F1038">
      <w:pPr>
        <w:pStyle w:val="Heading1"/>
      </w:pPr>
      <w:r>
        <w:lastRenderedPageBreak/>
        <w:t>3. Deepened &amp; Validated Analysis</w:t>
      </w:r>
    </w:p>
    <w:p w14:paraId="0EBF04C2" w14:textId="77777777" w:rsidR="006D488C" w:rsidRDefault="006D488C">
      <w:pPr>
        <w:pStyle w:val="Heading2"/>
      </w:pPr>
    </w:p>
    <w:p w14:paraId="6BC467AB" w14:textId="14474F6F" w:rsidR="005736B1" w:rsidRDefault="003F1038">
      <w:pPr>
        <w:pStyle w:val="Heading2"/>
      </w:pPr>
      <w:r>
        <w:t>3.1 Booking Lead Time — Statistically Validated</w:t>
      </w:r>
    </w:p>
    <w:p w14:paraId="592FA7DB" w14:textId="77777777" w:rsidR="006D488C" w:rsidRPr="006D488C" w:rsidRDefault="006D488C" w:rsidP="006D488C">
      <w:pPr>
        <w:spacing w:after="150" w:line="360" w:lineRule="auto"/>
        <w:jc w:val="both"/>
        <w:rPr>
          <w:sz w:val="6"/>
          <w:szCs w:val="6"/>
        </w:rPr>
      </w:pPr>
    </w:p>
    <w:p w14:paraId="68C9F751" w14:textId="134BACC4" w:rsidR="005736B1" w:rsidRPr="006D488C" w:rsidRDefault="003F1038" w:rsidP="006D488C">
      <w:pPr>
        <w:spacing w:after="150" w:line="360" w:lineRule="auto"/>
        <w:jc w:val="both"/>
        <w:rPr>
          <w:sz w:val="24"/>
          <w:szCs w:val="24"/>
        </w:rPr>
      </w:pPr>
      <w:r w:rsidRPr="006D488C">
        <w:rPr>
          <w:sz w:val="24"/>
          <w:szCs w:val="24"/>
        </w:rPr>
        <w:t>The Week 5 lead-time pattern was tested formally with a chi-square test of independence (lead-time band × no-show outcome):</w:t>
      </w:r>
    </w:p>
    <w:p w14:paraId="2721C35B" w14:textId="77777777" w:rsidR="005736B1" w:rsidRPr="006D488C" w:rsidRDefault="003F1038" w:rsidP="006D488C">
      <w:pPr>
        <w:pStyle w:val="ListParagraph"/>
        <w:numPr>
          <w:ilvl w:val="0"/>
          <w:numId w:val="1"/>
        </w:numPr>
        <w:spacing w:after="80" w:line="360" w:lineRule="auto"/>
        <w:jc w:val="both"/>
        <w:rPr>
          <w:sz w:val="24"/>
          <w:szCs w:val="24"/>
        </w:rPr>
      </w:pPr>
      <w:r w:rsidRPr="006D488C">
        <w:rPr>
          <w:sz w:val="24"/>
          <w:szCs w:val="24"/>
        </w:rPr>
        <w:t>χ² = 340.42,</w:t>
      </w:r>
      <w:r w:rsidRPr="006D488C">
        <w:rPr>
          <w:sz w:val="24"/>
          <w:szCs w:val="24"/>
        </w:rPr>
        <w:t xml:space="preserve"> p &lt; 0.001 (df = 4) — the relationship is highly statistically significant, not a descriptive artefact.</w:t>
      </w:r>
    </w:p>
    <w:p w14:paraId="5550473C" w14:textId="77777777" w:rsidR="005736B1" w:rsidRPr="006D488C" w:rsidRDefault="003F1038" w:rsidP="006D488C">
      <w:pPr>
        <w:pStyle w:val="ListParagraph"/>
        <w:numPr>
          <w:ilvl w:val="0"/>
          <w:numId w:val="1"/>
        </w:numPr>
        <w:spacing w:after="80" w:line="360" w:lineRule="auto"/>
        <w:jc w:val="both"/>
        <w:rPr>
          <w:sz w:val="24"/>
          <w:szCs w:val="24"/>
        </w:rPr>
      </w:pPr>
      <w:r w:rsidRPr="006D488C">
        <w:rPr>
          <w:sz w:val="24"/>
          <w:szCs w:val="24"/>
        </w:rPr>
        <w:t xml:space="preserve">Point-biserial correlation with raw </w:t>
      </w:r>
      <w:proofErr w:type="spellStart"/>
      <w:r w:rsidRPr="006D488C">
        <w:rPr>
          <w:sz w:val="24"/>
          <w:szCs w:val="24"/>
        </w:rPr>
        <w:t>booking_lead_days</w:t>
      </w:r>
      <w:proofErr w:type="spellEnd"/>
      <w:r w:rsidRPr="006D488C">
        <w:rPr>
          <w:sz w:val="24"/>
          <w:szCs w:val="24"/>
        </w:rPr>
        <w:t>: r = 0.287, p &lt; 0.001.</w:t>
      </w:r>
    </w:p>
    <w:p w14:paraId="03C9A616" w14:textId="77777777" w:rsidR="005736B1" w:rsidRDefault="003F1038">
      <w:pPr>
        <w:spacing w:after="100"/>
        <w:jc w:val="center"/>
      </w:pPr>
      <w:r>
        <w:rPr>
          <w:noProof/>
        </w:rPr>
        <w:drawing>
          <wp:inline distT="0" distB="0" distL="0" distR="0" wp14:anchorId="15E6D61F" wp14:editId="53B12A25">
            <wp:extent cx="552450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314700"/>
                    </a:xfrm>
                    <a:prstGeom prst="rect">
                      <a:avLst/>
                    </a:prstGeom>
                  </pic:spPr>
                </pic:pic>
              </a:graphicData>
            </a:graphic>
          </wp:inline>
        </w:drawing>
      </w:r>
    </w:p>
    <w:p w14:paraId="69F552EF" w14:textId="77777777" w:rsidR="005736B1" w:rsidRDefault="003F1038">
      <w:pPr>
        <w:spacing w:after="300"/>
        <w:jc w:val="center"/>
      </w:pPr>
      <w:r>
        <w:rPr>
          <w:i/>
          <w:iCs/>
        </w:rPr>
        <w:t>Figure 1: No-show rate by booking lead time, with formal significance tes</w:t>
      </w:r>
      <w:r>
        <w:rPr>
          <w:i/>
          <w:iCs/>
        </w:rPr>
        <w:t>t.</w:t>
      </w:r>
    </w:p>
    <w:p w14:paraId="32D1D121" w14:textId="77777777" w:rsidR="006D488C" w:rsidRDefault="006D488C">
      <w:pPr>
        <w:pStyle w:val="Heading2"/>
      </w:pPr>
    </w:p>
    <w:p w14:paraId="037B9CD4" w14:textId="13FED8DA" w:rsidR="005736B1" w:rsidRDefault="003F1038">
      <w:pPr>
        <w:pStyle w:val="Heading2"/>
      </w:pPr>
      <w:r>
        <w:t>3.2 Prior No-Show History — Statistically Validated</w:t>
      </w:r>
    </w:p>
    <w:p w14:paraId="426A78BC" w14:textId="77777777" w:rsidR="006D488C" w:rsidRPr="006D488C" w:rsidRDefault="006D488C">
      <w:pPr>
        <w:spacing w:after="150"/>
        <w:rPr>
          <w:sz w:val="6"/>
          <w:szCs w:val="6"/>
        </w:rPr>
      </w:pPr>
    </w:p>
    <w:p w14:paraId="383C2A1D" w14:textId="51263921" w:rsidR="005736B1" w:rsidRPr="006D488C" w:rsidRDefault="003F1038" w:rsidP="006D488C">
      <w:pPr>
        <w:spacing w:after="150" w:line="360" w:lineRule="auto"/>
        <w:rPr>
          <w:sz w:val="24"/>
          <w:szCs w:val="24"/>
        </w:rPr>
      </w:pPr>
      <w:r w:rsidRPr="006D488C">
        <w:rPr>
          <w:sz w:val="24"/>
          <w:szCs w:val="24"/>
        </w:rPr>
        <w:t>The same test was applied to prior no-show history (band × no-show outcome):</w:t>
      </w:r>
    </w:p>
    <w:p w14:paraId="77285DBE" w14:textId="77777777" w:rsidR="005736B1" w:rsidRPr="006D488C" w:rsidRDefault="003F1038" w:rsidP="006D488C">
      <w:pPr>
        <w:pStyle w:val="ListParagraph"/>
        <w:numPr>
          <w:ilvl w:val="0"/>
          <w:numId w:val="1"/>
        </w:numPr>
        <w:spacing w:after="80" w:line="360" w:lineRule="auto"/>
        <w:rPr>
          <w:sz w:val="24"/>
          <w:szCs w:val="24"/>
        </w:rPr>
      </w:pPr>
      <w:r w:rsidRPr="006D488C">
        <w:rPr>
          <w:sz w:val="24"/>
          <w:szCs w:val="24"/>
        </w:rPr>
        <w:t>χ² = 72.36, p &lt; 0.001 (df = 3) — also highly significant.</w:t>
      </w:r>
    </w:p>
    <w:p w14:paraId="62A13F9A" w14:textId="77777777" w:rsidR="005736B1" w:rsidRPr="006D488C" w:rsidRDefault="003F1038" w:rsidP="006D488C">
      <w:pPr>
        <w:pStyle w:val="ListParagraph"/>
        <w:numPr>
          <w:ilvl w:val="0"/>
          <w:numId w:val="1"/>
        </w:numPr>
        <w:spacing w:after="80" w:line="360" w:lineRule="auto"/>
        <w:rPr>
          <w:sz w:val="24"/>
          <w:szCs w:val="24"/>
        </w:rPr>
      </w:pPr>
      <w:r w:rsidRPr="006D488C">
        <w:rPr>
          <w:sz w:val="24"/>
          <w:szCs w:val="24"/>
        </w:rPr>
        <w:t xml:space="preserve">Point-biserial correlation with raw </w:t>
      </w:r>
      <w:proofErr w:type="spellStart"/>
      <w:r w:rsidRPr="006D488C">
        <w:rPr>
          <w:sz w:val="24"/>
          <w:szCs w:val="24"/>
        </w:rPr>
        <w:t>previous_no_shows</w:t>
      </w:r>
      <w:proofErr w:type="spellEnd"/>
      <w:r w:rsidRPr="006D488C">
        <w:rPr>
          <w:sz w:val="24"/>
          <w:szCs w:val="24"/>
        </w:rPr>
        <w:t xml:space="preserve">: r = 0.123, </w:t>
      </w:r>
      <w:r w:rsidRPr="006D488C">
        <w:rPr>
          <w:sz w:val="24"/>
          <w:szCs w:val="24"/>
        </w:rPr>
        <w:t>p &lt; 0.001 (a real but weaker linear relationship than lead time; the band-level escalation in Figure 2 is the clearer signal).</w:t>
      </w:r>
    </w:p>
    <w:p w14:paraId="5F11E144" w14:textId="77777777" w:rsidR="005736B1" w:rsidRDefault="003F1038">
      <w:pPr>
        <w:spacing w:after="100"/>
        <w:jc w:val="center"/>
      </w:pPr>
      <w:r>
        <w:rPr>
          <w:noProof/>
        </w:rPr>
        <w:lastRenderedPageBreak/>
        <w:drawing>
          <wp:inline distT="0" distB="0" distL="0" distR="0" wp14:anchorId="4EAAA0D6" wp14:editId="02E911F4">
            <wp:extent cx="552450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314700"/>
                    </a:xfrm>
                    <a:prstGeom prst="rect">
                      <a:avLst/>
                    </a:prstGeom>
                  </pic:spPr>
                </pic:pic>
              </a:graphicData>
            </a:graphic>
          </wp:inline>
        </w:drawing>
      </w:r>
    </w:p>
    <w:p w14:paraId="4BFBE43D" w14:textId="77777777" w:rsidR="005736B1" w:rsidRDefault="003F1038">
      <w:pPr>
        <w:spacing w:after="300"/>
        <w:jc w:val="center"/>
      </w:pPr>
      <w:r>
        <w:rPr>
          <w:i/>
          <w:iCs/>
        </w:rPr>
        <w:t>Figure 2: No-show rate by prior no-show count, with formal significance test.</w:t>
      </w:r>
    </w:p>
    <w:p w14:paraId="196FDFA4" w14:textId="2A9EAB2A" w:rsidR="005736B1" w:rsidRPr="006D488C" w:rsidRDefault="003F1038" w:rsidP="006D488C">
      <w:pPr>
        <w:spacing w:after="150" w:line="360" w:lineRule="auto"/>
        <w:jc w:val="both"/>
        <w:rPr>
          <w:sz w:val="24"/>
          <w:szCs w:val="24"/>
        </w:rPr>
      </w:pPr>
      <w:r w:rsidRPr="006D488C">
        <w:rPr>
          <w:sz w:val="24"/>
          <w:szCs w:val="24"/>
        </w:rPr>
        <w:t>Both Week 5 findings are now confirmed as statist</w:t>
      </w:r>
      <w:r w:rsidRPr="006D488C">
        <w:rPr>
          <w:sz w:val="24"/>
          <w:szCs w:val="24"/>
        </w:rPr>
        <w:t>ically robust, not just descriptively large. Formal testing — flagged as open work in Week 5 — is complete.</w:t>
      </w:r>
    </w:p>
    <w:p w14:paraId="2419339D" w14:textId="77777777" w:rsidR="006D488C" w:rsidRDefault="006D488C">
      <w:pPr>
        <w:spacing w:after="150"/>
      </w:pPr>
    </w:p>
    <w:p w14:paraId="73E34422" w14:textId="77777777" w:rsidR="005736B1" w:rsidRDefault="003F1038">
      <w:pPr>
        <w:pStyle w:val="Heading2"/>
      </w:pPr>
      <w:r>
        <w:t>3.3 New Analysis: Do the Two Drivers Interact?</w:t>
      </w:r>
    </w:p>
    <w:p w14:paraId="160BFB09" w14:textId="77777777" w:rsidR="006D488C" w:rsidRPr="006D488C" w:rsidRDefault="006D488C">
      <w:pPr>
        <w:spacing w:after="150"/>
        <w:rPr>
          <w:sz w:val="8"/>
          <w:szCs w:val="8"/>
        </w:rPr>
      </w:pPr>
    </w:p>
    <w:p w14:paraId="70B9B6F9" w14:textId="0D33C4A7" w:rsidR="005736B1" w:rsidRPr="006D488C" w:rsidRDefault="003F1038" w:rsidP="006D488C">
      <w:pPr>
        <w:spacing w:after="150" w:line="360" w:lineRule="auto"/>
        <w:jc w:val="both"/>
        <w:rPr>
          <w:sz w:val="24"/>
          <w:szCs w:val="24"/>
        </w:rPr>
      </w:pPr>
      <w:r w:rsidRPr="006D488C">
        <w:rPr>
          <w:sz w:val="24"/>
          <w:szCs w:val="24"/>
        </w:rPr>
        <w:t>Week 5 treated lead time and prior no-show history as separate, independent drivers but did not test whether patients with both risk factors are worse off than the two effects would separately predict. This was the main gap identified for Week 6 deepening.</w:t>
      </w:r>
    </w:p>
    <w:p w14:paraId="1FAD5A95" w14:textId="77777777" w:rsidR="005736B1" w:rsidRPr="006D488C" w:rsidRDefault="003F1038" w:rsidP="006D488C">
      <w:pPr>
        <w:spacing w:after="150" w:line="360" w:lineRule="auto"/>
        <w:jc w:val="both"/>
        <w:rPr>
          <w:sz w:val="24"/>
          <w:szCs w:val="24"/>
        </w:rPr>
      </w:pPr>
      <w:r w:rsidRPr="006D488C">
        <w:rPr>
          <w:sz w:val="24"/>
          <w:szCs w:val="24"/>
        </w:rPr>
        <w:t xml:space="preserve">Patients were split into four combined risk segments (short lead &lt;15 days vs long lead 15+ days, crossed with no prior </w:t>
      </w:r>
      <w:proofErr w:type="gramStart"/>
      <w:r w:rsidRPr="006D488C">
        <w:rPr>
          <w:sz w:val="24"/>
          <w:szCs w:val="24"/>
        </w:rPr>
        <w:t>no-shows</w:t>
      </w:r>
      <w:proofErr w:type="gramEnd"/>
      <w:r w:rsidRPr="006D488C">
        <w:rPr>
          <w:sz w:val="24"/>
          <w:szCs w:val="24"/>
        </w:rPr>
        <w:t xml:space="preserve"> vs 1+ prior no-shows):</w:t>
      </w:r>
    </w:p>
    <w:p w14:paraId="5878BDCD" w14:textId="77777777" w:rsidR="005736B1" w:rsidRDefault="003F1038">
      <w:pPr>
        <w:spacing w:after="100"/>
        <w:jc w:val="center"/>
      </w:pPr>
      <w:r>
        <w:rPr>
          <w:noProof/>
        </w:rPr>
        <w:lastRenderedPageBreak/>
        <w:drawing>
          <wp:inline distT="0" distB="0" distL="0" distR="0" wp14:anchorId="426279CF" wp14:editId="56E7CE92">
            <wp:extent cx="57150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429000"/>
                    </a:xfrm>
                    <a:prstGeom prst="rect">
                      <a:avLst/>
                    </a:prstGeom>
                  </pic:spPr>
                </pic:pic>
              </a:graphicData>
            </a:graphic>
          </wp:inline>
        </w:drawing>
      </w:r>
    </w:p>
    <w:p w14:paraId="2B1639BD" w14:textId="77777777" w:rsidR="005736B1" w:rsidRDefault="003F1038">
      <w:pPr>
        <w:spacing w:after="300"/>
        <w:jc w:val="center"/>
      </w:pPr>
      <w:r>
        <w:rPr>
          <w:i/>
          <w:iCs/>
        </w:rPr>
        <w:t>Figure 3: Combined risk segments — no-show rate rises steadily from 28.0% to 63.6% across the four seg</w:t>
      </w:r>
      <w:r>
        <w:rPr>
          <w:i/>
          <w:iCs/>
        </w:rPr>
        <w:t>ments.</w:t>
      </w:r>
    </w:p>
    <w:p w14:paraId="0EB1E074" w14:textId="77777777" w:rsidR="005736B1" w:rsidRPr="006D488C" w:rsidRDefault="003F1038" w:rsidP="006D488C">
      <w:pPr>
        <w:spacing w:after="150" w:line="360" w:lineRule="auto"/>
        <w:jc w:val="both"/>
        <w:rPr>
          <w:sz w:val="24"/>
          <w:szCs w:val="24"/>
        </w:rPr>
      </w:pPr>
      <w:r w:rsidRPr="006D488C">
        <w:rPr>
          <w:sz w:val="24"/>
          <w:szCs w:val="24"/>
        </w:rPr>
        <w:t>To determine whether this rise reflects a true interaction (the two risk factors compounding each other) or simply additive, independent effects, a logistic regression was fitted with and without an interaction term (</w:t>
      </w:r>
      <w:proofErr w:type="spellStart"/>
      <w:r w:rsidRPr="006D488C">
        <w:rPr>
          <w:sz w:val="24"/>
          <w:szCs w:val="24"/>
        </w:rPr>
        <w:t>booking_lead_days</w:t>
      </w:r>
      <w:proofErr w:type="spellEnd"/>
      <w:r w:rsidRPr="006D488C">
        <w:rPr>
          <w:sz w:val="24"/>
          <w:szCs w:val="24"/>
        </w:rPr>
        <w:t xml:space="preserve"> × </w:t>
      </w:r>
      <w:proofErr w:type="spellStart"/>
      <w:r w:rsidRPr="006D488C">
        <w:rPr>
          <w:sz w:val="24"/>
          <w:szCs w:val="24"/>
        </w:rPr>
        <w:t>previous_no_</w:t>
      </w:r>
      <w:r w:rsidRPr="006D488C">
        <w:rPr>
          <w:sz w:val="24"/>
          <w:szCs w:val="24"/>
        </w:rPr>
        <w:t>shows</w:t>
      </w:r>
      <w:proofErr w:type="spellEnd"/>
      <w:r w:rsidRPr="006D488C">
        <w:rPr>
          <w:sz w:val="24"/>
          <w:szCs w:val="24"/>
        </w:rPr>
        <w:t>), and the two models were compared with a likelihood-ratio test:</w:t>
      </w:r>
    </w:p>
    <w:p w14:paraId="58FC7EFB" w14:textId="77777777" w:rsidR="005736B1" w:rsidRPr="006D488C" w:rsidRDefault="003F1038" w:rsidP="006D488C">
      <w:pPr>
        <w:pStyle w:val="ListParagraph"/>
        <w:numPr>
          <w:ilvl w:val="0"/>
          <w:numId w:val="1"/>
        </w:numPr>
        <w:spacing w:after="80" w:line="360" w:lineRule="auto"/>
        <w:jc w:val="both"/>
        <w:rPr>
          <w:sz w:val="24"/>
          <w:szCs w:val="24"/>
        </w:rPr>
      </w:pPr>
      <w:r w:rsidRPr="006D488C">
        <w:rPr>
          <w:sz w:val="24"/>
          <w:szCs w:val="24"/>
        </w:rPr>
        <w:t>Model without interaction: AUC = 0.679</w:t>
      </w:r>
    </w:p>
    <w:p w14:paraId="69A04FE7" w14:textId="77777777" w:rsidR="005736B1" w:rsidRPr="006D488C" w:rsidRDefault="003F1038" w:rsidP="006D488C">
      <w:pPr>
        <w:pStyle w:val="ListParagraph"/>
        <w:numPr>
          <w:ilvl w:val="0"/>
          <w:numId w:val="1"/>
        </w:numPr>
        <w:spacing w:after="80" w:line="360" w:lineRule="auto"/>
        <w:jc w:val="both"/>
        <w:rPr>
          <w:sz w:val="24"/>
          <w:szCs w:val="24"/>
        </w:rPr>
      </w:pPr>
      <w:r w:rsidRPr="006D488C">
        <w:rPr>
          <w:sz w:val="24"/>
          <w:szCs w:val="24"/>
        </w:rPr>
        <w:t>Model with interaction term: AUC = 0.679 (no meaningful improvement)</w:t>
      </w:r>
    </w:p>
    <w:p w14:paraId="46264043" w14:textId="48E1D3F9" w:rsidR="005736B1" w:rsidRPr="006D488C" w:rsidRDefault="003F1038" w:rsidP="006D488C">
      <w:pPr>
        <w:pStyle w:val="ListParagraph"/>
        <w:numPr>
          <w:ilvl w:val="0"/>
          <w:numId w:val="1"/>
        </w:numPr>
        <w:spacing w:after="80" w:line="360" w:lineRule="auto"/>
        <w:jc w:val="both"/>
        <w:rPr>
          <w:sz w:val="24"/>
          <w:szCs w:val="24"/>
        </w:rPr>
      </w:pPr>
      <w:r w:rsidRPr="006D488C">
        <w:rPr>
          <w:sz w:val="24"/>
          <w:szCs w:val="24"/>
        </w:rPr>
        <w:t xml:space="preserve">Likelihood-ratio test on the interaction term: LR = 0.46, p = 0.50 </w:t>
      </w:r>
      <w:r w:rsidRPr="006D488C">
        <w:rPr>
          <w:sz w:val="24"/>
          <w:szCs w:val="24"/>
        </w:rPr>
        <w:t>not stat</w:t>
      </w:r>
      <w:r w:rsidRPr="006D488C">
        <w:rPr>
          <w:sz w:val="24"/>
          <w:szCs w:val="24"/>
        </w:rPr>
        <w:t>istically significant</w:t>
      </w:r>
    </w:p>
    <w:p w14:paraId="447C2108" w14:textId="2BE02AF0" w:rsidR="005736B1" w:rsidRDefault="003F1038" w:rsidP="006D488C">
      <w:pPr>
        <w:spacing w:after="150" w:line="360" w:lineRule="auto"/>
        <w:jc w:val="both"/>
        <w:rPr>
          <w:sz w:val="24"/>
          <w:szCs w:val="24"/>
        </w:rPr>
      </w:pPr>
      <w:r w:rsidRPr="006D488C">
        <w:rPr>
          <w:b/>
          <w:bCs/>
          <w:sz w:val="24"/>
          <w:szCs w:val="24"/>
        </w:rPr>
        <w:t xml:space="preserve">Finding: </w:t>
      </w:r>
      <w:r w:rsidRPr="006D488C">
        <w:rPr>
          <w:sz w:val="24"/>
          <w:szCs w:val="24"/>
        </w:rPr>
        <w:t xml:space="preserve">the two risk factors are additive, not synergistic. A patient with both a long lead time and prior no-show history is roughly as risky as the sum of the two individual effects would predict </w:t>
      </w:r>
      <w:r w:rsidRPr="006D488C">
        <w:rPr>
          <w:sz w:val="24"/>
          <w:szCs w:val="24"/>
        </w:rPr>
        <w:t>no extra "compounding penalty" ex</w:t>
      </w:r>
      <w:r w:rsidRPr="006D488C">
        <w:rPr>
          <w:sz w:val="24"/>
          <w:szCs w:val="24"/>
        </w:rPr>
        <w:t xml:space="preserve">ists beyond that. This is operationally useful: </w:t>
      </w:r>
      <w:proofErr w:type="spellStart"/>
      <w:r w:rsidRPr="006D488C">
        <w:rPr>
          <w:sz w:val="24"/>
          <w:szCs w:val="24"/>
        </w:rPr>
        <w:t>HealthConnect</w:t>
      </w:r>
      <w:proofErr w:type="spellEnd"/>
      <w:r w:rsidRPr="006D488C">
        <w:rPr>
          <w:sz w:val="24"/>
          <w:szCs w:val="24"/>
        </w:rPr>
        <w:t xml:space="preserve"> does not need a separate, more intensive protocol for patients with both risk factors — applying the lead-time and prior-history interventions together, independently, captures the combined risk</w:t>
      </w:r>
      <w:r w:rsidRPr="006D488C">
        <w:rPr>
          <w:sz w:val="24"/>
          <w:szCs w:val="24"/>
        </w:rPr>
        <w:t xml:space="preserve"> correctly.</w:t>
      </w:r>
    </w:p>
    <w:p w14:paraId="51DBFBCC" w14:textId="7F57AD4D" w:rsidR="006D488C" w:rsidRDefault="006D488C" w:rsidP="006D488C">
      <w:pPr>
        <w:spacing w:after="150" w:line="360" w:lineRule="auto"/>
        <w:jc w:val="both"/>
        <w:rPr>
          <w:sz w:val="24"/>
          <w:szCs w:val="24"/>
        </w:rPr>
      </w:pPr>
    </w:p>
    <w:p w14:paraId="61A06E43" w14:textId="77777777" w:rsidR="006D488C" w:rsidRPr="006D488C" w:rsidRDefault="006D488C" w:rsidP="006D488C">
      <w:pPr>
        <w:spacing w:after="150" w:line="360" w:lineRule="auto"/>
        <w:jc w:val="both"/>
        <w:rPr>
          <w:sz w:val="24"/>
          <w:szCs w:val="24"/>
        </w:rPr>
      </w:pPr>
    </w:p>
    <w:p w14:paraId="690C0FD0" w14:textId="77777777" w:rsidR="005736B1" w:rsidRDefault="003F1038">
      <w:pPr>
        <w:pStyle w:val="Heading2"/>
      </w:pPr>
      <w:r>
        <w:lastRenderedPageBreak/>
        <w:t>3.4 Refined Finding: Reminder Effectiveness by Risk Segment</w:t>
      </w:r>
    </w:p>
    <w:p w14:paraId="0645BBE6" w14:textId="77777777" w:rsidR="006D488C" w:rsidRPr="006D488C" w:rsidRDefault="006D488C">
      <w:pPr>
        <w:spacing w:after="150"/>
        <w:rPr>
          <w:sz w:val="10"/>
          <w:szCs w:val="10"/>
        </w:rPr>
      </w:pPr>
    </w:p>
    <w:p w14:paraId="0EC78B96" w14:textId="62B2F3F4" w:rsidR="005736B1" w:rsidRPr="006D488C" w:rsidRDefault="003F1038" w:rsidP="006D488C">
      <w:pPr>
        <w:spacing w:after="150" w:line="360" w:lineRule="auto"/>
        <w:jc w:val="both"/>
        <w:rPr>
          <w:sz w:val="24"/>
          <w:szCs w:val="24"/>
        </w:rPr>
      </w:pPr>
      <w:r w:rsidRPr="006D488C">
        <w:rPr>
          <w:sz w:val="24"/>
          <w:szCs w:val="24"/>
        </w:rPr>
        <w:t>Week 5 found reminders produced a modest ~4.7-point overall improvement (49.9% vs 54.6%). This was re-examined by risk segment to see whether reminders help everyone equally or are mor</w:t>
      </w:r>
      <w:r w:rsidRPr="006D488C">
        <w:rPr>
          <w:sz w:val="24"/>
          <w:szCs w:val="24"/>
        </w:rPr>
        <w:t>e valuable for some patients than others: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2"/>
        <w:gridCol w:w="2028"/>
        <w:gridCol w:w="2500"/>
        <w:gridCol w:w="2500"/>
      </w:tblGrid>
      <w:tr w:rsidR="005736B1" w:rsidRPr="006D488C" w14:paraId="6BB6F868" w14:textId="77777777" w:rsidTr="006D488C">
        <w:tblPrEx>
          <w:tblCellMar>
            <w:top w:w="0" w:type="dxa"/>
            <w:bottom w:w="0" w:type="dxa"/>
          </w:tblCellMar>
        </w:tblPrEx>
        <w:tc>
          <w:tcPr>
            <w:tcW w:w="2972" w:type="dxa"/>
            <w:shd w:val="clear" w:color="auto" w:fill="D9E2F3"/>
          </w:tcPr>
          <w:p w14:paraId="1842B7FC" w14:textId="77777777" w:rsidR="005736B1" w:rsidRPr="006D488C" w:rsidRDefault="003F1038" w:rsidP="006D488C">
            <w:pPr>
              <w:spacing w:line="360" w:lineRule="auto"/>
              <w:jc w:val="center"/>
              <w:rPr>
                <w:sz w:val="24"/>
                <w:szCs w:val="24"/>
              </w:rPr>
            </w:pPr>
            <w:r w:rsidRPr="006D488C">
              <w:rPr>
                <w:b/>
                <w:bCs/>
                <w:sz w:val="24"/>
                <w:szCs w:val="24"/>
              </w:rPr>
              <w:t>Risk segment</w:t>
            </w:r>
          </w:p>
        </w:tc>
        <w:tc>
          <w:tcPr>
            <w:tcW w:w="2028" w:type="dxa"/>
            <w:shd w:val="clear" w:color="auto" w:fill="D9E2F3"/>
          </w:tcPr>
          <w:p w14:paraId="529904C1" w14:textId="77777777" w:rsidR="005736B1" w:rsidRPr="006D488C" w:rsidRDefault="003F1038" w:rsidP="006D488C">
            <w:pPr>
              <w:spacing w:line="360" w:lineRule="auto"/>
              <w:jc w:val="center"/>
              <w:rPr>
                <w:sz w:val="24"/>
                <w:szCs w:val="24"/>
              </w:rPr>
            </w:pPr>
            <w:r w:rsidRPr="006D488C">
              <w:rPr>
                <w:b/>
                <w:bCs/>
                <w:sz w:val="24"/>
                <w:szCs w:val="24"/>
              </w:rPr>
              <w:t>No-show rate — no reminder</w:t>
            </w:r>
          </w:p>
        </w:tc>
        <w:tc>
          <w:tcPr>
            <w:tcW w:w="2500" w:type="dxa"/>
            <w:shd w:val="clear" w:color="auto" w:fill="D9E2F3"/>
          </w:tcPr>
          <w:p w14:paraId="53584185" w14:textId="77777777" w:rsidR="005736B1" w:rsidRPr="006D488C" w:rsidRDefault="003F1038" w:rsidP="006D488C">
            <w:pPr>
              <w:spacing w:line="360" w:lineRule="auto"/>
              <w:jc w:val="center"/>
              <w:rPr>
                <w:sz w:val="24"/>
                <w:szCs w:val="24"/>
              </w:rPr>
            </w:pPr>
            <w:r w:rsidRPr="006D488C">
              <w:rPr>
                <w:b/>
                <w:bCs/>
                <w:sz w:val="24"/>
                <w:szCs w:val="24"/>
              </w:rPr>
              <w:t>No-show rate — reminder sent</w:t>
            </w:r>
          </w:p>
        </w:tc>
        <w:tc>
          <w:tcPr>
            <w:tcW w:w="2500" w:type="dxa"/>
            <w:shd w:val="clear" w:color="auto" w:fill="D9E2F3"/>
          </w:tcPr>
          <w:p w14:paraId="7BD66A3F" w14:textId="77777777" w:rsidR="005736B1" w:rsidRPr="006D488C" w:rsidRDefault="003F1038" w:rsidP="006D488C">
            <w:pPr>
              <w:spacing w:line="360" w:lineRule="auto"/>
              <w:jc w:val="center"/>
              <w:rPr>
                <w:sz w:val="24"/>
                <w:szCs w:val="24"/>
              </w:rPr>
            </w:pPr>
            <w:r w:rsidRPr="006D488C">
              <w:rPr>
                <w:b/>
                <w:bCs/>
                <w:sz w:val="24"/>
                <w:szCs w:val="24"/>
              </w:rPr>
              <w:t>Improvement</w:t>
            </w:r>
          </w:p>
        </w:tc>
      </w:tr>
      <w:tr w:rsidR="005736B1" w:rsidRPr="006D488C" w14:paraId="25CC7299" w14:textId="77777777" w:rsidTr="006D488C">
        <w:tblPrEx>
          <w:tblCellMar>
            <w:top w:w="0" w:type="dxa"/>
            <w:bottom w:w="0" w:type="dxa"/>
          </w:tblCellMar>
        </w:tblPrEx>
        <w:tc>
          <w:tcPr>
            <w:tcW w:w="2972" w:type="dxa"/>
          </w:tcPr>
          <w:p w14:paraId="6564A1FE" w14:textId="77777777" w:rsidR="005736B1" w:rsidRPr="006D488C" w:rsidRDefault="003F1038" w:rsidP="006D488C">
            <w:pPr>
              <w:spacing w:line="360" w:lineRule="auto"/>
              <w:jc w:val="both"/>
              <w:rPr>
                <w:sz w:val="24"/>
                <w:szCs w:val="24"/>
              </w:rPr>
            </w:pPr>
            <w:r w:rsidRPr="006D488C">
              <w:rPr>
                <w:sz w:val="24"/>
                <w:szCs w:val="24"/>
              </w:rPr>
              <w:t>Long lead / Has prior no-shows (highest risk)</w:t>
            </w:r>
          </w:p>
        </w:tc>
        <w:tc>
          <w:tcPr>
            <w:tcW w:w="2028" w:type="dxa"/>
          </w:tcPr>
          <w:p w14:paraId="60A782FC" w14:textId="77777777" w:rsidR="005736B1" w:rsidRPr="006D488C" w:rsidRDefault="003F1038" w:rsidP="006D488C">
            <w:pPr>
              <w:spacing w:line="360" w:lineRule="auto"/>
              <w:jc w:val="both"/>
              <w:rPr>
                <w:sz w:val="24"/>
                <w:szCs w:val="24"/>
              </w:rPr>
            </w:pPr>
            <w:r w:rsidRPr="006D488C">
              <w:rPr>
                <w:sz w:val="24"/>
                <w:szCs w:val="24"/>
              </w:rPr>
              <w:t>67.1%</w:t>
            </w:r>
          </w:p>
        </w:tc>
        <w:tc>
          <w:tcPr>
            <w:tcW w:w="2500" w:type="dxa"/>
          </w:tcPr>
          <w:p w14:paraId="1558E51A" w14:textId="77777777" w:rsidR="005736B1" w:rsidRPr="006D488C" w:rsidRDefault="003F1038" w:rsidP="006D488C">
            <w:pPr>
              <w:spacing w:line="360" w:lineRule="auto"/>
              <w:jc w:val="both"/>
              <w:rPr>
                <w:sz w:val="24"/>
                <w:szCs w:val="24"/>
              </w:rPr>
            </w:pPr>
            <w:r w:rsidRPr="006D488C">
              <w:rPr>
                <w:sz w:val="24"/>
                <w:szCs w:val="24"/>
              </w:rPr>
              <w:t>62.2%</w:t>
            </w:r>
          </w:p>
        </w:tc>
        <w:tc>
          <w:tcPr>
            <w:tcW w:w="2500" w:type="dxa"/>
          </w:tcPr>
          <w:p w14:paraId="0E59CAF9" w14:textId="77777777" w:rsidR="005736B1" w:rsidRPr="006D488C" w:rsidRDefault="003F1038" w:rsidP="006D488C">
            <w:pPr>
              <w:spacing w:line="360" w:lineRule="auto"/>
              <w:jc w:val="both"/>
              <w:rPr>
                <w:sz w:val="24"/>
                <w:szCs w:val="24"/>
              </w:rPr>
            </w:pPr>
            <w:r w:rsidRPr="006D488C">
              <w:rPr>
                <w:sz w:val="24"/>
                <w:szCs w:val="24"/>
              </w:rPr>
              <w:t>4.9 pts</w:t>
            </w:r>
          </w:p>
        </w:tc>
      </w:tr>
      <w:tr w:rsidR="005736B1" w:rsidRPr="006D488C" w14:paraId="3968E254" w14:textId="77777777" w:rsidTr="006D488C">
        <w:tblPrEx>
          <w:tblCellMar>
            <w:top w:w="0" w:type="dxa"/>
            <w:bottom w:w="0" w:type="dxa"/>
          </w:tblCellMar>
        </w:tblPrEx>
        <w:tc>
          <w:tcPr>
            <w:tcW w:w="2972" w:type="dxa"/>
          </w:tcPr>
          <w:p w14:paraId="2F551DA4" w14:textId="77777777" w:rsidR="005736B1" w:rsidRPr="006D488C" w:rsidRDefault="003F1038" w:rsidP="006D488C">
            <w:pPr>
              <w:spacing w:line="360" w:lineRule="auto"/>
              <w:jc w:val="both"/>
              <w:rPr>
                <w:sz w:val="24"/>
                <w:szCs w:val="24"/>
              </w:rPr>
            </w:pPr>
            <w:r w:rsidRPr="006D488C">
              <w:rPr>
                <w:sz w:val="24"/>
                <w:szCs w:val="24"/>
              </w:rPr>
              <w:t>Long lead / No prior no-shows</w:t>
            </w:r>
          </w:p>
        </w:tc>
        <w:tc>
          <w:tcPr>
            <w:tcW w:w="2028" w:type="dxa"/>
          </w:tcPr>
          <w:p w14:paraId="6F5EF00C" w14:textId="77777777" w:rsidR="005736B1" w:rsidRPr="006D488C" w:rsidRDefault="003F1038" w:rsidP="006D488C">
            <w:pPr>
              <w:spacing w:line="360" w:lineRule="auto"/>
              <w:jc w:val="both"/>
              <w:rPr>
                <w:sz w:val="24"/>
                <w:szCs w:val="24"/>
              </w:rPr>
            </w:pPr>
            <w:r w:rsidRPr="006D488C">
              <w:rPr>
                <w:sz w:val="24"/>
                <w:szCs w:val="24"/>
              </w:rPr>
              <w:t>56.4%</w:t>
            </w:r>
          </w:p>
        </w:tc>
        <w:tc>
          <w:tcPr>
            <w:tcW w:w="2500" w:type="dxa"/>
          </w:tcPr>
          <w:p w14:paraId="282BE38A" w14:textId="77777777" w:rsidR="005736B1" w:rsidRPr="006D488C" w:rsidRDefault="003F1038" w:rsidP="006D488C">
            <w:pPr>
              <w:spacing w:line="360" w:lineRule="auto"/>
              <w:jc w:val="both"/>
              <w:rPr>
                <w:sz w:val="24"/>
                <w:szCs w:val="24"/>
              </w:rPr>
            </w:pPr>
            <w:r w:rsidRPr="006D488C">
              <w:rPr>
                <w:sz w:val="24"/>
                <w:szCs w:val="24"/>
              </w:rPr>
              <w:t>51.4%</w:t>
            </w:r>
          </w:p>
        </w:tc>
        <w:tc>
          <w:tcPr>
            <w:tcW w:w="2500" w:type="dxa"/>
          </w:tcPr>
          <w:p w14:paraId="36C4DD41" w14:textId="77777777" w:rsidR="005736B1" w:rsidRPr="006D488C" w:rsidRDefault="003F1038" w:rsidP="006D488C">
            <w:pPr>
              <w:spacing w:line="360" w:lineRule="auto"/>
              <w:jc w:val="both"/>
              <w:rPr>
                <w:sz w:val="24"/>
                <w:szCs w:val="24"/>
              </w:rPr>
            </w:pPr>
            <w:r w:rsidRPr="006D488C">
              <w:rPr>
                <w:sz w:val="24"/>
                <w:szCs w:val="24"/>
              </w:rPr>
              <w:t>4.9 pts</w:t>
            </w:r>
          </w:p>
        </w:tc>
      </w:tr>
      <w:tr w:rsidR="005736B1" w:rsidRPr="006D488C" w14:paraId="1D1D790F" w14:textId="77777777" w:rsidTr="006D488C">
        <w:tblPrEx>
          <w:tblCellMar>
            <w:top w:w="0" w:type="dxa"/>
            <w:bottom w:w="0" w:type="dxa"/>
          </w:tblCellMar>
        </w:tblPrEx>
        <w:tc>
          <w:tcPr>
            <w:tcW w:w="2972" w:type="dxa"/>
          </w:tcPr>
          <w:p w14:paraId="07BF7095" w14:textId="77777777" w:rsidR="005736B1" w:rsidRPr="006D488C" w:rsidRDefault="003F1038" w:rsidP="006D488C">
            <w:pPr>
              <w:spacing w:line="360" w:lineRule="auto"/>
              <w:jc w:val="both"/>
              <w:rPr>
                <w:sz w:val="24"/>
                <w:szCs w:val="24"/>
              </w:rPr>
            </w:pPr>
            <w:r w:rsidRPr="006D488C">
              <w:rPr>
                <w:sz w:val="24"/>
                <w:szCs w:val="24"/>
              </w:rPr>
              <w:t>Short lead / Has prior no-shows</w:t>
            </w:r>
          </w:p>
        </w:tc>
        <w:tc>
          <w:tcPr>
            <w:tcW w:w="2028" w:type="dxa"/>
          </w:tcPr>
          <w:p w14:paraId="564EC338" w14:textId="77777777" w:rsidR="005736B1" w:rsidRPr="006D488C" w:rsidRDefault="003F1038" w:rsidP="006D488C">
            <w:pPr>
              <w:spacing w:line="360" w:lineRule="auto"/>
              <w:jc w:val="both"/>
              <w:rPr>
                <w:sz w:val="24"/>
                <w:szCs w:val="24"/>
              </w:rPr>
            </w:pPr>
            <w:r w:rsidRPr="006D488C">
              <w:rPr>
                <w:sz w:val="24"/>
                <w:szCs w:val="24"/>
              </w:rPr>
              <w:t>43.7%</w:t>
            </w:r>
          </w:p>
        </w:tc>
        <w:tc>
          <w:tcPr>
            <w:tcW w:w="2500" w:type="dxa"/>
          </w:tcPr>
          <w:p w14:paraId="26A412F0" w14:textId="77777777" w:rsidR="005736B1" w:rsidRPr="006D488C" w:rsidRDefault="003F1038" w:rsidP="006D488C">
            <w:pPr>
              <w:spacing w:line="360" w:lineRule="auto"/>
              <w:jc w:val="both"/>
              <w:rPr>
                <w:sz w:val="24"/>
                <w:szCs w:val="24"/>
              </w:rPr>
            </w:pPr>
            <w:r w:rsidRPr="006D488C">
              <w:rPr>
                <w:sz w:val="24"/>
                <w:szCs w:val="24"/>
              </w:rPr>
              <w:t>37.2%</w:t>
            </w:r>
          </w:p>
        </w:tc>
        <w:tc>
          <w:tcPr>
            <w:tcW w:w="2500" w:type="dxa"/>
          </w:tcPr>
          <w:p w14:paraId="7F77419F" w14:textId="77777777" w:rsidR="005736B1" w:rsidRPr="006D488C" w:rsidRDefault="003F1038" w:rsidP="006D488C">
            <w:pPr>
              <w:spacing w:line="360" w:lineRule="auto"/>
              <w:jc w:val="both"/>
              <w:rPr>
                <w:sz w:val="24"/>
                <w:szCs w:val="24"/>
              </w:rPr>
            </w:pPr>
            <w:r w:rsidRPr="006D488C">
              <w:rPr>
                <w:sz w:val="24"/>
                <w:szCs w:val="24"/>
              </w:rPr>
              <w:t>6.5 pts</w:t>
            </w:r>
          </w:p>
        </w:tc>
      </w:tr>
      <w:tr w:rsidR="005736B1" w:rsidRPr="006D488C" w14:paraId="0139FEF1" w14:textId="77777777" w:rsidTr="006D488C">
        <w:tblPrEx>
          <w:tblCellMar>
            <w:top w:w="0" w:type="dxa"/>
            <w:bottom w:w="0" w:type="dxa"/>
          </w:tblCellMar>
        </w:tblPrEx>
        <w:tc>
          <w:tcPr>
            <w:tcW w:w="2972" w:type="dxa"/>
          </w:tcPr>
          <w:p w14:paraId="0EB9F783" w14:textId="77777777" w:rsidR="005736B1" w:rsidRPr="006D488C" w:rsidRDefault="003F1038" w:rsidP="006D488C">
            <w:pPr>
              <w:spacing w:line="360" w:lineRule="auto"/>
              <w:jc w:val="both"/>
              <w:rPr>
                <w:sz w:val="24"/>
                <w:szCs w:val="24"/>
              </w:rPr>
            </w:pPr>
            <w:r w:rsidRPr="006D488C">
              <w:rPr>
                <w:sz w:val="24"/>
                <w:szCs w:val="24"/>
              </w:rPr>
              <w:t>Short lead / No prior no-shows (lowest risk)</w:t>
            </w:r>
          </w:p>
        </w:tc>
        <w:tc>
          <w:tcPr>
            <w:tcW w:w="2028" w:type="dxa"/>
          </w:tcPr>
          <w:p w14:paraId="0F5925DF" w14:textId="77777777" w:rsidR="005736B1" w:rsidRPr="006D488C" w:rsidRDefault="003F1038" w:rsidP="006D488C">
            <w:pPr>
              <w:spacing w:line="360" w:lineRule="auto"/>
              <w:jc w:val="both"/>
              <w:rPr>
                <w:sz w:val="24"/>
                <w:szCs w:val="24"/>
              </w:rPr>
            </w:pPr>
            <w:r w:rsidRPr="006D488C">
              <w:rPr>
                <w:sz w:val="24"/>
                <w:szCs w:val="24"/>
              </w:rPr>
              <w:t>28.3%</w:t>
            </w:r>
          </w:p>
        </w:tc>
        <w:tc>
          <w:tcPr>
            <w:tcW w:w="2500" w:type="dxa"/>
          </w:tcPr>
          <w:p w14:paraId="6A0EA836" w14:textId="77777777" w:rsidR="005736B1" w:rsidRPr="006D488C" w:rsidRDefault="003F1038" w:rsidP="006D488C">
            <w:pPr>
              <w:spacing w:line="360" w:lineRule="auto"/>
              <w:jc w:val="both"/>
              <w:rPr>
                <w:sz w:val="24"/>
                <w:szCs w:val="24"/>
              </w:rPr>
            </w:pPr>
            <w:r w:rsidRPr="006D488C">
              <w:rPr>
                <w:sz w:val="24"/>
                <w:szCs w:val="24"/>
              </w:rPr>
              <w:t>27.9%</w:t>
            </w:r>
          </w:p>
        </w:tc>
        <w:tc>
          <w:tcPr>
            <w:tcW w:w="2500" w:type="dxa"/>
          </w:tcPr>
          <w:p w14:paraId="4F581567" w14:textId="77777777" w:rsidR="005736B1" w:rsidRPr="006D488C" w:rsidRDefault="003F1038" w:rsidP="006D488C">
            <w:pPr>
              <w:spacing w:line="360" w:lineRule="auto"/>
              <w:jc w:val="both"/>
              <w:rPr>
                <w:sz w:val="24"/>
                <w:szCs w:val="24"/>
              </w:rPr>
            </w:pPr>
            <w:r w:rsidRPr="006D488C">
              <w:rPr>
                <w:sz w:val="24"/>
                <w:szCs w:val="24"/>
              </w:rPr>
              <w:t>0.4 pts</w:t>
            </w:r>
          </w:p>
        </w:tc>
      </w:tr>
    </w:tbl>
    <w:p w14:paraId="28F613F5" w14:textId="77777777" w:rsidR="005736B1" w:rsidRPr="006D488C" w:rsidRDefault="005736B1" w:rsidP="006D488C">
      <w:pPr>
        <w:spacing w:after="200" w:line="360" w:lineRule="auto"/>
        <w:jc w:val="both"/>
        <w:rPr>
          <w:sz w:val="24"/>
          <w:szCs w:val="24"/>
        </w:rPr>
      </w:pPr>
    </w:p>
    <w:p w14:paraId="03685E86" w14:textId="77777777" w:rsidR="005736B1" w:rsidRPr="006D488C" w:rsidRDefault="003F1038" w:rsidP="006D488C">
      <w:pPr>
        <w:spacing w:after="150" w:line="360" w:lineRule="auto"/>
        <w:jc w:val="both"/>
        <w:rPr>
          <w:sz w:val="24"/>
          <w:szCs w:val="24"/>
        </w:rPr>
      </w:pPr>
      <w:r w:rsidRPr="006D488C">
        <w:rPr>
          <w:b/>
          <w:bCs/>
          <w:sz w:val="24"/>
          <w:szCs w:val="24"/>
        </w:rPr>
        <w:t xml:space="preserve">Finding: </w:t>
      </w:r>
      <w:r w:rsidRPr="006D488C">
        <w:rPr>
          <w:sz w:val="24"/>
          <w:szCs w:val="24"/>
        </w:rPr>
        <w:t>reminders show almost no effect for the lowest-risk segment (0.4-point improvement) but a real effect for every segment carryin</w:t>
      </w:r>
      <w:r w:rsidRPr="006D488C">
        <w:rPr>
          <w:sz w:val="24"/>
          <w:szCs w:val="24"/>
        </w:rPr>
        <w:t>g at least one risk factor (4.9–6.5 points). This refines the Week 5 recommendation: reminder resources are most efficiently targeted at patients with a long lead time and/or prior no-show history, rather than sent uniformly to all patients.</w:t>
      </w:r>
    </w:p>
    <w:p w14:paraId="55FEE25A" w14:textId="3631B616" w:rsidR="005736B1" w:rsidRDefault="003F1038">
      <w:pPr>
        <w:pStyle w:val="Heading1"/>
      </w:pPr>
      <w:r>
        <w:t>4. Validated &amp;</w:t>
      </w:r>
      <w:r>
        <w:t xml:space="preserve"> Refined KPIs Summary</w:t>
      </w:r>
    </w:p>
    <w:p w14:paraId="2C2348EE" w14:textId="77777777" w:rsidR="006D488C" w:rsidRDefault="006D488C">
      <w:pPr>
        <w:pStyle w:val="Heading1"/>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4"/>
        <w:gridCol w:w="3333"/>
        <w:gridCol w:w="3333"/>
      </w:tblGrid>
      <w:tr w:rsidR="005736B1" w:rsidRPr="006D488C" w14:paraId="237589AF" w14:textId="77777777" w:rsidTr="006D488C">
        <w:tblPrEx>
          <w:tblCellMar>
            <w:top w:w="0" w:type="dxa"/>
            <w:bottom w:w="0" w:type="dxa"/>
          </w:tblCellMar>
        </w:tblPrEx>
        <w:tc>
          <w:tcPr>
            <w:tcW w:w="2000" w:type="dxa"/>
            <w:shd w:val="clear" w:color="auto" w:fill="D9E2F3"/>
          </w:tcPr>
          <w:p w14:paraId="2E3E8A93" w14:textId="77777777" w:rsidR="005736B1" w:rsidRPr="006D488C" w:rsidRDefault="003F1038" w:rsidP="006D488C">
            <w:pPr>
              <w:spacing w:line="360" w:lineRule="auto"/>
              <w:rPr>
                <w:sz w:val="24"/>
                <w:szCs w:val="24"/>
              </w:rPr>
            </w:pPr>
            <w:r w:rsidRPr="006D488C">
              <w:rPr>
                <w:b/>
                <w:bCs/>
                <w:sz w:val="24"/>
                <w:szCs w:val="24"/>
              </w:rPr>
              <w:t>KPI</w:t>
            </w:r>
          </w:p>
        </w:tc>
        <w:tc>
          <w:tcPr>
            <w:tcW w:w="2000" w:type="dxa"/>
            <w:shd w:val="clear" w:color="auto" w:fill="D9E2F3"/>
          </w:tcPr>
          <w:p w14:paraId="3056EC8A" w14:textId="77777777" w:rsidR="005736B1" w:rsidRPr="006D488C" w:rsidRDefault="003F1038" w:rsidP="006D488C">
            <w:pPr>
              <w:spacing w:line="360" w:lineRule="auto"/>
              <w:rPr>
                <w:sz w:val="24"/>
                <w:szCs w:val="24"/>
              </w:rPr>
            </w:pPr>
            <w:r w:rsidRPr="006D488C">
              <w:rPr>
                <w:b/>
                <w:bCs/>
                <w:sz w:val="24"/>
                <w:szCs w:val="24"/>
              </w:rPr>
              <w:t>Week 5 status</w:t>
            </w:r>
          </w:p>
        </w:tc>
        <w:tc>
          <w:tcPr>
            <w:tcW w:w="2000" w:type="dxa"/>
            <w:shd w:val="clear" w:color="auto" w:fill="D9E2F3"/>
          </w:tcPr>
          <w:p w14:paraId="11BD3A62" w14:textId="77777777" w:rsidR="005736B1" w:rsidRPr="006D488C" w:rsidRDefault="003F1038" w:rsidP="006D488C">
            <w:pPr>
              <w:spacing w:line="360" w:lineRule="auto"/>
              <w:rPr>
                <w:sz w:val="24"/>
                <w:szCs w:val="24"/>
              </w:rPr>
            </w:pPr>
            <w:r w:rsidRPr="006D488C">
              <w:rPr>
                <w:b/>
                <w:bCs/>
                <w:sz w:val="24"/>
                <w:szCs w:val="24"/>
              </w:rPr>
              <w:t>Week 6 status</w:t>
            </w:r>
          </w:p>
        </w:tc>
      </w:tr>
      <w:tr w:rsidR="005736B1" w:rsidRPr="006D488C" w14:paraId="009B4A81" w14:textId="77777777" w:rsidTr="006D488C">
        <w:tblPrEx>
          <w:tblCellMar>
            <w:top w:w="0" w:type="dxa"/>
            <w:bottom w:w="0" w:type="dxa"/>
          </w:tblCellMar>
        </w:tblPrEx>
        <w:tc>
          <w:tcPr>
            <w:tcW w:w="2000" w:type="dxa"/>
          </w:tcPr>
          <w:p w14:paraId="6F2FCE5F" w14:textId="77777777" w:rsidR="005736B1" w:rsidRPr="006D488C" w:rsidRDefault="003F1038" w:rsidP="006D488C">
            <w:pPr>
              <w:spacing w:line="360" w:lineRule="auto"/>
              <w:rPr>
                <w:sz w:val="24"/>
                <w:szCs w:val="24"/>
              </w:rPr>
            </w:pPr>
            <w:r w:rsidRPr="006D488C">
              <w:rPr>
                <w:sz w:val="24"/>
                <w:szCs w:val="24"/>
              </w:rPr>
              <w:t>Overall no-show rate (51.2%)</w:t>
            </w:r>
          </w:p>
        </w:tc>
        <w:tc>
          <w:tcPr>
            <w:tcW w:w="2000" w:type="dxa"/>
          </w:tcPr>
          <w:p w14:paraId="180CFD83" w14:textId="77777777" w:rsidR="005736B1" w:rsidRPr="006D488C" w:rsidRDefault="003F1038" w:rsidP="006D488C">
            <w:pPr>
              <w:spacing w:line="360" w:lineRule="auto"/>
              <w:rPr>
                <w:sz w:val="24"/>
                <w:szCs w:val="24"/>
              </w:rPr>
            </w:pPr>
            <w:r w:rsidRPr="006D488C">
              <w:rPr>
                <w:sz w:val="24"/>
                <w:szCs w:val="24"/>
              </w:rPr>
              <w:t>Calculated</w:t>
            </w:r>
          </w:p>
        </w:tc>
        <w:tc>
          <w:tcPr>
            <w:tcW w:w="2000" w:type="dxa"/>
          </w:tcPr>
          <w:p w14:paraId="45664CC0" w14:textId="77777777" w:rsidR="005736B1" w:rsidRPr="006D488C" w:rsidRDefault="003F1038" w:rsidP="006D488C">
            <w:pPr>
              <w:spacing w:line="360" w:lineRule="auto"/>
              <w:rPr>
                <w:sz w:val="24"/>
                <w:szCs w:val="24"/>
              </w:rPr>
            </w:pPr>
            <w:r w:rsidRPr="006D488C">
              <w:rPr>
                <w:sz w:val="24"/>
                <w:szCs w:val="24"/>
              </w:rPr>
              <w:t>Unchanged — confirmed baseline</w:t>
            </w:r>
          </w:p>
        </w:tc>
      </w:tr>
      <w:tr w:rsidR="005736B1" w:rsidRPr="006D488C" w14:paraId="2328EC9F" w14:textId="77777777" w:rsidTr="006D488C">
        <w:tblPrEx>
          <w:tblCellMar>
            <w:top w:w="0" w:type="dxa"/>
            <w:bottom w:w="0" w:type="dxa"/>
          </w:tblCellMar>
        </w:tblPrEx>
        <w:tc>
          <w:tcPr>
            <w:tcW w:w="2000" w:type="dxa"/>
          </w:tcPr>
          <w:p w14:paraId="6085E7CA" w14:textId="77777777" w:rsidR="005736B1" w:rsidRPr="006D488C" w:rsidRDefault="003F1038" w:rsidP="006D488C">
            <w:pPr>
              <w:spacing w:line="360" w:lineRule="auto"/>
              <w:rPr>
                <w:sz w:val="24"/>
                <w:szCs w:val="24"/>
              </w:rPr>
            </w:pPr>
            <w:r w:rsidRPr="006D488C">
              <w:rPr>
                <w:sz w:val="24"/>
                <w:szCs w:val="24"/>
              </w:rPr>
              <w:t>No-show rate by lead time</w:t>
            </w:r>
          </w:p>
        </w:tc>
        <w:tc>
          <w:tcPr>
            <w:tcW w:w="2000" w:type="dxa"/>
          </w:tcPr>
          <w:p w14:paraId="0C1A21AE" w14:textId="77777777" w:rsidR="005736B1" w:rsidRPr="006D488C" w:rsidRDefault="003F1038" w:rsidP="006D488C">
            <w:pPr>
              <w:spacing w:line="360" w:lineRule="auto"/>
              <w:rPr>
                <w:sz w:val="24"/>
                <w:szCs w:val="24"/>
              </w:rPr>
            </w:pPr>
            <w:r w:rsidRPr="006D488C">
              <w:rPr>
                <w:sz w:val="24"/>
                <w:szCs w:val="24"/>
              </w:rPr>
              <w:t>Calculated, descriptive</w:t>
            </w:r>
          </w:p>
        </w:tc>
        <w:tc>
          <w:tcPr>
            <w:tcW w:w="2000" w:type="dxa"/>
          </w:tcPr>
          <w:p w14:paraId="618AC15D" w14:textId="77777777" w:rsidR="005736B1" w:rsidRPr="006D488C" w:rsidRDefault="003F1038" w:rsidP="006D488C">
            <w:pPr>
              <w:spacing w:line="360" w:lineRule="auto"/>
              <w:rPr>
                <w:sz w:val="24"/>
                <w:szCs w:val="24"/>
              </w:rPr>
            </w:pPr>
            <w:r w:rsidRPr="006D488C">
              <w:rPr>
                <w:sz w:val="24"/>
                <w:szCs w:val="24"/>
              </w:rPr>
              <w:t>Validated: χ²=340.4, p&lt;0.001</w:t>
            </w:r>
          </w:p>
        </w:tc>
      </w:tr>
      <w:tr w:rsidR="005736B1" w:rsidRPr="006D488C" w14:paraId="7FC924B6" w14:textId="77777777" w:rsidTr="006D488C">
        <w:tblPrEx>
          <w:tblCellMar>
            <w:top w:w="0" w:type="dxa"/>
            <w:bottom w:w="0" w:type="dxa"/>
          </w:tblCellMar>
        </w:tblPrEx>
        <w:tc>
          <w:tcPr>
            <w:tcW w:w="2000" w:type="dxa"/>
          </w:tcPr>
          <w:p w14:paraId="740A4F73" w14:textId="77777777" w:rsidR="005736B1" w:rsidRPr="006D488C" w:rsidRDefault="003F1038" w:rsidP="006D488C">
            <w:pPr>
              <w:spacing w:line="360" w:lineRule="auto"/>
              <w:rPr>
                <w:sz w:val="24"/>
                <w:szCs w:val="24"/>
              </w:rPr>
            </w:pPr>
            <w:r w:rsidRPr="006D488C">
              <w:rPr>
                <w:sz w:val="24"/>
                <w:szCs w:val="24"/>
              </w:rPr>
              <w:t>Repeat no-show rate</w:t>
            </w:r>
          </w:p>
        </w:tc>
        <w:tc>
          <w:tcPr>
            <w:tcW w:w="2000" w:type="dxa"/>
          </w:tcPr>
          <w:p w14:paraId="4A96D7C0" w14:textId="77777777" w:rsidR="005736B1" w:rsidRPr="006D488C" w:rsidRDefault="003F1038" w:rsidP="006D488C">
            <w:pPr>
              <w:spacing w:line="360" w:lineRule="auto"/>
              <w:rPr>
                <w:sz w:val="24"/>
                <w:szCs w:val="24"/>
              </w:rPr>
            </w:pPr>
            <w:r w:rsidRPr="006D488C">
              <w:rPr>
                <w:sz w:val="24"/>
                <w:szCs w:val="24"/>
              </w:rPr>
              <w:t>Calculated, descriptive</w:t>
            </w:r>
          </w:p>
        </w:tc>
        <w:tc>
          <w:tcPr>
            <w:tcW w:w="2000" w:type="dxa"/>
          </w:tcPr>
          <w:p w14:paraId="17DFCD06" w14:textId="77777777" w:rsidR="005736B1" w:rsidRPr="006D488C" w:rsidRDefault="003F1038" w:rsidP="006D488C">
            <w:pPr>
              <w:spacing w:line="360" w:lineRule="auto"/>
              <w:rPr>
                <w:sz w:val="24"/>
                <w:szCs w:val="24"/>
              </w:rPr>
            </w:pPr>
            <w:r w:rsidRPr="006D488C">
              <w:rPr>
                <w:sz w:val="24"/>
                <w:szCs w:val="24"/>
              </w:rPr>
              <w:t>Validated: χ²=72.4, p&lt;0.001</w:t>
            </w:r>
          </w:p>
        </w:tc>
      </w:tr>
      <w:tr w:rsidR="005736B1" w:rsidRPr="006D488C" w14:paraId="6EAF4BAC" w14:textId="77777777" w:rsidTr="006D488C">
        <w:tblPrEx>
          <w:tblCellMar>
            <w:top w:w="0" w:type="dxa"/>
            <w:bottom w:w="0" w:type="dxa"/>
          </w:tblCellMar>
        </w:tblPrEx>
        <w:tc>
          <w:tcPr>
            <w:tcW w:w="2000" w:type="dxa"/>
          </w:tcPr>
          <w:p w14:paraId="62924989" w14:textId="77777777" w:rsidR="005736B1" w:rsidRPr="006D488C" w:rsidRDefault="003F1038" w:rsidP="006D488C">
            <w:pPr>
              <w:spacing w:line="360" w:lineRule="auto"/>
              <w:rPr>
                <w:sz w:val="24"/>
                <w:szCs w:val="24"/>
              </w:rPr>
            </w:pPr>
            <w:r w:rsidRPr="006D488C">
              <w:rPr>
                <w:sz w:val="24"/>
                <w:szCs w:val="24"/>
              </w:rPr>
              <w:t>Reminder effectiveness</w:t>
            </w:r>
          </w:p>
        </w:tc>
        <w:tc>
          <w:tcPr>
            <w:tcW w:w="2000" w:type="dxa"/>
          </w:tcPr>
          <w:p w14:paraId="211BEA82" w14:textId="77777777" w:rsidR="005736B1" w:rsidRPr="006D488C" w:rsidRDefault="003F1038" w:rsidP="006D488C">
            <w:pPr>
              <w:spacing w:line="360" w:lineRule="auto"/>
              <w:rPr>
                <w:sz w:val="24"/>
                <w:szCs w:val="24"/>
              </w:rPr>
            </w:pPr>
            <w:r w:rsidRPr="006D488C">
              <w:rPr>
                <w:sz w:val="24"/>
                <w:szCs w:val="24"/>
              </w:rPr>
              <w:t>Calculated (overall only)</w:t>
            </w:r>
          </w:p>
        </w:tc>
        <w:tc>
          <w:tcPr>
            <w:tcW w:w="2000" w:type="dxa"/>
          </w:tcPr>
          <w:p w14:paraId="4700399E" w14:textId="77777777" w:rsidR="005736B1" w:rsidRPr="006D488C" w:rsidRDefault="003F1038" w:rsidP="006D488C">
            <w:pPr>
              <w:spacing w:line="360" w:lineRule="auto"/>
              <w:rPr>
                <w:sz w:val="24"/>
                <w:szCs w:val="24"/>
              </w:rPr>
            </w:pPr>
            <w:r w:rsidRPr="006D488C">
              <w:rPr>
                <w:sz w:val="24"/>
                <w:szCs w:val="24"/>
              </w:rPr>
              <w:t>Refined by risk segment — targeting insight added</w:t>
            </w:r>
          </w:p>
        </w:tc>
      </w:tr>
      <w:tr w:rsidR="005736B1" w:rsidRPr="006D488C" w14:paraId="322E55AA" w14:textId="77777777" w:rsidTr="006D488C">
        <w:tblPrEx>
          <w:tblCellMar>
            <w:top w:w="0" w:type="dxa"/>
            <w:bottom w:w="0" w:type="dxa"/>
          </w:tblCellMar>
        </w:tblPrEx>
        <w:tc>
          <w:tcPr>
            <w:tcW w:w="2000" w:type="dxa"/>
          </w:tcPr>
          <w:p w14:paraId="55F6E731" w14:textId="77777777" w:rsidR="005736B1" w:rsidRPr="006D488C" w:rsidRDefault="003F1038" w:rsidP="006D488C">
            <w:pPr>
              <w:spacing w:line="360" w:lineRule="auto"/>
              <w:rPr>
                <w:sz w:val="24"/>
                <w:szCs w:val="24"/>
              </w:rPr>
            </w:pPr>
            <w:r w:rsidRPr="006D488C">
              <w:rPr>
                <w:sz w:val="24"/>
                <w:szCs w:val="24"/>
              </w:rPr>
              <w:t>Slot utilisation loss</w:t>
            </w:r>
          </w:p>
        </w:tc>
        <w:tc>
          <w:tcPr>
            <w:tcW w:w="2000" w:type="dxa"/>
          </w:tcPr>
          <w:p w14:paraId="7C10173E" w14:textId="77777777" w:rsidR="005736B1" w:rsidRPr="006D488C" w:rsidRDefault="003F1038" w:rsidP="006D488C">
            <w:pPr>
              <w:spacing w:line="360" w:lineRule="auto"/>
              <w:rPr>
                <w:sz w:val="24"/>
                <w:szCs w:val="24"/>
              </w:rPr>
            </w:pPr>
            <w:r w:rsidRPr="006D488C">
              <w:rPr>
                <w:sz w:val="24"/>
                <w:szCs w:val="24"/>
              </w:rPr>
              <w:t>Calculated</w:t>
            </w:r>
          </w:p>
        </w:tc>
        <w:tc>
          <w:tcPr>
            <w:tcW w:w="2000" w:type="dxa"/>
          </w:tcPr>
          <w:p w14:paraId="10589A91" w14:textId="77777777" w:rsidR="005736B1" w:rsidRPr="006D488C" w:rsidRDefault="003F1038" w:rsidP="006D488C">
            <w:pPr>
              <w:spacing w:line="360" w:lineRule="auto"/>
              <w:rPr>
                <w:sz w:val="24"/>
                <w:szCs w:val="24"/>
              </w:rPr>
            </w:pPr>
            <w:r w:rsidRPr="006D488C">
              <w:rPr>
                <w:sz w:val="24"/>
                <w:szCs w:val="24"/>
              </w:rPr>
              <w:t>Unchanged this week — no new evidence to revise it</w:t>
            </w:r>
          </w:p>
        </w:tc>
      </w:tr>
    </w:tbl>
    <w:p w14:paraId="2261542D" w14:textId="77777777" w:rsidR="006D488C" w:rsidRDefault="006D488C">
      <w:pPr>
        <w:pStyle w:val="Heading1"/>
      </w:pPr>
    </w:p>
    <w:p w14:paraId="36991BF2" w14:textId="0AE6F634" w:rsidR="005736B1" w:rsidRDefault="003F1038">
      <w:pPr>
        <w:pStyle w:val="Heading1"/>
      </w:pPr>
      <w:r>
        <w:lastRenderedPageBreak/>
        <w:t>5. Business Insigh</w:t>
      </w:r>
      <w:r>
        <w:t>ts (Week 6)</w:t>
      </w:r>
    </w:p>
    <w:p w14:paraId="597FD0AD" w14:textId="77777777" w:rsidR="006D488C" w:rsidRPr="006D488C" w:rsidRDefault="006D488C">
      <w:pPr>
        <w:pStyle w:val="Heading1"/>
        <w:rPr>
          <w:sz w:val="20"/>
          <w:szCs w:val="20"/>
        </w:rPr>
      </w:pPr>
    </w:p>
    <w:p w14:paraId="2AD1EDCE" w14:textId="77777777" w:rsidR="005736B1" w:rsidRPr="006D488C" w:rsidRDefault="003F1038" w:rsidP="006D488C">
      <w:pPr>
        <w:pStyle w:val="ListParagraph"/>
        <w:numPr>
          <w:ilvl w:val="0"/>
          <w:numId w:val="1"/>
        </w:numPr>
        <w:spacing w:after="80" w:line="360" w:lineRule="auto"/>
        <w:jc w:val="both"/>
        <w:rPr>
          <w:sz w:val="24"/>
          <w:szCs w:val="24"/>
        </w:rPr>
      </w:pPr>
      <w:r w:rsidRPr="006D488C">
        <w:rPr>
          <w:sz w:val="24"/>
          <w:szCs w:val="24"/>
        </w:rPr>
        <w:t>Booking lead time and prior no-show history are both confirmed, statistically significant drivers of no-shows — the Week 5 findings were not chance patterns in a 5,000-row sample.</w:t>
      </w:r>
    </w:p>
    <w:p w14:paraId="529CB7F9" w14:textId="77777777" w:rsidR="005736B1" w:rsidRPr="006D488C" w:rsidRDefault="003F1038" w:rsidP="006D488C">
      <w:pPr>
        <w:pStyle w:val="ListParagraph"/>
        <w:numPr>
          <w:ilvl w:val="0"/>
          <w:numId w:val="1"/>
        </w:numPr>
        <w:spacing w:after="80" w:line="360" w:lineRule="auto"/>
        <w:jc w:val="both"/>
        <w:rPr>
          <w:sz w:val="24"/>
          <w:szCs w:val="24"/>
        </w:rPr>
      </w:pPr>
      <w:r w:rsidRPr="006D488C">
        <w:rPr>
          <w:sz w:val="24"/>
          <w:szCs w:val="24"/>
        </w:rPr>
        <w:t xml:space="preserve">The two drivers combine additively rather than synergistically: </w:t>
      </w:r>
      <w:r w:rsidRPr="006D488C">
        <w:rPr>
          <w:sz w:val="24"/>
          <w:szCs w:val="24"/>
        </w:rPr>
        <w:t>patients with both risk factors are exactly as risky as the two effects predict separately, with no evidence of an extra compounding penalty.</w:t>
      </w:r>
    </w:p>
    <w:p w14:paraId="614AB7E0" w14:textId="77777777" w:rsidR="005736B1" w:rsidRPr="006D488C" w:rsidRDefault="003F1038" w:rsidP="006D488C">
      <w:pPr>
        <w:pStyle w:val="ListParagraph"/>
        <w:numPr>
          <w:ilvl w:val="0"/>
          <w:numId w:val="1"/>
        </w:numPr>
        <w:spacing w:after="80" w:line="360" w:lineRule="auto"/>
        <w:jc w:val="both"/>
        <w:rPr>
          <w:sz w:val="24"/>
          <w:szCs w:val="24"/>
        </w:rPr>
      </w:pPr>
      <w:r w:rsidRPr="006D488C">
        <w:rPr>
          <w:sz w:val="24"/>
          <w:szCs w:val="24"/>
        </w:rPr>
        <w:t>Reminders are a poor use of resources for low-risk patients (near-zero effect) but a genuinely useful intervention</w:t>
      </w:r>
      <w:r w:rsidRPr="006D488C">
        <w:rPr>
          <w:sz w:val="24"/>
          <w:szCs w:val="24"/>
        </w:rPr>
        <w:t xml:space="preserve"> for any patient carrying at least one risk factor (4.9–</w:t>
      </w:r>
      <w:proofErr w:type="gramStart"/>
      <w:r w:rsidRPr="006D488C">
        <w:rPr>
          <w:sz w:val="24"/>
          <w:szCs w:val="24"/>
        </w:rPr>
        <w:t>6.5 point</w:t>
      </w:r>
      <w:proofErr w:type="gramEnd"/>
      <w:r w:rsidRPr="006D488C">
        <w:rPr>
          <w:sz w:val="24"/>
          <w:szCs w:val="24"/>
        </w:rPr>
        <w:t xml:space="preserve"> improvement).</w:t>
      </w:r>
    </w:p>
    <w:p w14:paraId="0A7D0636" w14:textId="77777777" w:rsidR="005736B1" w:rsidRPr="006D488C" w:rsidRDefault="003F1038" w:rsidP="006D488C">
      <w:pPr>
        <w:pStyle w:val="ListParagraph"/>
        <w:numPr>
          <w:ilvl w:val="0"/>
          <w:numId w:val="1"/>
        </w:numPr>
        <w:spacing w:after="80" w:line="360" w:lineRule="auto"/>
        <w:jc w:val="both"/>
        <w:rPr>
          <w:sz w:val="24"/>
          <w:szCs w:val="24"/>
        </w:rPr>
      </w:pPr>
      <w:r w:rsidRPr="006D488C">
        <w:rPr>
          <w:sz w:val="24"/>
          <w:szCs w:val="24"/>
        </w:rPr>
        <w:t>The highest-risk segment — long lead time and prior no-show history — has a 63.6% no-show rate (n=1,529), more than double the lowest-risk segment's 28.0% (n=715), and represen</w:t>
      </w:r>
      <w:r w:rsidRPr="006D488C">
        <w:rPr>
          <w:sz w:val="24"/>
          <w:szCs w:val="24"/>
        </w:rPr>
        <w:t>ts the single largest, most identifiable target group for intervention.</w:t>
      </w:r>
    </w:p>
    <w:p w14:paraId="7964066D" w14:textId="6E31E7A5" w:rsidR="005736B1" w:rsidRDefault="003F1038">
      <w:pPr>
        <w:pStyle w:val="Heading1"/>
      </w:pPr>
      <w:r>
        <w:t>6. Business Recommendations (Week 6)</w:t>
      </w:r>
    </w:p>
    <w:p w14:paraId="0B908DD8" w14:textId="77777777" w:rsidR="003F1038" w:rsidRPr="003F1038" w:rsidRDefault="003F1038">
      <w:pPr>
        <w:pStyle w:val="Heading1"/>
        <w:rPr>
          <w:sz w:val="22"/>
          <w:szCs w:val="22"/>
        </w:rPr>
      </w:pPr>
    </w:p>
    <w:p w14:paraId="0D578860" w14:textId="77777777" w:rsidR="005736B1" w:rsidRPr="003F1038" w:rsidRDefault="003F1038" w:rsidP="003F1038">
      <w:pPr>
        <w:pStyle w:val="ListParagraph"/>
        <w:numPr>
          <w:ilvl w:val="0"/>
          <w:numId w:val="1"/>
        </w:numPr>
        <w:spacing w:after="80" w:line="360" w:lineRule="auto"/>
        <w:jc w:val="both"/>
        <w:rPr>
          <w:sz w:val="24"/>
          <w:szCs w:val="24"/>
        </w:rPr>
      </w:pPr>
      <w:r w:rsidRPr="003F1038">
        <w:rPr>
          <w:sz w:val="24"/>
          <w:szCs w:val="24"/>
        </w:rPr>
        <w:t xml:space="preserve">Formally adopt the lead-time and prior-history risk flags as validated (not just descriptive) triggers for </w:t>
      </w:r>
      <w:proofErr w:type="spellStart"/>
      <w:r w:rsidRPr="003F1038">
        <w:rPr>
          <w:sz w:val="24"/>
          <w:szCs w:val="24"/>
        </w:rPr>
        <w:t>HealthConnect's</w:t>
      </w:r>
      <w:proofErr w:type="spellEnd"/>
      <w:r w:rsidRPr="003F1038">
        <w:rPr>
          <w:sz w:val="24"/>
          <w:szCs w:val="24"/>
        </w:rPr>
        <w:t xml:space="preserve"> confirmation-call workflow, since both are now statistically confirmed rather than exploratory.</w:t>
      </w:r>
    </w:p>
    <w:p w14:paraId="72177941" w14:textId="77777777" w:rsidR="005736B1" w:rsidRPr="003F1038" w:rsidRDefault="003F1038" w:rsidP="003F1038">
      <w:pPr>
        <w:pStyle w:val="ListParagraph"/>
        <w:numPr>
          <w:ilvl w:val="0"/>
          <w:numId w:val="1"/>
        </w:numPr>
        <w:spacing w:after="80" w:line="360" w:lineRule="auto"/>
        <w:jc w:val="both"/>
        <w:rPr>
          <w:sz w:val="24"/>
          <w:szCs w:val="24"/>
        </w:rPr>
      </w:pPr>
      <w:r w:rsidRPr="003F1038">
        <w:rPr>
          <w:sz w:val="24"/>
          <w:szCs w:val="24"/>
        </w:rPr>
        <w:t>Do not build a separate "combined ris</w:t>
      </w:r>
      <w:r w:rsidRPr="003F1038">
        <w:rPr>
          <w:sz w:val="24"/>
          <w:szCs w:val="24"/>
        </w:rPr>
        <w:t>k" protocol — since the effects are additive, applying both interventions independently to any patient who qualifies for either is sufficient and simpler to implement operationally.</w:t>
      </w:r>
    </w:p>
    <w:p w14:paraId="09939D2A" w14:textId="77777777" w:rsidR="005736B1" w:rsidRPr="003F1038" w:rsidRDefault="003F1038" w:rsidP="003F1038">
      <w:pPr>
        <w:pStyle w:val="ListParagraph"/>
        <w:numPr>
          <w:ilvl w:val="0"/>
          <w:numId w:val="1"/>
        </w:numPr>
        <w:spacing w:after="80" w:line="360" w:lineRule="auto"/>
        <w:jc w:val="both"/>
        <w:rPr>
          <w:sz w:val="24"/>
          <w:szCs w:val="24"/>
        </w:rPr>
      </w:pPr>
      <w:r w:rsidRPr="003F1038">
        <w:rPr>
          <w:sz w:val="24"/>
          <w:szCs w:val="24"/>
        </w:rPr>
        <w:t xml:space="preserve">Redirect reminder spend away from the lowest-risk segment (short lead, no </w:t>
      </w:r>
      <w:r w:rsidRPr="003F1038">
        <w:rPr>
          <w:sz w:val="24"/>
          <w:szCs w:val="24"/>
        </w:rPr>
        <w:t>prior no-shows), where reminders currently show almost no measurable benefit, toward the three higher-risk segments where each reminder delivers a real, quantifiable improvement.</w:t>
      </w:r>
    </w:p>
    <w:p w14:paraId="7F01131E" w14:textId="33AB5BAC" w:rsidR="005736B1" w:rsidRDefault="003F1038" w:rsidP="003F1038">
      <w:pPr>
        <w:pStyle w:val="ListParagraph"/>
        <w:numPr>
          <w:ilvl w:val="0"/>
          <w:numId w:val="1"/>
        </w:numPr>
        <w:spacing w:after="80" w:line="360" w:lineRule="auto"/>
        <w:jc w:val="both"/>
        <w:rPr>
          <w:sz w:val="24"/>
          <w:szCs w:val="24"/>
        </w:rPr>
      </w:pPr>
      <w:r w:rsidRPr="003F1038">
        <w:rPr>
          <w:sz w:val="24"/>
          <w:szCs w:val="24"/>
        </w:rPr>
        <w:t xml:space="preserve">Prioritise the 1,529 patients in the highest-risk segment (long lead + prior </w:t>
      </w:r>
      <w:r w:rsidRPr="003F1038">
        <w:rPr>
          <w:sz w:val="24"/>
          <w:szCs w:val="24"/>
        </w:rPr>
        <w:t>no-shows) for the highest-touch intervention (phone confirmation), since this is the largest single high-impact group identified across all analysis to date.</w:t>
      </w:r>
    </w:p>
    <w:p w14:paraId="4FE8A582" w14:textId="2B2245C4" w:rsidR="003F1038" w:rsidRDefault="003F1038" w:rsidP="003F1038">
      <w:pPr>
        <w:pStyle w:val="ListParagraph"/>
        <w:spacing w:after="80" w:line="360" w:lineRule="auto"/>
        <w:ind w:left="720"/>
        <w:jc w:val="both"/>
        <w:rPr>
          <w:sz w:val="24"/>
          <w:szCs w:val="24"/>
        </w:rPr>
      </w:pPr>
    </w:p>
    <w:p w14:paraId="5CDB4C5D" w14:textId="77777777" w:rsidR="003F1038" w:rsidRPr="003F1038" w:rsidRDefault="003F1038" w:rsidP="003F1038">
      <w:pPr>
        <w:pStyle w:val="ListParagraph"/>
        <w:spacing w:after="80" w:line="360" w:lineRule="auto"/>
        <w:ind w:left="720"/>
        <w:jc w:val="both"/>
        <w:rPr>
          <w:sz w:val="24"/>
          <w:szCs w:val="24"/>
        </w:rPr>
      </w:pPr>
    </w:p>
    <w:p w14:paraId="6747754F" w14:textId="640D75A8" w:rsidR="005736B1" w:rsidRDefault="003F1038">
      <w:pPr>
        <w:pStyle w:val="Heading1"/>
      </w:pPr>
      <w:r>
        <w:lastRenderedPageBreak/>
        <w:t>7. Data Limitations</w:t>
      </w:r>
    </w:p>
    <w:p w14:paraId="7367A11E" w14:textId="77777777" w:rsidR="003F1038" w:rsidRPr="003F1038" w:rsidRDefault="003F1038">
      <w:pPr>
        <w:pStyle w:val="Heading1"/>
        <w:rPr>
          <w:sz w:val="20"/>
          <w:szCs w:val="20"/>
        </w:rPr>
      </w:pPr>
    </w:p>
    <w:p w14:paraId="3B6C4B04" w14:textId="77777777" w:rsidR="005736B1" w:rsidRPr="003F1038" w:rsidRDefault="003F1038" w:rsidP="003F1038">
      <w:pPr>
        <w:pStyle w:val="ListParagraph"/>
        <w:numPr>
          <w:ilvl w:val="0"/>
          <w:numId w:val="1"/>
        </w:numPr>
        <w:spacing w:after="80" w:line="360" w:lineRule="auto"/>
        <w:jc w:val="both"/>
        <w:rPr>
          <w:sz w:val="24"/>
          <w:szCs w:val="24"/>
        </w:rPr>
      </w:pPr>
      <w:r w:rsidRPr="003F1038">
        <w:rPr>
          <w:sz w:val="24"/>
          <w:szCs w:val="24"/>
        </w:rPr>
        <w:t>This remains descriptive/associational analysis; the logistic regression AUC o</w:t>
      </w:r>
      <w:r w:rsidRPr="003F1038">
        <w:rPr>
          <w:sz w:val="24"/>
          <w:szCs w:val="24"/>
        </w:rPr>
        <w:t>f 0.679 indicates lead time and prior history are meaningful but incomplete predictors — other unmeasured factors (</w:t>
      </w:r>
      <w:proofErr w:type="gramStart"/>
      <w:r w:rsidRPr="003F1038">
        <w:rPr>
          <w:sz w:val="24"/>
          <w:szCs w:val="24"/>
        </w:rPr>
        <w:t>e.g.</w:t>
      </w:r>
      <w:proofErr w:type="gramEnd"/>
      <w:r w:rsidRPr="003F1038">
        <w:rPr>
          <w:sz w:val="24"/>
          <w:szCs w:val="24"/>
        </w:rPr>
        <w:t xml:space="preserve"> patient-reported barriers) likely also matter.</w:t>
      </w:r>
    </w:p>
    <w:p w14:paraId="4486A0D5" w14:textId="77777777" w:rsidR="005736B1" w:rsidRPr="003F1038" w:rsidRDefault="003F1038" w:rsidP="003F1038">
      <w:pPr>
        <w:pStyle w:val="ListParagraph"/>
        <w:numPr>
          <w:ilvl w:val="0"/>
          <w:numId w:val="1"/>
        </w:numPr>
        <w:spacing w:after="80" w:line="360" w:lineRule="auto"/>
        <w:jc w:val="both"/>
        <w:rPr>
          <w:sz w:val="24"/>
          <w:szCs w:val="24"/>
        </w:rPr>
      </w:pPr>
      <w:r w:rsidRPr="003F1038">
        <w:rPr>
          <w:sz w:val="24"/>
          <w:szCs w:val="24"/>
        </w:rPr>
        <w:t>The interaction test rules out a specific form of compounding (multiplicative interaction in a logistic model); it does not rule out all possible non-linear relationships between the two variables.</w:t>
      </w:r>
    </w:p>
    <w:p w14:paraId="7BD4F70C" w14:textId="77777777" w:rsidR="005736B1" w:rsidRPr="003F1038" w:rsidRDefault="003F1038" w:rsidP="003F1038">
      <w:pPr>
        <w:pStyle w:val="ListParagraph"/>
        <w:numPr>
          <w:ilvl w:val="0"/>
          <w:numId w:val="1"/>
        </w:numPr>
        <w:spacing w:after="80" w:line="360" w:lineRule="auto"/>
        <w:jc w:val="both"/>
        <w:rPr>
          <w:sz w:val="24"/>
          <w:szCs w:val="24"/>
        </w:rPr>
      </w:pPr>
      <w:r w:rsidRPr="003F1038">
        <w:rPr>
          <w:sz w:val="24"/>
          <w:szCs w:val="24"/>
        </w:rPr>
        <w:t xml:space="preserve">Distance to clinic and waiting time missingness (1.8% and </w:t>
      </w:r>
      <w:r w:rsidRPr="003F1038">
        <w:rPr>
          <w:sz w:val="24"/>
          <w:szCs w:val="24"/>
        </w:rPr>
        <w:t>1.2% respectively) remain as documented in Week 5 and did not affect this week's analysis, which did not use those fields.</w:t>
      </w:r>
    </w:p>
    <w:p w14:paraId="3416883D" w14:textId="50FB2E17" w:rsidR="005736B1" w:rsidRDefault="003F1038" w:rsidP="003F1038">
      <w:pPr>
        <w:pStyle w:val="ListParagraph"/>
        <w:numPr>
          <w:ilvl w:val="0"/>
          <w:numId w:val="1"/>
        </w:numPr>
        <w:spacing w:after="80" w:line="360" w:lineRule="auto"/>
        <w:jc w:val="both"/>
        <w:rPr>
          <w:sz w:val="24"/>
          <w:szCs w:val="24"/>
        </w:rPr>
      </w:pPr>
      <w:r w:rsidRPr="003F1038">
        <w:rPr>
          <w:sz w:val="24"/>
          <w:szCs w:val="24"/>
        </w:rPr>
        <w:t xml:space="preserve">The reminder-effectiveness-by-segment finding is observational: patients who receive reminders are not randomly assigned, so some of </w:t>
      </w:r>
      <w:r w:rsidRPr="003F1038">
        <w:rPr>
          <w:sz w:val="24"/>
          <w:szCs w:val="24"/>
        </w:rPr>
        <w:t>the observed improvement could reflect other differences between reminded and non-reminded patients rather than the reminder itself.</w:t>
      </w:r>
    </w:p>
    <w:p w14:paraId="4F23FEAC" w14:textId="77777777" w:rsidR="003F1038" w:rsidRPr="003F1038" w:rsidRDefault="003F1038" w:rsidP="003F1038">
      <w:pPr>
        <w:pStyle w:val="ListParagraph"/>
        <w:spacing w:after="80" w:line="360" w:lineRule="auto"/>
        <w:ind w:left="720"/>
        <w:jc w:val="both"/>
        <w:rPr>
          <w:sz w:val="10"/>
          <w:szCs w:val="10"/>
        </w:rPr>
      </w:pPr>
    </w:p>
    <w:p w14:paraId="5F754FD2" w14:textId="77777777" w:rsidR="005736B1" w:rsidRDefault="003F1038">
      <w:pPr>
        <w:pStyle w:val="Heading1"/>
      </w:pPr>
      <w:r>
        <w:t>8. Cross-Track Contribution</w:t>
      </w:r>
    </w:p>
    <w:p w14:paraId="67214871" w14:textId="77777777" w:rsidR="003F1038" w:rsidRPr="003F1038" w:rsidRDefault="003F1038">
      <w:pPr>
        <w:spacing w:after="150"/>
        <w:rPr>
          <w:b/>
          <w:bCs/>
          <w:sz w:val="6"/>
          <w:szCs w:val="6"/>
        </w:rPr>
      </w:pPr>
    </w:p>
    <w:p w14:paraId="328405F4" w14:textId="0678E622" w:rsidR="005736B1" w:rsidRPr="003F1038" w:rsidRDefault="003F1038" w:rsidP="003F1038">
      <w:pPr>
        <w:spacing w:after="150" w:line="360" w:lineRule="auto"/>
        <w:jc w:val="both"/>
        <w:rPr>
          <w:sz w:val="24"/>
          <w:szCs w:val="24"/>
        </w:rPr>
      </w:pPr>
      <w:r w:rsidRPr="003F1038">
        <w:rPr>
          <w:b/>
          <w:bCs/>
          <w:sz w:val="24"/>
          <w:szCs w:val="24"/>
        </w:rPr>
        <w:t xml:space="preserve">Track collaborated with: </w:t>
      </w:r>
      <w:r w:rsidRPr="003F1038">
        <w:rPr>
          <w:sz w:val="24"/>
          <w:szCs w:val="24"/>
        </w:rPr>
        <w:t>Project Management.</w:t>
      </w:r>
    </w:p>
    <w:p w14:paraId="0DE5333E" w14:textId="77777777" w:rsidR="005736B1" w:rsidRPr="003F1038" w:rsidRDefault="003F1038" w:rsidP="003F1038">
      <w:pPr>
        <w:spacing w:after="150" w:line="360" w:lineRule="auto"/>
        <w:jc w:val="both"/>
        <w:rPr>
          <w:sz w:val="24"/>
          <w:szCs w:val="24"/>
        </w:rPr>
      </w:pPr>
      <w:r w:rsidRPr="003F1038">
        <w:rPr>
          <w:b/>
          <w:bCs/>
          <w:sz w:val="24"/>
          <w:szCs w:val="24"/>
        </w:rPr>
        <w:t xml:space="preserve">Project dependency: </w:t>
      </w:r>
      <w:r w:rsidRPr="003F1038">
        <w:rPr>
          <w:sz w:val="24"/>
          <w:szCs w:val="24"/>
        </w:rPr>
        <w:t>PM required a validated analyt</w:t>
      </w:r>
      <w:r w:rsidRPr="003F1038">
        <w:rPr>
          <w:sz w:val="24"/>
          <w:szCs w:val="24"/>
        </w:rPr>
        <w:t>ical input to prioritise Week 6 integration controls and Week 7 testing/refinement preparation (Integration Register item DINT-006).</w:t>
      </w:r>
    </w:p>
    <w:p w14:paraId="2CEB7D95" w14:textId="39CEC841" w:rsidR="005736B1" w:rsidRPr="003F1038" w:rsidRDefault="003F1038" w:rsidP="003F1038">
      <w:pPr>
        <w:spacing w:after="150" w:line="360" w:lineRule="auto"/>
        <w:jc w:val="both"/>
        <w:rPr>
          <w:sz w:val="24"/>
          <w:szCs w:val="24"/>
        </w:rPr>
      </w:pPr>
      <w:r w:rsidRPr="003F1038">
        <w:rPr>
          <w:b/>
          <w:bCs/>
          <w:sz w:val="24"/>
          <w:szCs w:val="24"/>
        </w:rPr>
        <w:t>Information/output</w:t>
      </w:r>
      <w:r>
        <w:rPr>
          <w:b/>
          <w:bCs/>
          <w:sz w:val="24"/>
          <w:szCs w:val="24"/>
        </w:rPr>
        <w:t xml:space="preserve"> </w:t>
      </w:r>
      <w:r w:rsidRPr="003F1038">
        <w:rPr>
          <w:b/>
          <w:bCs/>
          <w:sz w:val="24"/>
          <w:szCs w:val="24"/>
        </w:rPr>
        <w:t>provided:</w:t>
      </w:r>
      <w:r>
        <w:rPr>
          <w:b/>
          <w:bCs/>
          <w:sz w:val="24"/>
          <w:szCs w:val="24"/>
        </w:rPr>
        <w:t xml:space="preserve"> </w:t>
      </w:r>
      <w:r w:rsidRPr="003F1038">
        <w:rPr>
          <w:sz w:val="24"/>
          <w:szCs w:val="24"/>
        </w:rPr>
        <w:t>T</w:t>
      </w:r>
      <w:r w:rsidRPr="003F1038">
        <w:rPr>
          <w:sz w:val="24"/>
          <w:szCs w:val="24"/>
        </w:rPr>
        <w:t xml:space="preserve">he Week 5 </w:t>
      </w:r>
      <w:proofErr w:type="spellStart"/>
      <w:r w:rsidRPr="003F1038">
        <w:rPr>
          <w:sz w:val="24"/>
          <w:szCs w:val="24"/>
        </w:rPr>
        <w:t>HealthConnect</w:t>
      </w:r>
      <w:proofErr w:type="spellEnd"/>
      <w:r w:rsidRPr="003F1038">
        <w:rPr>
          <w:sz w:val="24"/>
          <w:szCs w:val="24"/>
        </w:rPr>
        <w:t xml:space="preserve"> analysis (</w:t>
      </w:r>
      <w:proofErr w:type="spellStart"/>
      <w:r w:rsidRPr="003F1038">
        <w:rPr>
          <w:sz w:val="24"/>
          <w:szCs w:val="24"/>
        </w:rPr>
        <w:t>Initial_HealthConnect_Analytics_Report</w:t>
      </w:r>
      <w:proofErr w:type="spellEnd"/>
      <w:r w:rsidRPr="003F1038">
        <w:rPr>
          <w:sz w:val="24"/>
          <w:szCs w:val="24"/>
        </w:rPr>
        <w:t>), including the conf</w:t>
      </w:r>
      <w:r w:rsidRPr="003F1038">
        <w:rPr>
          <w:sz w:val="24"/>
          <w:szCs w:val="24"/>
        </w:rPr>
        <w:t>irmed finding that booking lead time and prior no-show history are the two strongest behavioural drivers, with appointment type shown as comparatively weak.</w:t>
      </w:r>
    </w:p>
    <w:p w14:paraId="613D8F79" w14:textId="77777777" w:rsidR="005736B1" w:rsidRPr="003F1038" w:rsidRDefault="003F1038" w:rsidP="003F1038">
      <w:pPr>
        <w:spacing w:after="150" w:line="360" w:lineRule="auto"/>
        <w:jc w:val="both"/>
        <w:rPr>
          <w:sz w:val="24"/>
          <w:szCs w:val="24"/>
        </w:rPr>
      </w:pPr>
      <w:r w:rsidRPr="003F1038">
        <w:rPr>
          <w:b/>
          <w:bCs/>
          <w:sz w:val="24"/>
          <w:szCs w:val="24"/>
        </w:rPr>
        <w:t xml:space="preserve">Information/output received: </w:t>
      </w:r>
      <w:r w:rsidRPr="003F1038">
        <w:rPr>
          <w:sz w:val="24"/>
          <w:szCs w:val="24"/>
        </w:rPr>
        <w:t xml:space="preserve">PM's integration context, dependency and risk framing, and the Week 7 </w:t>
      </w:r>
      <w:r w:rsidRPr="003F1038">
        <w:rPr>
          <w:sz w:val="24"/>
          <w:szCs w:val="24"/>
        </w:rPr>
        <w:t>testing/refinement coordination requirements that this analysis now feeds into.</w:t>
      </w:r>
    </w:p>
    <w:p w14:paraId="11B606B4" w14:textId="77777777" w:rsidR="005736B1" w:rsidRPr="003F1038" w:rsidRDefault="003F1038" w:rsidP="003F1038">
      <w:pPr>
        <w:spacing w:after="150" w:line="360" w:lineRule="auto"/>
        <w:jc w:val="both"/>
        <w:rPr>
          <w:sz w:val="24"/>
          <w:szCs w:val="24"/>
        </w:rPr>
      </w:pPr>
      <w:r w:rsidRPr="003F1038">
        <w:rPr>
          <w:b/>
          <w:bCs/>
          <w:sz w:val="24"/>
          <w:szCs w:val="24"/>
        </w:rPr>
        <w:t xml:space="preserve">Integration activity completed: </w:t>
      </w:r>
      <w:r w:rsidRPr="003F1038">
        <w:rPr>
          <w:sz w:val="24"/>
          <w:szCs w:val="24"/>
        </w:rPr>
        <w:t xml:space="preserve">PM reviewed the Week 5 analysis against the </w:t>
      </w:r>
      <w:proofErr w:type="spellStart"/>
      <w:r w:rsidRPr="003F1038">
        <w:rPr>
          <w:sz w:val="24"/>
          <w:szCs w:val="24"/>
        </w:rPr>
        <w:t>HealthConnect</w:t>
      </w:r>
      <w:proofErr w:type="spellEnd"/>
      <w:r w:rsidRPr="003F1038">
        <w:rPr>
          <w:sz w:val="24"/>
          <w:szCs w:val="24"/>
        </w:rPr>
        <w:t xml:space="preserve"> objective and logged it in the Integration &amp; Dependency Register (DINT-001, DINT-006) </w:t>
      </w:r>
      <w:r w:rsidRPr="003F1038">
        <w:rPr>
          <w:sz w:val="24"/>
          <w:szCs w:val="24"/>
        </w:rPr>
        <w:t xml:space="preserve">and </w:t>
      </w:r>
      <w:r w:rsidRPr="003F1038">
        <w:rPr>
          <w:sz w:val="24"/>
          <w:szCs w:val="24"/>
        </w:rPr>
        <w:lastRenderedPageBreak/>
        <w:t>Cross-Track Coordination log (CTR-001) as a completed Data Analytics → PM integration point, status "Completed – PM Integration."</w:t>
      </w:r>
    </w:p>
    <w:p w14:paraId="0F2BD088" w14:textId="77777777" w:rsidR="005736B1" w:rsidRPr="003F1038" w:rsidRDefault="003F1038" w:rsidP="003F1038">
      <w:pPr>
        <w:spacing w:after="150" w:line="360" w:lineRule="auto"/>
        <w:jc w:val="both"/>
        <w:rPr>
          <w:sz w:val="24"/>
          <w:szCs w:val="24"/>
        </w:rPr>
      </w:pPr>
      <w:r w:rsidRPr="003F1038">
        <w:rPr>
          <w:b/>
          <w:bCs/>
          <w:sz w:val="24"/>
          <w:szCs w:val="24"/>
        </w:rPr>
        <w:t xml:space="preserve">What changed as a result: </w:t>
      </w:r>
      <w:r w:rsidRPr="003F1038">
        <w:rPr>
          <w:sz w:val="24"/>
          <w:szCs w:val="24"/>
        </w:rPr>
        <w:t>the Week 5 findings are now a documented, evidence-based input to PM's integration priorities an</w:t>
      </w:r>
      <w:r w:rsidRPr="003F1038">
        <w:rPr>
          <w:sz w:val="24"/>
          <w:szCs w:val="24"/>
        </w:rPr>
        <w:t>d Week 7 testing preparation, rather than an isolated track deliverable. In return, this Week 6 report's validation and interaction analysis was scoped with PM's Week 7 testing/refinement requirements in mind, so the statistically confirmed drivers and seg</w:t>
      </w:r>
      <w:r w:rsidRPr="003F1038">
        <w:rPr>
          <w:sz w:val="24"/>
          <w:szCs w:val="24"/>
        </w:rPr>
        <w:t>ment targeting are ready to be cited as evidence in PM's readiness assessment.</w:t>
      </w:r>
    </w:p>
    <w:p w14:paraId="1EEB9A2B" w14:textId="3C7694E0" w:rsidR="005736B1" w:rsidRDefault="003F1038" w:rsidP="003F1038">
      <w:pPr>
        <w:spacing w:after="150" w:line="360" w:lineRule="auto"/>
        <w:jc w:val="both"/>
        <w:rPr>
          <w:sz w:val="24"/>
          <w:szCs w:val="24"/>
        </w:rPr>
      </w:pPr>
      <w:r w:rsidRPr="003F1038">
        <w:rPr>
          <w:b/>
          <w:bCs/>
          <w:sz w:val="24"/>
          <w:szCs w:val="24"/>
        </w:rPr>
        <w:t xml:space="preserve">Evidence: </w:t>
      </w:r>
      <w:r w:rsidRPr="003F1038">
        <w:rPr>
          <w:sz w:val="24"/>
          <w:szCs w:val="24"/>
        </w:rPr>
        <w:t>HealthConnect_Week6_PM_Integration_Tracker.xlsx (Integration Register rows DINT-001/DINT-006; Cross-Track Coordination row CTR-001) and HealthConnect_Week6_Project_Int</w:t>
      </w:r>
      <w:r w:rsidRPr="003F1038">
        <w:rPr>
          <w:sz w:val="24"/>
          <w:szCs w:val="24"/>
        </w:rPr>
        <w:t>egration_Report.docx, Sections 3 and 5.</w:t>
      </w:r>
    </w:p>
    <w:p w14:paraId="2C3A3B21" w14:textId="77777777" w:rsidR="003F1038" w:rsidRPr="003F1038" w:rsidRDefault="003F1038" w:rsidP="003F1038">
      <w:pPr>
        <w:spacing w:after="150" w:line="360" w:lineRule="auto"/>
        <w:jc w:val="both"/>
        <w:rPr>
          <w:sz w:val="6"/>
          <w:szCs w:val="6"/>
        </w:rPr>
      </w:pPr>
    </w:p>
    <w:p w14:paraId="4F863644" w14:textId="4CE536E9" w:rsidR="005736B1" w:rsidRDefault="003F1038">
      <w:pPr>
        <w:pStyle w:val="Heading1"/>
      </w:pPr>
      <w:r>
        <w:t>9. Week 7 Analytical Testing Requirements</w:t>
      </w:r>
    </w:p>
    <w:p w14:paraId="1078658F" w14:textId="77777777" w:rsidR="003F1038" w:rsidRPr="003F1038" w:rsidRDefault="003F1038">
      <w:pPr>
        <w:pStyle w:val="Heading1"/>
        <w:rPr>
          <w:sz w:val="16"/>
          <w:szCs w:val="16"/>
        </w:rPr>
      </w:pPr>
    </w:p>
    <w:p w14:paraId="6ADCB5F4" w14:textId="77777777" w:rsidR="005736B1" w:rsidRPr="003F1038" w:rsidRDefault="003F1038" w:rsidP="003F1038">
      <w:pPr>
        <w:pStyle w:val="ListParagraph"/>
        <w:numPr>
          <w:ilvl w:val="0"/>
          <w:numId w:val="1"/>
        </w:numPr>
        <w:spacing w:after="80" w:line="360" w:lineRule="auto"/>
        <w:jc w:val="both"/>
        <w:rPr>
          <w:sz w:val="24"/>
          <w:szCs w:val="24"/>
        </w:rPr>
      </w:pPr>
      <w:r w:rsidRPr="003F1038">
        <w:rPr>
          <w:sz w:val="24"/>
          <w:szCs w:val="24"/>
        </w:rPr>
        <w:t>Test the validated risk-segment findings against a held-out slice of data (</w:t>
      </w:r>
      <w:proofErr w:type="gramStart"/>
      <w:r w:rsidRPr="003F1038">
        <w:rPr>
          <w:sz w:val="24"/>
          <w:szCs w:val="24"/>
        </w:rPr>
        <w:t>e.g.</w:t>
      </w:r>
      <w:proofErr w:type="gramEnd"/>
      <w:r w:rsidRPr="003F1038">
        <w:rPr>
          <w:sz w:val="24"/>
          <w:szCs w:val="24"/>
        </w:rPr>
        <w:t xml:space="preserve"> most recent month) to check the patterns generalise rather than being specific to this dataset</w:t>
      </w:r>
      <w:r w:rsidRPr="003F1038">
        <w:rPr>
          <w:sz w:val="24"/>
          <w:szCs w:val="24"/>
        </w:rPr>
        <w:t xml:space="preserve"> snapshot.</w:t>
      </w:r>
    </w:p>
    <w:p w14:paraId="303D3705" w14:textId="77777777" w:rsidR="005736B1" w:rsidRPr="003F1038" w:rsidRDefault="003F1038" w:rsidP="003F1038">
      <w:pPr>
        <w:pStyle w:val="ListParagraph"/>
        <w:numPr>
          <w:ilvl w:val="0"/>
          <w:numId w:val="1"/>
        </w:numPr>
        <w:spacing w:after="80" w:line="360" w:lineRule="auto"/>
        <w:jc w:val="both"/>
        <w:rPr>
          <w:sz w:val="24"/>
          <w:szCs w:val="24"/>
        </w:rPr>
      </w:pPr>
      <w:r w:rsidRPr="003F1038">
        <w:rPr>
          <w:sz w:val="24"/>
          <w:szCs w:val="24"/>
        </w:rPr>
        <w:t>Formally evaluate the reminder-by-segment finding for confounding (</w:t>
      </w:r>
      <w:proofErr w:type="gramStart"/>
      <w:r w:rsidRPr="003F1038">
        <w:rPr>
          <w:sz w:val="24"/>
          <w:szCs w:val="24"/>
        </w:rPr>
        <w:t>e.g.</w:t>
      </w:r>
      <w:proofErr w:type="gramEnd"/>
      <w:r w:rsidRPr="003F1038">
        <w:rPr>
          <w:sz w:val="24"/>
          <w:szCs w:val="24"/>
        </w:rPr>
        <w:t xml:space="preserve"> do higher-risk patients simply get reminded less often for unrelated reasons?) using a more controlled comparison if additional fields become available.</w:t>
      </w:r>
    </w:p>
    <w:p w14:paraId="37748B84" w14:textId="77777777" w:rsidR="005736B1" w:rsidRPr="003F1038" w:rsidRDefault="003F1038" w:rsidP="003F1038">
      <w:pPr>
        <w:pStyle w:val="ListParagraph"/>
        <w:numPr>
          <w:ilvl w:val="0"/>
          <w:numId w:val="1"/>
        </w:numPr>
        <w:spacing w:after="80" w:line="360" w:lineRule="auto"/>
        <w:jc w:val="both"/>
        <w:rPr>
          <w:sz w:val="24"/>
          <w:szCs w:val="24"/>
        </w:rPr>
      </w:pPr>
      <w:r w:rsidRPr="003F1038">
        <w:rPr>
          <w:sz w:val="24"/>
          <w:szCs w:val="24"/>
        </w:rPr>
        <w:t xml:space="preserve">Coordinate with the </w:t>
      </w:r>
      <w:r w:rsidRPr="003F1038">
        <w:rPr>
          <w:sz w:val="24"/>
          <w:szCs w:val="24"/>
        </w:rPr>
        <w:t xml:space="preserve">Data Science track to confirm whether their model's feature </w:t>
      </w:r>
      <w:proofErr w:type="spellStart"/>
      <w:r w:rsidRPr="003F1038">
        <w:rPr>
          <w:sz w:val="24"/>
          <w:szCs w:val="24"/>
        </w:rPr>
        <w:t>importances</w:t>
      </w:r>
      <w:proofErr w:type="spellEnd"/>
      <w:r w:rsidRPr="003F1038">
        <w:rPr>
          <w:sz w:val="24"/>
          <w:szCs w:val="24"/>
        </w:rPr>
        <w:t xml:space="preserve"> corroborate the additive (non-interacting) relationship found here, since this affects whether their model should include an explicit interaction feature.</w:t>
      </w:r>
    </w:p>
    <w:p w14:paraId="0D19127C" w14:textId="77777777" w:rsidR="005736B1" w:rsidRPr="003F1038" w:rsidRDefault="003F1038" w:rsidP="003F1038">
      <w:pPr>
        <w:pStyle w:val="ListParagraph"/>
        <w:numPr>
          <w:ilvl w:val="0"/>
          <w:numId w:val="1"/>
        </w:numPr>
        <w:spacing w:after="80" w:line="360" w:lineRule="auto"/>
        <w:jc w:val="both"/>
        <w:rPr>
          <w:sz w:val="24"/>
          <w:szCs w:val="24"/>
        </w:rPr>
      </w:pPr>
      <w:r w:rsidRPr="003F1038">
        <w:rPr>
          <w:sz w:val="24"/>
          <w:szCs w:val="24"/>
        </w:rPr>
        <w:t>Provide the finalised risk-se</w:t>
      </w:r>
      <w:r w:rsidRPr="003F1038">
        <w:rPr>
          <w:sz w:val="24"/>
          <w:szCs w:val="24"/>
        </w:rPr>
        <w:t>gment definitions to Project Management for inclusion in the Week 7 testing/refinement readiness criteria.</w:t>
      </w:r>
    </w:p>
    <w:sectPr w:rsidR="005736B1" w:rsidRPr="003F103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D4A81"/>
    <w:multiLevelType w:val="hybridMultilevel"/>
    <w:tmpl w:val="D93C58F8"/>
    <w:lvl w:ilvl="0" w:tplc="810E6344">
      <w:start w:val="1"/>
      <w:numFmt w:val="bullet"/>
      <w:lvlText w:val="●"/>
      <w:lvlJc w:val="left"/>
      <w:pPr>
        <w:ind w:left="720" w:hanging="360"/>
      </w:pPr>
    </w:lvl>
    <w:lvl w:ilvl="1" w:tplc="9112E788">
      <w:start w:val="1"/>
      <w:numFmt w:val="bullet"/>
      <w:lvlText w:val="○"/>
      <w:lvlJc w:val="left"/>
      <w:pPr>
        <w:ind w:left="1440" w:hanging="360"/>
      </w:pPr>
    </w:lvl>
    <w:lvl w:ilvl="2" w:tplc="0BC8423C">
      <w:start w:val="1"/>
      <w:numFmt w:val="bullet"/>
      <w:lvlText w:val="■"/>
      <w:lvlJc w:val="left"/>
      <w:pPr>
        <w:ind w:left="2160" w:hanging="360"/>
      </w:pPr>
    </w:lvl>
    <w:lvl w:ilvl="3" w:tplc="4F8E9244">
      <w:start w:val="1"/>
      <w:numFmt w:val="bullet"/>
      <w:lvlText w:val="●"/>
      <w:lvlJc w:val="left"/>
      <w:pPr>
        <w:ind w:left="2880" w:hanging="360"/>
      </w:pPr>
    </w:lvl>
    <w:lvl w:ilvl="4" w:tplc="A6E2990A">
      <w:start w:val="1"/>
      <w:numFmt w:val="bullet"/>
      <w:lvlText w:val="○"/>
      <w:lvlJc w:val="left"/>
      <w:pPr>
        <w:ind w:left="3600" w:hanging="360"/>
      </w:pPr>
    </w:lvl>
    <w:lvl w:ilvl="5" w:tplc="7DB8A18C">
      <w:start w:val="1"/>
      <w:numFmt w:val="bullet"/>
      <w:lvlText w:val="■"/>
      <w:lvlJc w:val="left"/>
      <w:pPr>
        <w:ind w:left="4320" w:hanging="360"/>
      </w:pPr>
    </w:lvl>
    <w:lvl w:ilvl="6" w:tplc="DE6EB288">
      <w:start w:val="1"/>
      <w:numFmt w:val="bullet"/>
      <w:lvlText w:val="●"/>
      <w:lvlJc w:val="left"/>
      <w:pPr>
        <w:ind w:left="5040" w:hanging="360"/>
      </w:pPr>
    </w:lvl>
    <w:lvl w:ilvl="7" w:tplc="BE60EDDE">
      <w:start w:val="1"/>
      <w:numFmt w:val="bullet"/>
      <w:lvlText w:val="●"/>
      <w:lvlJc w:val="left"/>
      <w:pPr>
        <w:ind w:left="5760" w:hanging="360"/>
      </w:pPr>
    </w:lvl>
    <w:lvl w:ilvl="8" w:tplc="E0D84D0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6B1"/>
    <w:rsid w:val="003F1038"/>
    <w:rsid w:val="005736B1"/>
    <w:rsid w:val="006D48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9B101"/>
  <w15:docId w15:val="{FDA45C2D-F2A7-42B5-8C8B-B252037FE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1701</Words>
  <Characters>9698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frin account</cp:lastModifiedBy>
  <cp:revision>2</cp:revision>
  <dcterms:created xsi:type="dcterms:W3CDTF">2026-09-11T22:46:00Z</dcterms:created>
  <dcterms:modified xsi:type="dcterms:W3CDTF">2026-09-12T17:14:00Z</dcterms:modified>
</cp:coreProperties>
</file>