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F3244" w14:textId="77777777" w:rsidR="00B35C91" w:rsidRDefault="00DA75A6">
      <w:pPr>
        <w:spacing w:after="80"/>
      </w:pPr>
      <w:proofErr w:type="spellStart"/>
      <w:r>
        <w:rPr>
          <w:b/>
          <w:bCs/>
          <w:color w:val="6A2C70"/>
          <w:sz w:val="33"/>
          <w:szCs w:val="33"/>
        </w:rPr>
        <w:t>HealthConnect</w:t>
      </w:r>
      <w:proofErr w:type="spellEnd"/>
      <w:r>
        <w:rPr>
          <w:b/>
          <w:bCs/>
          <w:color w:val="6A2C70"/>
          <w:sz w:val="33"/>
          <w:szCs w:val="33"/>
        </w:rPr>
        <w:t xml:space="preserve"> Analytics Testing &amp; Refinement Report</w:t>
      </w:r>
    </w:p>
    <w:p w14:paraId="35C851EA" w14:textId="77777777" w:rsidR="00B35C91" w:rsidRDefault="00DA75A6">
      <w:pPr>
        <w:spacing w:after="40"/>
      </w:pPr>
      <w:proofErr w:type="spellStart"/>
      <w:r>
        <w:rPr>
          <w:color w:val="555555"/>
          <w:sz w:val="22"/>
          <w:szCs w:val="22"/>
        </w:rPr>
        <w:t>HealthConnect</w:t>
      </w:r>
      <w:proofErr w:type="spellEnd"/>
      <w:r>
        <w:rPr>
          <w:color w:val="555555"/>
          <w:sz w:val="22"/>
          <w:szCs w:val="22"/>
        </w:rPr>
        <w:t xml:space="preserve"> Clinic — Data Analytics Track</w:t>
      </w:r>
    </w:p>
    <w:p w14:paraId="60FB5778" w14:textId="77777777" w:rsidR="00B35C91" w:rsidRDefault="00DA75A6">
      <w:pPr>
        <w:spacing w:after="20"/>
      </w:pPr>
      <w:proofErr w:type="spellStart"/>
      <w:r>
        <w:rPr>
          <w:color w:val="777777"/>
        </w:rPr>
        <w:t>AnalystLab</w:t>
      </w:r>
      <w:proofErr w:type="spellEnd"/>
      <w:r>
        <w:rPr>
          <w:color w:val="777777"/>
        </w:rPr>
        <w:t xml:space="preserve"> Africa Experience Lab — Week 7</w:t>
      </w:r>
    </w:p>
    <w:p w14:paraId="25579227" w14:textId="77777777" w:rsidR="00B35C91" w:rsidRDefault="00DA75A6">
      <w:pPr>
        <w:spacing w:after="340"/>
      </w:pPr>
      <w:r>
        <w:rPr>
          <w:color w:val="777777"/>
        </w:rPr>
        <w:t xml:space="preserve">Prepared by Oluwatosin </w:t>
      </w:r>
      <w:proofErr w:type="spellStart"/>
      <w:r>
        <w:rPr>
          <w:color w:val="777777"/>
        </w:rPr>
        <w:t>Olusanya</w:t>
      </w:r>
      <w:proofErr w:type="spellEnd"/>
      <w:r>
        <w:rPr>
          <w:color w:val="777777"/>
        </w:rPr>
        <w:t xml:space="preserve">, Data Analyst — </w:t>
      </w:r>
      <w:proofErr w:type="spellStart"/>
      <w:r>
        <w:rPr>
          <w:color w:val="777777"/>
        </w:rPr>
        <w:t>AnalystLab</w:t>
      </w:r>
      <w:proofErr w:type="spellEnd"/>
      <w:r>
        <w:rPr>
          <w:color w:val="777777"/>
        </w:rPr>
        <w:t xml:space="preserve"> Africa</w:t>
      </w:r>
    </w:p>
    <w:p w14:paraId="2B8EA9CD" w14:textId="77777777" w:rsidR="00B35C91" w:rsidRDefault="00DA75A6">
      <w:pPr>
        <w:pStyle w:val="Heading1"/>
        <w:spacing w:before="300" w:after="150"/>
      </w:pPr>
      <w:r>
        <w:t>1. Week 6 → Week 7 Transition</w:t>
      </w:r>
    </w:p>
    <w:p w14:paraId="1B14E9D4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Main Week 6 output: statistically validated the two strongest no-show drivers (booking lead time, prior no-show history) with chi-square tests, tested for an in</w:t>
      </w:r>
      <w:r w:rsidRPr="00DA75A6">
        <w:rPr>
          <w:sz w:val="24"/>
          <w:szCs w:val="24"/>
        </w:rPr>
        <w:t>teraction effect between them, and re-cut reminder effectiveness by risk segment.</w:t>
      </w:r>
    </w:p>
    <w:p w14:paraId="0C5B2104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 xml:space="preserve">Most important Week 6 result: booking lead time (χ² = 340.42, p &lt; 0.001) and prior no-show history (χ² = 72.36, p &lt; 0.001) were confirmed as genuine, non-chance drivers, and </w:t>
      </w:r>
      <w:r w:rsidRPr="00DA75A6">
        <w:rPr>
          <w:sz w:val="24"/>
          <w:szCs w:val="24"/>
        </w:rPr>
        <w:t>found to combine additively rather than synergistically.</w:t>
      </w:r>
    </w:p>
    <w:p w14:paraId="1F0E565F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Main limitation carried from Week 6: the two drivers were validated in aggregate and by individual factor, but not yet combined into a single risk view, nor tested for stability within demographic se</w:t>
      </w:r>
      <w:r w:rsidRPr="00DA75A6">
        <w:rPr>
          <w:sz w:val="24"/>
          <w:szCs w:val="24"/>
        </w:rPr>
        <w:t>gments.</w:t>
      </w:r>
    </w:p>
    <w:p w14:paraId="04142BAB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Component tested this week: the full KPI and statistical-test pipeline underlying the Week 5/6 report — recalculated independently from the raw dataset rather than re-reading the existing outputs, plus a new combined risk-segment analysis.</w:t>
      </w:r>
    </w:p>
    <w:p w14:paraId="14DBF898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Track(s)</w:t>
      </w:r>
      <w:r w:rsidRPr="00DA75A6">
        <w:rPr>
          <w:sz w:val="24"/>
          <w:szCs w:val="24"/>
        </w:rPr>
        <w:t xml:space="preserve"> relevant: Data Analytics (primary); Project Management (recipient of validated risk-segment findings for Week 8 readiness planning).</w:t>
      </w:r>
    </w:p>
    <w:p w14:paraId="55DC9EE8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What was tested: whether every reported KPI and statistical result reproduces exactly from the raw data, whether the two h</w:t>
      </w:r>
      <w:r w:rsidRPr="00DA75A6">
        <w:rPr>
          <w:sz w:val="24"/>
          <w:szCs w:val="24"/>
        </w:rPr>
        <w:t>eadline drivers hold across patient segments, and whether combining them into a single risk matrix produces a reliable targeting tool.</w:t>
      </w:r>
    </w:p>
    <w:p w14:paraId="0BC91342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What was expected to improve or validate: full reproducibility of prior numbers (validation), plus a combined, actionable</w:t>
      </w:r>
      <w:r w:rsidRPr="00DA75A6">
        <w:rPr>
          <w:sz w:val="24"/>
          <w:szCs w:val="24"/>
        </w:rPr>
        <w:t xml:space="preserve"> risk-segmentation view (refinement).</w:t>
      </w:r>
    </w:p>
    <w:p w14:paraId="3BF490CF" w14:textId="77777777" w:rsidR="00B35C91" w:rsidRDefault="00DA75A6">
      <w:pPr>
        <w:pStyle w:val="Heading1"/>
        <w:spacing w:before="300" w:after="150"/>
      </w:pPr>
      <w:r>
        <w:t>2. Testing Approach</w:t>
      </w:r>
    </w:p>
    <w:p w14:paraId="30643A21" w14:textId="77777777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 xml:space="preserve">Testing was performed entirely in Python (pandas, </w:t>
      </w:r>
      <w:proofErr w:type="spellStart"/>
      <w:r w:rsidRPr="00DA75A6">
        <w:rPr>
          <w:sz w:val="24"/>
          <w:szCs w:val="24"/>
        </w:rPr>
        <w:t>scipy</w:t>
      </w:r>
      <w:proofErr w:type="spellEnd"/>
      <w:r w:rsidRPr="00DA75A6">
        <w:rPr>
          <w:sz w:val="24"/>
          <w:szCs w:val="24"/>
        </w:rPr>
        <w:t>), consistent with the tooling used throughout this project — no SQL, SPSS, or interactive BI dashboard is part of this track's deliverables, s</w:t>
      </w:r>
      <w:r w:rsidRPr="00DA75A6">
        <w:rPr>
          <w:sz w:val="24"/>
          <w:szCs w:val="24"/>
        </w:rPr>
        <w:t xml:space="preserve">o testing was scoped to the analytical pipeline that actually exists: the KPI calculations, statistical tests, and static chart-based visual report. Three layers of testing were </w:t>
      </w:r>
      <w:r w:rsidRPr="00DA75A6">
        <w:rPr>
          <w:sz w:val="24"/>
          <w:szCs w:val="24"/>
        </w:rPr>
        <w:lastRenderedPageBreak/>
        <w:t>applied, in order of increasing scrutiny: (1) exact reproduction — recalculate</w:t>
      </w:r>
      <w:r w:rsidRPr="00DA75A6">
        <w:rPr>
          <w:sz w:val="24"/>
          <w:szCs w:val="24"/>
        </w:rPr>
        <w:t xml:space="preserve"> every KPI and statistical test independently from the raw CSV and compare against the values already reported in Weeks 5 and 6; (2) segment combination — test whether the two headline drivers, already validated individually, produce a reliable and actiona</w:t>
      </w:r>
      <w:r w:rsidRPr="00DA75A6">
        <w:rPr>
          <w:sz w:val="24"/>
          <w:szCs w:val="24"/>
        </w:rPr>
        <w:t>ble result when combined into a single risk view; (3) segment stability — check whether the two headline drivers hold consistently across gender and age group, not just in the pooled dataset.</w:t>
      </w:r>
    </w:p>
    <w:p w14:paraId="1016D12B" w14:textId="77777777" w:rsidR="00B35C91" w:rsidRDefault="00DA75A6">
      <w:pPr>
        <w:pStyle w:val="Heading1"/>
        <w:spacing w:before="300" w:after="150"/>
      </w:pPr>
      <w:r>
        <w:t>3. KPI &amp; Statistical Validation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9"/>
        <w:gridCol w:w="2548"/>
        <w:gridCol w:w="2939"/>
        <w:gridCol w:w="994"/>
      </w:tblGrid>
      <w:tr w:rsidR="00B35C91" w:rsidRPr="00DA75A6" w14:paraId="5C04D7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6A2C70"/>
          </w:tcPr>
          <w:p w14:paraId="5663158B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b/>
                <w:bCs/>
                <w:color w:val="FFFFFF"/>
              </w:rPr>
              <w:t>KPI / Statistic</w:t>
            </w:r>
          </w:p>
        </w:tc>
        <w:tc>
          <w:tcPr>
            <w:tcW w:w="2800" w:type="dxa"/>
            <w:shd w:val="clear" w:color="auto" w:fill="6A2C70"/>
          </w:tcPr>
          <w:p w14:paraId="323E54CE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b/>
                <w:bCs/>
                <w:color w:val="FFFFFF"/>
              </w:rPr>
              <w:t>Previous</w:t>
            </w:r>
            <w:r w:rsidRPr="00DA75A6">
              <w:rPr>
                <w:b/>
                <w:bCs/>
                <w:color w:val="FFFFFF"/>
              </w:rPr>
              <w:t>ly Reported</w:t>
            </w:r>
          </w:p>
        </w:tc>
        <w:tc>
          <w:tcPr>
            <w:tcW w:w="3200" w:type="dxa"/>
            <w:shd w:val="clear" w:color="auto" w:fill="6A2C70"/>
          </w:tcPr>
          <w:p w14:paraId="1C483E7A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b/>
                <w:bCs/>
                <w:color w:val="FFFFFF"/>
              </w:rPr>
              <w:t>Independently Recalculated</w:t>
            </w:r>
          </w:p>
        </w:tc>
        <w:tc>
          <w:tcPr>
            <w:tcW w:w="1060" w:type="dxa"/>
            <w:shd w:val="clear" w:color="auto" w:fill="6A2C70"/>
          </w:tcPr>
          <w:p w14:paraId="1A91876B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b/>
                <w:bCs/>
                <w:color w:val="FFFFFF"/>
              </w:rPr>
              <w:t>Result</w:t>
            </w:r>
          </w:p>
        </w:tc>
      </w:tr>
      <w:tr w:rsidR="00B35C91" w:rsidRPr="00DA75A6" w14:paraId="0B8EC0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0BC17D9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Overall No-Show Rate</w:t>
            </w:r>
          </w:p>
        </w:tc>
        <w:tc>
          <w:tcPr>
            <w:tcW w:w="2800" w:type="dxa"/>
          </w:tcPr>
          <w:p w14:paraId="0AEBA3CC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51.2%</w:t>
            </w:r>
          </w:p>
        </w:tc>
        <w:tc>
          <w:tcPr>
            <w:tcW w:w="3200" w:type="dxa"/>
          </w:tcPr>
          <w:p w14:paraId="0CF772EC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51.2% (2,423 of 4,737)</w:t>
            </w:r>
          </w:p>
        </w:tc>
        <w:tc>
          <w:tcPr>
            <w:tcW w:w="1060" w:type="dxa"/>
          </w:tcPr>
          <w:p w14:paraId="0C0088DA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245660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E85705F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 xml:space="preserve">No-Show Rate, </w:t>
            </w:r>
            <w:proofErr w:type="gramStart"/>
            <w:r w:rsidRPr="00DA75A6">
              <w:rPr>
                <w:color w:val="000000"/>
              </w:rPr>
              <w:t>0-3 day</w:t>
            </w:r>
            <w:proofErr w:type="gramEnd"/>
            <w:r w:rsidRPr="00DA75A6">
              <w:rPr>
                <w:color w:val="000000"/>
              </w:rPr>
              <w:t xml:space="preserve"> lead</w:t>
            </w:r>
          </w:p>
        </w:tc>
        <w:tc>
          <w:tcPr>
            <w:tcW w:w="2800" w:type="dxa"/>
          </w:tcPr>
          <w:p w14:paraId="6034D88F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26.6%</w:t>
            </w:r>
          </w:p>
        </w:tc>
        <w:tc>
          <w:tcPr>
            <w:tcW w:w="3200" w:type="dxa"/>
          </w:tcPr>
          <w:p w14:paraId="6664BD17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26.6%</w:t>
            </w:r>
          </w:p>
        </w:tc>
        <w:tc>
          <w:tcPr>
            <w:tcW w:w="1060" w:type="dxa"/>
          </w:tcPr>
          <w:p w14:paraId="41B6FEB6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082EED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0BD8340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No-Show Rate, 30+ day lead</w:t>
            </w:r>
          </w:p>
        </w:tc>
        <w:tc>
          <w:tcPr>
            <w:tcW w:w="2800" w:type="dxa"/>
          </w:tcPr>
          <w:p w14:paraId="2160DF55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63.9%</w:t>
            </w:r>
          </w:p>
        </w:tc>
        <w:tc>
          <w:tcPr>
            <w:tcW w:w="3200" w:type="dxa"/>
          </w:tcPr>
          <w:p w14:paraId="1C647262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63.9%</w:t>
            </w:r>
          </w:p>
        </w:tc>
        <w:tc>
          <w:tcPr>
            <w:tcW w:w="1060" w:type="dxa"/>
          </w:tcPr>
          <w:p w14:paraId="5484DD69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1E7AF0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6381BF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No-Show Rate, 0 prior no-shows</w:t>
            </w:r>
          </w:p>
        </w:tc>
        <w:tc>
          <w:tcPr>
            <w:tcW w:w="2800" w:type="dxa"/>
          </w:tcPr>
          <w:p w14:paraId="03752933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46.3%</w:t>
            </w:r>
          </w:p>
        </w:tc>
        <w:tc>
          <w:tcPr>
            <w:tcW w:w="3200" w:type="dxa"/>
          </w:tcPr>
          <w:p w14:paraId="40BA2E78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46.3%</w:t>
            </w:r>
          </w:p>
        </w:tc>
        <w:tc>
          <w:tcPr>
            <w:tcW w:w="1060" w:type="dxa"/>
          </w:tcPr>
          <w:p w14:paraId="41957A20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57EFDC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D776D48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No-Show Rate, 3+ prior no-shows</w:t>
            </w:r>
          </w:p>
        </w:tc>
        <w:tc>
          <w:tcPr>
            <w:tcW w:w="2800" w:type="dxa"/>
          </w:tcPr>
          <w:p w14:paraId="19A84DEF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70.3%</w:t>
            </w:r>
          </w:p>
        </w:tc>
        <w:tc>
          <w:tcPr>
            <w:tcW w:w="3200" w:type="dxa"/>
          </w:tcPr>
          <w:p w14:paraId="68C27727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70.3%</w:t>
            </w:r>
          </w:p>
        </w:tc>
        <w:tc>
          <w:tcPr>
            <w:tcW w:w="1060" w:type="dxa"/>
          </w:tcPr>
          <w:p w14:paraId="07620F41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6709D4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7E3257B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Reminder effect (No vs Yes)</w:t>
            </w:r>
          </w:p>
        </w:tc>
        <w:tc>
          <w:tcPr>
            <w:tcW w:w="2800" w:type="dxa"/>
          </w:tcPr>
          <w:p w14:paraId="5021994E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54.6% / 49.9%</w:t>
            </w:r>
          </w:p>
        </w:tc>
        <w:tc>
          <w:tcPr>
            <w:tcW w:w="3200" w:type="dxa"/>
          </w:tcPr>
          <w:p w14:paraId="340312F6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54.6% / 49.9%</w:t>
            </w:r>
          </w:p>
        </w:tc>
        <w:tc>
          <w:tcPr>
            <w:tcW w:w="1060" w:type="dxa"/>
          </w:tcPr>
          <w:p w14:paraId="74FB4819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7F2407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F17EE93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Chi-square: lead time</w:t>
            </w:r>
          </w:p>
        </w:tc>
        <w:tc>
          <w:tcPr>
            <w:tcW w:w="2800" w:type="dxa"/>
          </w:tcPr>
          <w:p w14:paraId="54287C08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χ² = 340.42, p&lt;0.001</w:t>
            </w:r>
          </w:p>
        </w:tc>
        <w:tc>
          <w:tcPr>
            <w:tcW w:w="3200" w:type="dxa"/>
          </w:tcPr>
          <w:p w14:paraId="302B17D9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χ² = 340.42, p = 2.05e-72</w:t>
            </w:r>
          </w:p>
        </w:tc>
        <w:tc>
          <w:tcPr>
            <w:tcW w:w="1060" w:type="dxa"/>
          </w:tcPr>
          <w:p w14:paraId="003EAA9D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  <w:tr w:rsidR="00B35C91" w:rsidRPr="00DA75A6" w14:paraId="051C31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4332CE7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Chi-square: prior no-shows</w:t>
            </w:r>
          </w:p>
        </w:tc>
        <w:tc>
          <w:tcPr>
            <w:tcW w:w="2800" w:type="dxa"/>
          </w:tcPr>
          <w:p w14:paraId="5A4E5197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χ² = 72.36, p&lt;0.001</w:t>
            </w:r>
          </w:p>
        </w:tc>
        <w:tc>
          <w:tcPr>
            <w:tcW w:w="3200" w:type="dxa"/>
          </w:tcPr>
          <w:p w14:paraId="099CE620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χ² = 72.36, p = 1.33e-15</w:t>
            </w:r>
          </w:p>
        </w:tc>
        <w:tc>
          <w:tcPr>
            <w:tcW w:w="1060" w:type="dxa"/>
          </w:tcPr>
          <w:p w14:paraId="63350C0D" w14:textId="77777777" w:rsidR="00B35C91" w:rsidRPr="00DA75A6" w:rsidRDefault="00DA75A6" w:rsidP="00DA75A6">
            <w:pPr>
              <w:spacing w:line="360" w:lineRule="auto"/>
            </w:pPr>
            <w:r w:rsidRPr="00DA75A6">
              <w:rPr>
                <w:color w:val="000000"/>
              </w:rPr>
              <w:t>PASS</w:t>
            </w:r>
          </w:p>
        </w:tc>
      </w:tr>
    </w:tbl>
    <w:p w14:paraId="7748A83C" w14:textId="77777777" w:rsid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</w:p>
    <w:p w14:paraId="25B43DD2" w14:textId="34AD4BFB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All eight previously reported figures reproduce exactly from the raw dataset. This confirms the Week 5/6 calculation pipeline is correct and consistent — no transcription, aggregation, or filtering errors were found in the core analytical outputs.</w:t>
      </w:r>
    </w:p>
    <w:p w14:paraId="0EB46A46" w14:textId="77777777" w:rsidR="00B35C91" w:rsidRDefault="00DA75A6">
      <w:pPr>
        <w:pStyle w:val="Heading1"/>
        <w:spacing w:before="300" w:after="150"/>
      </w:pPr>
      <w:r>
        <w:t>4. New A</w:t>
      </w:r>
      <w:r>
        <w:t>nalysis: Combined Risk Segmentation</w:t>
      </w:r>
    </w:p>
    <w:p w14:paraId="3A5DAFC2" w14:textId="77777777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Weeks 5 and 6 validated booking lead time and prior no-show history as independent drivers. This week, the two were combined into a single 2×2 risk matrix to test whether they produce a more useful targeting tool than ei</w:t>
      </w:r>
      <w:r w:rsidRPr="00DA75A6">
        <w:rPr>
          <w:sz w:val="24"/>
          <w:szCs w:val="24"/>
        </w:rPr>
        <w:t>ther factor alone.</w:t>
      </w:r>
    </w:p>
    <w:p w14:paraId="372C8563" w14:textId="77777777" w:rsidR="00B35C91" w:rsidRDefault="00DA75A6">
      <w:pPr>
        <w:spacing w:before="110" w:after="60"/>
        <w:jc w:val="center"/>
      </w:pPr>
      <w:r w:rsidRPr="00DA75A6">
        <w:rPr>
          <w:noProof/>
          <w:sz w:val="22"/>
          <w:szCs w:val="22"/>
        </w:rPr>
        <w:lastRenderedPageBreak/>
        <w:drawing>
          <wp:inline distT="0" distB="0" distL="0" distR="0" wp14:anchorId="5279CC47" wp14:editId="259E98E2">
            <wp:extent cx="4600575" cy="360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D9F" w14:textId="77777777" w:rsidR="00B35C91" w:rsidRDefault="00DA75A6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1: Combined risk matrix — no-show rate by lead time × prior history (14-day lead-time threshold).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5C91" w:rsidRPr="00DA75A6" w14:paraId="21795A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6A2C70"/>
          </w:tcPr>
          <w:p w14:paraId="7879D19D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Combined Segment</w:t>
            </w:r>
          </w:p>
        </w:tc>
        <w:tc>
          <w:tcPr>
            <w:tcW w:w="3120" w:type="dxa"/>
            <w:shd w:val="clear" w:color="auto" w:fill="6A2C70"/>
          </w:tcPr>
          <w:p w14:paraId="746B609A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No-Show Rate</w:t>
            </w:r>
          </w:p>
        </w:tc>
        <w:tc>
          <w:tcPr>
            <w:tcW w:w="3120" w:type="dxa"/>
            <w:shd w:val="clear" w:color="auto" w:fill="6A2C70"/>
          </w:tcPr>
          <w:p w14:paraId="5665FBCA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Appointments</w:t>
            </w:r>
          </w:p>
        </w:tc>
      </w:tr>
      <w:tr w:rsidR="00B35C91" w:rsidRPr="00DA75A6" w14:paraId="303E64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78C5D6E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Short lead (≤14d) / No prior no-shows</w:t>
            </w:r>
          </w:p>
        </w:tc>
        <w:tc>
          <w:tcPr>
            <w:tcW w:w="3120" w:type="dxa"/>
          </w:tcPr>
          <w:p w14:paraId="6EE90EEA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28.0%</w:t>
            </w:r>
          </w:p>
        </w:tc>
        <w:tc>
          <w:tcPr>
            <w:tcW w:w="3120" w:type="dxa"/>
          </w:tcPr>
          <w:p w14:paraId="7DEE0B8F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715</w:t>
            </w:r>
          </w:p>
        </w:tc>
      </w:tr>
      <w:tr w:rsidR="00B35C91" w:rsidRPr="00DA75A6" w14:paraId="697D78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95526F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Short lead (≤14d) / Has prior no-shows</w:t>
            </w:r>
          </w:p>
        </w:tc>
        <w:tc>
          <w:tcPr>
            <w:tcW w:w="3120" w:type="dxa"/>
          </w:tcPr>
          <w:p w14:paraId="4F88487C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38.9%</w:t>
            </w:r>
          </w:p>
        </w:tc>
        <w:tc>
          <w:tcPr>
            <w:tcW w:w="3120" w:type="dxa"/>
          </w:tcPr>
          <w:p w14:paraId="3A51A6EC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463</w:t>
            </w:r>
          </w:p>
        </w:tc>
      </w:tr>
      <w:tr w:rsidR="00B35C91" w:rsidRPr="00DA75A6" w14:paraId="7C7947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D8320B6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Long lead (&gt;14d) / No prior no-shows</w:t>
            </w:r>
          </w:p>
        </w:tc>
        <w:tc>
          <w:tcPr>
            <w:tcW w:w="3120" w:type="dxa"/>
          </w:tcPr>
          <w:p w14:paraId="7A8A916C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52.8%</w:t>
            </w:r>
          </w:p>
        </w:tc>
        <w:tc>
          <w:tcPr>
            <w:tcW w:w="3120" w:type="dxa"/>
          </w:tcPr>
          <w:p w14:paraId="30F9DBFD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2,030</w:t>
            </w:r>
          </w:p>
        </w:tc>
      </w:tr>
      <w:tr w:rsidR="00B35C91" w:rsidRPr="00DA75A6" w14:paraId="4AEA8E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3ADB556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Long lead (&gt;14d) / Has prior no-shows</w:t>
            </w:r>
          </w:p>
        </w:tc>
        <w:tc>
          <w:tcPr>
            <w:tcW w:w="3120" w:type="dxa"/>
          </w:tcPr>
          <w:p w14:paraId="4A129276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63.6%</w:t>
            </w:r>
          </w:p>
        </w:tc>
        <w:tc>
          <w:tcPr>
            <w:tcW w:w="3120" w:type="dxa"/>
          </w:tcPr>
          <w:p w14:paraId="45899A20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1,529</w:t>
            </w:r>
          </w:p>
        </w:tc>
      </w:tr>
    </w:tbl>
    <w:p w14:paraId="5073C55B" w14:textId="77777777" w:rsidR="00DA75A6" w:rsidRDefault="00DA75A6">
      <w:pPr>
        <w:spacing w:after="150"/>
      </w:pPr>
    </w:p>
    <w:p w14:paraId="236E512A" w14:textId="46B2B26C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The highest-risk segment (long lead, has prior no-shows) covers 1,529 appointments — 1,035 unique patients — at a 63.6% no-show rate, more than double the lowest-risk segment's 28.0%. This confirms the two factors combine additively (consistent with the We</w:t>
      </w:r>
      <w:r w:rsidRPr="00DA75A6">
        <w:rPr>
          <w:sz w:val="24"/>
          <w:szCs w:val="24"/>
        </w:rPr>
        <w:t>ek 6 interaction test, p=0.50): the highest-risk rate is close to what adding each factor's individual effect would predict, not a surprising multiplicative jump.</w:t>
      </w:r>
    </w:p>
    <w:p w14:paraId="4A361EB3" w14:textId="77777777" w:rsidR="00DA75A6" w:rsidRDefault="00DA75A6">
      <w:pPr>
        <w:pStyle w:val="Heading2"/>
        <w:spacing w:before="220" w:after="110"/>
      </w:pPr>
    </w:p>
    <w:p w14:paraId="5A2C8535" w14:textId="14E25727" w:rsidR="00B35C91" w:rsidRDefault="00DA75A6">
      <w:pPr>
        <w:pStyle w:val="Heading2"/>
        <w:spacing w:before="220" w:after="110"/>
      </w:pPr>
      <w:r>
        <w:lastRenderedPageBreak/>
        <w:t>Reminder effectiveness within the combined segments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35C91" w:rsidRPr="00DA75A6" w14:paraId="037BE8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6A2C70"/>
          </w:tcPr>
          <w:p w14:paraId="78FF30FF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Segment</w:t>
            </w:r>
          </w:p>
        </w:tc>
        <w:tc>
          <w:tcPr>
            <w:tcW w:w="2340" w:type="dxa"/>
            <w:shd w:val="clear" w:color="auto" w:fill="6A2C70"/>
          </w:tcPr>
          <w:p w14:paraId="7107924E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No Reminder</w:t>
            </w:r>
          </w:p>
        </w:tc>
        <w:tc>
          <w:tcPr>
            <w:tcW w:w="2340" w:type="dxa"/>
            <w:shd w:val="clear" w:color="auto" w:fill="6A2C70"/>
          </w:tcPr>
          <w:p w14:paraId="4A84BB4A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Reminder Sent</w:t>
            </w:r>
          </w:p>
        </w:tc>
        <w:tc>
          <w:tcPr>
            <w:tcW w:w="2340" w:type="dxa"/>
            <w:shd w:val="clear" w:color="auto" w:fill="6A2C70"/>
          </w:tcPr>
          <w:p w14:paraId="6111D096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Improve</w:t>
            </w:r>
            <w:r w:rsidRPr="00DA75A6">
              <w:rPr>
                <w:b/>
                <w:bCs/>
                <w:color w:val="FFFFFF"/>
                <w:sz w:val="22"/>
                <w:szCs w:val="22"/>
              </w:rPr>
              <w:t>ment</w:t>
            </w:r>
          </w:p>
        </w:tc>
      </w:tr>
      <w:tr w:rsidR="00B35C91" w:rsidRPr="00DA75A6" w14:paraId="351592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3803C37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Short lead / No prior no-shows (lowest risk)</w:t>
            </w:r>
          </w:p>
        </w:tc>
        <w:tc>
          <w:tcPr>
            <w:tcW w:w="2340" w:type="dxa"/>
          </w:tcPr>
          <w:p w14:paraId="2992D942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28.3%</w:t>
            </w:r>
          </w:p>
        </w:tc>
        <w:tc>
          <w:tcPr>
            <w:tcW w:w="2340" w:type="dxa"/>
          </w:tcPr>
          <w:p w14:paraId="01A57333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27.9%</w:t>
            </w:r>
          </w:p>
        </w:tc>
        <w:tc>
          <w:tcPr>
            <w:tcW w:w="2340" w:type="dxa"/>
          </w:tcPr>
          <w:p w14:paraId="4341242C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0.4pt</w:t>
            </w:r>
          </w:p>
        </w:tc>
      </w:tr>
      <w:tr w:rsidR="00B35C91" w:rsidRPr="00DA75A6" w14:paraId="309D61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7933795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Short lead / Has prior no-shows</w:t>
            </w:r>
          </w:p>
        </w:tc>
        <w:tc>
          <w:tcPr>
            <w:tcW w:w="2340" w:type="dxa"/>
          </w:tcPr>
          <w:p w14:paraId="05C808D4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43.7%</w:t>
            </w:r>
          </w:p>
        </w:tc>
        <w:tc>
          <w:tcPr>
            <w:tcW w:w="2340" w:type="dxa"/>
          </w:tcPr>
          <w:p w14:paraId="66075B3F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37.2%</w:t>
            </w:r>
          </w:p>
        </w:tc>
        <w:tc>
          <w:tcPr>
            <w:tcW w:w="2340" w:type="dxa"/>
          </w:tcPr>
          <w:p w14:paraId="43445C80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6.5pt</w:t>
            </w:r>
          </w:p>
        </w:tc>
      </w:tr>
      <w:tr w:rsidR="00B35C91" w:rsidRPr="00DA75A6" w14:paraId="6608B1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0B09FDF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Long lead / No prior no-shows</w:t>
            </w:r>
          </w:p>
        </w:tc>
        <w:tc>
          <w:tcPr>
            <w:tcW w:w="2340" w:type="dxa"/>
          </w:tcPr>
          <w:p w14:paraId="32F1E3BD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56.4%</w:t>
            </w:r>
          </w:p>
        </w:tc>
        <w:tc>
          <w:tcPr>
            <w:tcW w:w="2340" w:type="dxa"/>
          </w:tcPr>
          <w:p w14:paraId="04BA8635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51.4%</w:t>
            </w:r>
          </w:p>
        </w:tc>
        <w:tc>
          <w:tcPr>
            <w:tcW w:w="2340" w:type="dxa"/>
          </w:tcPr>
          <w:p w14:paraId="02BB49BE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4.9pt</w:t>
            </w:r>
          </w:p>
        </w:tc>
      </w:tr>
      <w:tr w:rsidR="00B35C91" w:rsidRPr="00DA75A6" w14:paraId="538D92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67FEDD1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Long lead / Has prior no-shows (highest risk)</w:t>
            </w:r>
          </w:p>
        </w:tc>
        <w:tc>
          <w:tcPr>
            <w:tcW w:w="2340" w:type="dxa"/>
          </w:tcPr>
          <w:p w14:paraId="24D36FED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67.1%</w:t>
            </w:r>
          </w:p>
        </w:tc>
        <w:tc>
          <w:tcPr>
            <w:tcW w:w="2340" w:type="dxa"/>
          </w:tcPr>
          <w:p w14:paraId="5E799A75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62.2%</w:t>
            </w:r>
          </w:p>
        </w:tc>
        <w:tc>
          <w:tcPr>
            <w:tcW w:w="2340" w:type="dxa"/>
          </w:tcPr>
          <w:p w14:paraId="7A275FA7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4.9pt</w:t>
            </w:r>
          </w:p>
        </w:tc>
      </w:tr>
    </w:tbl>
    <w:p w14:paraId="2BDBD25D" w14:textId="77777777" w:rsidR="00DA75A6" w:rsidRDefault="00DA75A6">
      <w:pPr>
        <w:spacing w:after="150"/>
      </w:pPr>
    </w:p>
    <w:p w14:paraId="792B3388" w14:textId="57E94A7F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Reminders show a real but modest effect in every segment, and the effect is smallest (0.4 points) precisely in the lowest-risk segment, where attendance is already high. One claim worth expli</w:t>
      </w:r>
      <w:r w:rsidRPr="00DA75A6">
        <w:rPr>
          <w:sz w:val="24"/>
          <w:szCs w:val="24"/>
        </w:rPr>
        <w:t>citly testing and ruling out: whether reminders were disproportionately sent to lower-risk patients, which would bias this comparison. They were not — the reminder-send rate is nearly identical across all four segments (71.6%–74.3%), so the modest effect i</w:t>
      </w:r>
      <w:r w:rsidRPr="00DA75A6">
        <w:rPr>
          <w:sz w:val="24"/>
          <w:szCs w:val="24"/>
        </w:rPr>
        <w:t>n the lowest-risk group reflects a genuine ceiling effect, not an assignment bias.</w:t>
      </w:r>
    </w:p>
    <w:p w14:paraId="0964CFD0" w14:textId="77777777" w:rsidR="00B35C91" w:rsidRDefault="00DA75A6">
      <w:pPr>
        <w:pStyle w:val="Heading1"/>
        <w:spacing w:before="300" w:after="150"/>
      </w:pPr>
      <w:r>
        <w:t>5. Segment Stability Testing (Gender &amp; Age)</w:t>
      </w:r>
    </w:p>
    <w:p w14:paraId="7B850526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By gender: the lead-time effect holds strongly across all three recorded categories — Female (27.7% → 63.9%), Male (25.5% → 64.4%</w:t>
      </w:r>
      <w:r w:rsidRPr="00DA75A6">
        <w:rPr>
          <w:sz w:val="24"/>
          <w:szCs w:val="24"/>
        </w:rPr>
        <w:t xml:space="preserve">), and </w:t>
      </w:r>
      <w:proofErr w:type="gramStart"/>
      <w:r w:rsidRPr="00DA75A6">
        <w:rPr>
          <w:sz w:val="24"/>
          <w:szCs w:val="24"/>
        </w:rPr>
        <w:t>Prefer</w:t>
      </w:r>
      <w:proofErr w:type="gramEnd"/>
      <w:r w:rsidRPr="00DA75A6">
        <w:rPr>
          <w:sz w:val="24"/>
          <w:szCs w:val="24"/>
        </w:rPr>
        <w:t xml:space="preserve"> not to say (20.0% → 55.4%, smaller sample).</w:t>
      </w:r>
    </w:p>
    <w:p w14:paraId="3923718D" w14:textId="77777777" w:rsidR="00B35C91" w:rsidRDefault="00DA75A6">
      <w:pPr>
        <w:spacing w:before="110" w:after="60"/>
        <w:jc w:val="center"/>
      </w:pPr>
      <w:r w:rsidRPr="00DA75A6">
        <w:rPr>
          <w:noProof/>
          <w:sz w:val="22"/>
          <w:szCs w:val="22"/>
        </w:rPr>
        <w:lastRenderedPageBreak/>
        <w:drawing>
          <wp:inline distT="0" distB="0" distL="0" distR="0" wp14:anchorId="505BEED1" wp14:editId="71E5A429">
            <wp:extent cx="52959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F3AF" w14:textId="77777777" w:rsidR="00B35C91" w:rsidRDefault="00DA75A6">
      <w:pPr>
        <w:spacing w:after="260"/>
        <w:jc w:val="center"/>
      </w:pPr>
      <w:r>
        <w:rPr>
          <w:i/>
          <w:iCs/>
          <w:color w:val="555555"/>
          <w:sz w:val="18"/>
          <w:szCs w:val="18"/>
        </w:rPr>
        <w:t>Figure 2: Lead-time effect (</w:t>
      </w:r>
      <w:proofErr w:type="gramStart"/>
      <w:r>
        <w:rPr>
          <w:i/>
          <w:iCs/>
          <w:color w:val="555555"/>
          <w:sz w:val="18"/>
          <w:szCs w:val="18"/>
        </w:rPr>
        <w:t>0-3 day</w:t>
      </w:r>
      <w:proofErr w:type="gramEnd"/>
      <w:r>
        <w:rPr>
          <w:i/>
          <w:iCs/>
          <w:color w:val="555555"/>
          <w:sz w:val="18"/>
          <w:szCs w:val="18"/>
        </w:rPr>
        <w:t xml:space="preserve"> vs 30+ day booking) by age group.</w:t>
      </w:r>
    </w:p>
    <w:p w14:paraId="54DC42A9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By age group: the effect holds in every band, but is noticeably weaker at the age extremes. The 25-64 range shows a consistent ~40-44 point gap between early and late bookings, while 18-24 shows a smaller ~21 point gap and 65+ a ~</w:t>
      </w:r>
      <w:proofErr w:type="gramStart"/>
      <w:r w:rsidRPr="00DA75A6">
        <w:rPr>
          <w:sz w:val="24"/>
          <w:szCs w:val="24"/>
        </w:rPr>
        <w:t>30 point</w:t>
      </w:r>
      <w:proofErr w:type="gramEnd"/>
      <w:r w:rsidRPr="00DA75A6">
        <w:rPr>
          <w:sz w:val="24"/>
          <w:szCs w:val="24"/>
        </w:rPr>
        <w:t xml:space="preserve"> gap — a genuine r</w:t>
      </w:r>
      <w:r w:rsidRPr="00DA75A6">
        <w:rPr>
          <w:sz w:val="24"/>
          <w:szCs w:val="24"/>
        </w:rPr>
        <w:t>efinement to the Week 6 finding, not just a re-confirmation.</w:t>
      </w:r>
    </w:p>
    <w:p w14:paraId="20F62F2E" w14:textId="77777777" w:rsidR="00B35C91" w:rsidRDefault="00DA75A6">
      <w:pPr>
        <w:pStyle w:val="Heading1"/>
        <w:spacing w:before="300" w:after="150"/>
      </w:pPr>
      <w:r>
        <w:t>6. Sensitivity Testing — Cancelled-Outcome Treatment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5C91" w:rsidRPr="00DA75A6" w14:paraId="772CA7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6A2C70"/>
          </w:tcPr>
          <w:p w14:paraId="1F7CACC3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120" w:type="dxa"/>
            <w:shd w:val="clear" w:color="auto" w:fill="6A2C70"/>
          </w:tcPr>
          <w:p w14:paraId="0CFC7F66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>Cancelled Excluded (as reported)</w:t>
            </w:r>
          </w:p>
        </w:tc>
        <w:tc>
          <w:tcPr>
            <w:tcW w:w="3120" w:type="dxa"/>
            <w:shd w:val="clear" w:color="auto" w:fill="6A2C70"/>
          </w:tcPr>
          <w:p w14:paraId="4DB01544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b/>
                <w:bCs/>
                <w:color w:val="FFFFFF"/>
                <w:sz w:val="22"/>
                <w:szCs w:val="22"/>
              </w:rPr>
              <w:t xml:space="preserve">Cancelled Included as </w:t>
            </w:r>
            <w:proofErr w:type="gramStart"/>
            <w:r w:rsidRPr="00DA75A6">
              <w:rPr>
                <w:b/>
                <w:bCs/>
                <w:color w:val="FFFFFF"/>
                <w:sz w:val="22"/>
                <w:szCs w:val="22"/>
              </w:rPr>
              <w:t>Non-Attend</w:t>
            </w:r>
            <w:proofErr w:type="gramEnd"/>
          </w:p>
        </w:tc>
      </w:tr>
      <w:tr w:rsidR="00B35C91" w:rsidRPr="00DA75A6" w14:paraId="584737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72E0BA3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Overall rate</w:t>
            </w:r>
          </w:p>
        </w:tc>
        <w:tc>
          <w:tcPr>
            <w:tcW w:w="3120" w:type="dxa"/>
          </w:tcPr>
          <w:p w14:paraId="0C812D7B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51.2%</w:t>
            </w:r>
          </w:p>
        </w:tc>
        <w:tc>
          <w:tcPr>
            <w:tcW w:w="3120" w:type="dxa"/>
          </w:tcPr>
          <w:p w14:paraId="52BA832D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53.7%</w:t>
            </w:r>
          </w:p>
        </w:tc>
      </w:tr>
      <w:tr w:rsidR="00B35C91" w:rsidRPr="00DA75A6" w14:paraId="480E0D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F31C75E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proofErr w:type="gramStart"/>
            <w:r w:rsidRPr="00DA75A6">
              <w:rPr>
                <w:color w:val="000000"/>
                <w:sz w:val="22"/>
                <w:szCs w:val="22"/>
              </w:rPr>
              <w:t>0-3 day</w:t>
            </w:r>
            <w:proofErr w:type="gramEnd"/>
            <w:r w:rsidRPr="00DA75A6">
              <w:rPr>
                <w:color w:val="000000"/>
                <w:sz w:val="22"/>
                <w:szCs w:val="22"/>
              </w:rPr>
              <w:t xml:space="preserve"> lead</w:t>
            </w:r>
          </w:p>
        </w:tc>
        <w:tc>
          <w:tcPr>
            <w:tcW w:w="3120" w:type="dxa"/>
          </w:tcPr>
          <w:p w14:paraId="73BA3118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26.6%</w:t>
            </w:r>
          </w:p>
        </w:tc>
        <w:tc>
          <w:tcPr>
            <w:tcW w:w="3120" w:type="dxa"/>
          </w:tcPr>
          <w:p w14:paraId="48FA5EA7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31.4%</w:t>
            </w:r>
          </w:p>
        </w:tc>
      </w:tr>
      <w:tr w:rsidR="00B35C91" w:rsidRPr="00DA75A6" w14:paraId="20EFF5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E196F84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30+ day lead</w:t>
            </w:r>
          </w:p>
        </w:tc>
        <w:tc>
          <w:tcPr>
            <w:tcW w:w="3120" w:type="dxa"/>
          </w:tcPr>
          <w:p w14:paraId="10D80953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63.9%</w:t>
            </w:r>
          </w:p>
        </w:tc>
        <w:tc>
          <w:tcPr>
            <w:tcW w:w="3120" w:type="dxa"/>
          </w:tcPr>
          <w:p w14:paraId="4AEA7DFB" w14:textId="77777777" w:rsidR="00B35C91" w:rsidRPr="00DA75A6" w:rsidRDefault="00DA75A6" w:rsidP="00DA75A6">
            <w:pPr>
              <w:spacing w:line="360" w:lineRule="auto"/>
              <w:rPr>
                <w:sz w:val="22"/>
                <w:szCs w:val="22"/>
              </w:rPr>
            </w:pPr>
            <w:r w:rsidRPr="00DA75A6">
              <w:rPr>
                <w:color w:val="000000"/>
                <w:sz w:val="22"/>
                <w:szCs w:val="22"/>
              </w:rPr>
              <w:t>65.9%</w:t>
            </w:r>
          </w:p>
        </w:tc>
      </w:tr>
    </w:tbl>
    <w:p w14:paraId="38CBCE09" w14:textId="77777777" w:rsidR="00DA75A6" w:rsidRDefault="00DA75A6">
      <w:pPr>
        <w:spacing w:after="150"/>
      </w:pPr>
    </w:p>
    <w:p w14:paraId="30A27320" w14:textId="65C5F591" w:rsidR="00B35C91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The absolute rates shift by 2-5 points under the alternative treatment of Cancelled appointments, but the shape and strength of the lead-time pattern is unchanged — the core finding is robust to this Week 5 methodological choice.</w:t>
      </w:r>
    </w:p>
    <w:p w14:paraId="766A9C2E" w14:textId="72F68F1D" w:rsid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</w:p>
    <w:p w14:paraId="77DD35DB" w14:textId="77777777" w:rsidR="00DA75A6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</w:p>
    <w:p w14:paraId="63275888" w14:textId="77777777" w:rsidR="00B35C91" w:rsidRDefault="00DA75A6">
      <w:pPr>
        <w:pStyle w:val="Heading1"/>
        <w:spacing w:before="300" w:after="150"/>
      </w:pPr>
      <w:r>
        <w:lastRenderedPageBreak/>
        <w:t>7. Issues Identified and Refinements Made</w:t>
      </w:r>
    </w:p>
    <w:p w14:paraId="777C454D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No calculation errors were found in any existing KPI or statistical test — all reproduced exactly (Section 3).</w:t>
      </w:r>
    </w:p>
    <w:p w14:paraId="757B8A63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Refinement: the two headline drivers, previously reported only individually, have now been combined int</w:t>
      </w:r>
      <w:r w:rsidRPr="00DA75A6">
        <w:rPr>
          <w:sz w:val="24"/>
          <w:szCs w:val="24"/>
        </w:rPr>
        <w:t>o a single actionable risk matrix (Section 4) with a clearly identified, appropriately sized highest-risk group (1,529 appointments / 1,035 patients).</w:t>
      </w:r>
    </w:p>
    <w:p w14:paraId="1F78FC11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Refinement: the lead-time effect is now known to vary by age group (Section 5), strongest for working-age</w:t>
      </w:r>
      <w:r w:rsidRPr="00DA75A6">
        <w:rPr>
          <w:sz w:val="24"/>
          <w:szCs w:val="24"/>
        </w:rPr>
        <w:t xml:space="preserve"> patients and weaker at the youngest and oldest bands.</w:t>
      </w:r>
    </w:p>
    <w:p w14:paraId="7F6AD4A4" w14:textId="7FDB7346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 xml:space="preserve">A candidate claim </w:t>
      </w:r>
      <w:r w:rsidRPr="00DA75A6">
        <w:rPr>
          <w:sz w:val="24"/>
          <w:szCs w:val="24"/>
        </w:rPr>
        <w:t xml:space="preserve">that reminders were disproportionately assigned to lower-risk patients </w:t>
      </w:r>
      <w:r w:rsidRPr="00DA75A6">
        <w:rPr>
          <w:sz w:val="24"/>
          <w:szCs w:val="24"/>
        </w:rPr>
        <w:t>was explicitly tested and ruled out (Section 4); no such assignment bias exists in this dataset.</w:t>
      </w:r>
    </w:p>
    <w:p w14:paraId="406C87D2" w14:textId="77777777" w:rsidR="00B35C91" w:rsidRDefault="00DA75A6">
      <w:pPr>
        <w:pStyle w:val="Heading1"/>
        <w:spacing w:before="300" w:after="150"/>
      </w:pPr>
      <w:r>
        <w:t xml:space="preserve">8. Updated </w:t>
      </w:r>
      <w:r>
        <w:t>Business Insights</w:t>
      </w:r>
    </w:p>
    <w:p w14:paraId="1EA36107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All Week 5-6 insights are validated and remain accurate.</w:t>
      </w:r>
    </w:p>
    <w:p w14:paraId="7CCE05EF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New: combining lead time and prior history identifies a clear, appropriately sized highest-risk group (1,529 appointments, 63.6% no-show) that is 2.3x more likely to miss an appointment than the lowest-risk group — a practical targeting segment, not just a</w:t>
      </w:r>
      <w:r w:rsidRPr="00DA75A6">
        <w:rPr>
          <w:sz w:val="24"/>
          <w:szCs w:val="24"/>
        </w:rPr>
        <w:t xml:space="preserve"> statistical pattern.</w:t>
      </w:r>
    </w:p>
    <w:p w14:paraId="06C68B1A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New: the lead-time effect is strongest for working-age patients (25-64) and weaker, though still present, at the youngest (18-24) and oldest (65+) age bands.</w:t>
      </w:r>
    </w:p>
    <w:p w14:paraId="09D31FDE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New: reminders' modest effect in the lowest-risk segment reflects a genuine ceiling effect (attend</w:t>
      </w:r>
      <w:r w:rsidRPr="00DA75A6">
        <w:rPr>
          <w:sz w:val="24"/>
          <w:szCs w:val="24"/>
        </w:rPr>
        <w:t>ance is already high there), not a targeting or assignment problem.</w:t>
      </w:r>
    </w:p>
    <w:p w14:paraId="037A3CB4" w14:textId="77777777" w:rsidR="00B35C91" w:rsidRDefault="00DA75A6">
      <w:pPr>
        <w:pStyle w:val="Heading1"/>
        <w:spacing w:before="300" w:after="150"/>
      </w:pPr>
      <w:r>
        <w:t>9. Updated Recommendations</w:t>
      </w:r>
    </w:p>
    <w:p w14:paraId="03776996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Use the combined risk matrix (Section 4), not lead time or history alone, to identify the highest-priority patients for manual confirmation calls — the 1,529-app</w:t>
      </w:r>
      <w:r w:rsidRPr="00DA75A6">
        <w:rPr>
          <w:sz w:val="24"/>
          <w:szCs w:val="24"/>
        </w:rPr>
        <w:t>ointment highest-risk segment is a concrete, appropriately-sized starting point.</w:t>
      </w:r>
    </w:p>
    <w:p w14:paraId="171A48B5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Design a distinct outreach approach for 18-24 and 65+ patients rather than relying solely on the lead-time intervention, since it is measurably less effective for these groups</w:t>
      </w:r>
      <w:r w:rsidRPr="00DA75A6">
        <w:rPr>
          <w:sz w:val="24"/>
          <w:szCs w:val="24"/>
        </w:rPr>
        <w:t>.</w:t>
      </w:r>
    </w:p>
    <w:p w14:paraId="6663F77B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lastRenderedPageBreak/>
        <w:t>Retain standard reminders for lower-risk segments — they still help modestly and cost little — rather than discontinuing them, since the ceiling effect there reflects already-high attendance, not wasted effort.</w:t>
      </w:r>
    </w:p>
    <w:p w14:paraId="241A1E93" w14:textId="77777777" w:rsidR="00B35C91" w:rsidRDefault="00DA75A6">
      <w:pPr>
        <w:pStyle w:val="Heading1"/>
        <w:spacing w:before="300" w:after="150"/>
      </w:pPr>
      <w:r>
        <w:t>10. Cross-Track Testing Contribution</w:t>
      </w:r>
    </w:p>
    <w:p w14:paraId="1913AEAB" w14:textId="77777777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Shared</w:t>
      </w:r>
      <w:r w:rsidRPr="00DA75A6">
        <w:rPr>
          <w:sz w:val="24"/>
          <w:szCs w:val="24"/>
        </w:rPr>
        <w:t xml:space="preserve"> the combined risk-segment matrix and the confirmed absence of reminder-assignment bias with the Project Management track, to support Week 8 readiness planning — specifically, so the highest-risk segment (1,529 appointments / 1,035 patients) can be reflect</w:t>
      </w:r>
      <w:r w:rsidRPr="00DA75A6">
        <w:rPr>
          <w:sz w:val="24"/>
          <w:szCs w:val="24"/>
        </w:rPr>
        <w:t>ed as a concrete, sized target group in the final project timeline rather than an abstract statistical finding.</w:t>
      </w:r>
    </w:p>
    <w:p w14:paraId="2320919E" w14:textId="77777777" w:rsidR="00B35C91" w:rsidRDefault="00DA75A6">
      <w:pPr>
        <w:pStyle w:val="Heading1"/>
        <w:spacing w:before="300" w:after="150"/>
      </w:pPr>
      <w:r>
        <w:t>11. Testing &amp; Validation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1557"/>
        <w:gridCol w:w="1336"/>
        <w:gridCol w:w="1226"/>
        <w:gridCol w:w="875"/>
        <w:gridCol w:w="1092"/>
        <w:gridCol w:w="1335"/>
        <w:gridCol w:w="793"/>
      </w:tblGrid>
      <w:tr w:rsidR="00B35C91" w:rsidRPr="00DA75A6" w14:paraId="0F56CF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6A2C70"/>
          </w:tcPr>
          <w:p w14:paraId="337F166B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900" w:type="dxa"/>
            <w:shd w:val="clear" w:color="auto" w:fill="6A2C70"/>
          </w:tcPr>
          <w:p w14:paraId="2D8BCD4E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Testing Objective</w:t>
            </w:r>
          </w:p>
        </w:tc>
        <w:tc>
          <w:tcPr>
            <w:tcW w:w="1900" w:type="dxa"/>
            <w:shd w:val="clear" w:color="auto" w:fill="6A2C70"/>
          </w:tcPr>
          <w:p w14:paraId="674FF94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900" w:type="dxa"/>
            <w:shd w:val="clear" w:color="auto" w:fill="6A2C70"/>
          </w:tcPr>
          <w:p w14:paraId="021B381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shd w:val="clear" w:color="auto" w:fill="6A2C70"/>
          </w:tcPr>
          <w:p w14:paraId="6943AAA3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1600" w:type="dxa"/>
            <w:shd w:val="clear" w:color="auto" w:fill="6A2C70"/>
          </w:tcPr>
          <w:p w14:paraId="63F618B7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Issue Identified</w:t>
            </w:r>
          </w:p>
        </w:tc>
        <w:tc>
          <w:tcPr>
            <w:tcW w:w="1500" w:type="dxa"/>
            <w:shd w:val="clear" w:color="auto" w:fill="6A2C70"/>
          </w:tcPr>
          <w:p w14:paraId="731F0BBB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1240" w:type="dxa"/>
            <w:shd w:val="clear" w:color="auto" w:fill="6A2C70"/>
          </w:tcPr>
          <w:p w14:paraId="0911EA51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b/>
                <w:bCs/>
                <w:color w:val="FFFFFF"/>
                <w:sz w:val="18"/>
                <w:szCs w:val="18"/>
              </w:rPr>
              <w:t>Retest Result</w:t>
            </w:r>
          </w:p>
        </w:tc>
      </w:tr>
      <w:tr w:rsidR="00B35C91" w:rsidRPr="00DA75A6" w14:paraId="02035D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06D375F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KPI pipeline (5 KPIs)</w:t>
            </w:r>
          </w:p>
        </w:tc>
        <w:tc>
          <w:tcPr>
            <w:tcW w:w="1900" w:type="dxa"/>
          </w:tcPr>
          <w:p w14:paraId="48F1EE95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Confirm exact reproduction from raw data</w:t>
            </w:r>
          </w:p>
        </w:tc>
        <w:tc>
          <w:tcPr>
            <w:tcW w:w="1900" w:type="dxa"/>
          </w:tcPr>
          <w:p w14:paraId="045AB761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Match Week 5/6 reported values</w:t>
            </w:r>
          </w:p>
        </w:tc>
        <w:tc>
          <w:tcPr>
            <w:tcW w:w="1900" w:type="dxa"/>
          </w:tcPr>
          <w:p w14:paraId="2739B146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All 8 values matched exactly</w:t>
            </w:r>
          </w:p>
        </w:tc>
        <w:tc>
          <w:tcPr>
            <w:tcW w:w="900" w:type="dxa"/>
          </w:tcPr>
          <w:p w14:paraId="6B528446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1600" w:type="dxa"/>
          </w:tcPr>
          <w:p w14:paraId="57A953F6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500" w:type="dxa"/>
          </w:tcPr>
          <w:p w14:paraId="1606D8D0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40" w:type="dxa"/>
          </w:tcPr>
          <w:p w14:paraId="1FB8723D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35C91" w:rsidRPr="00DA75A6" w14:paraId="62833D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6216C0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Chi-square tests (2)</w:t>
            </w:r>
          </w:p>
        </w:tc>
        <w:tc>
          <w:tcPr>
            <w:tcW w:w="1900" w:type="dxa"/>
          </w:tcPr>
          <w:p w14:paraId="5B3A7867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Confirm statistical results reproduce</w:t>
            </w:r>
          </w:p>
        </w:tc>
        <w:tc>
          <w:tcPr>
            <w:tcW w:w="1900" w:type="dxa"/>
          </w:tcPr>
          <w:p w14:paraId="6D29DDCF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χ²=340.42 &amp; 72.36, both p&lt;0.001</w:t>
            </w:r>
          </w:p>
        </w:tc>
        <w:tc>
          <w:tcPr>
            <w:tcW w:w="1900" w:type="dxa"/>
          </w:tcPr>
          <w:p w14:paraId="7A2F389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Exact match on both</w:t>
            </w:r>
          </w:p>
        </w:tc>
        <w:tc>
          <w:tcPr>
            <w:tcW w:w="900" w:type="dxa"/>
          </w:tcPr>
          <w:p w14:paraId="009B1CBA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1600" w:type="dxa"/>
          </w:tcPr>
          <w:p w14:paraId="59A9C8A3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500" w:type="dxa"/>
          </w:tcPr>
          <w:p w14:paraId="6182F07A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40" w:type="dxa"/>
          </w:tcPr>
          <w:p w14:paraId="775066C3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35C91" w:rsidRPr="00DA75A6" w14:paraId="56724B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FC81412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Combined risk segments</w:t>
            </w:r>
          </w:p>
        </w:tc>
        <w:tc>
          <w:tcPr>
            <w:tcW w:w="1900" w:type="dxa"/>
          </w:tcPr>
          <w:p w14:paraId="19B6E60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Test whether lead time + history combine into a usable risk matrix</w:t>
            </w:r>
          </w:p>
        </w:tc>
        <w:tc>
          <w:tcPr>
            <w:tcW w:w="1900" w:type="dxa"/>
          </w:tcPr>
          <w:p w14:paraId="18A3A58A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Additive, actionable segmentation</w:t>
            </w:r>
          </w:p>
        </w:tc>
        <w:tc>
          <w:tcPr>
            <w:tcW w:w="1900" w:type="dxa"/>
          </w:tcPr>
          <w:p w14:paraId="5912506F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Confirmed additive; 1,529-appt highest-risk group identified</w:t>
            </w:r>
          </w:p>
        </w:tc>
        <w:tc>
          <w:tcPr>
            <w:tcW w:w="900" w:type="dxa"/>
          </w:tcPr>
          <w:p w14:paraId="2EA4A01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1600" w:type="dxa"/>
          </w:tcPr>
          <w:p w14:paraId="7C9E9687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500" w:type="dxa"/>
          </w:tcPr>
          <w:p w14:paraId="6B01A2C4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New Section 4 added to report</w:t>
            </w:r>
          </w:p>
        </w:tc>
        <w:tc>
          <w:tcPr>
            <w:tcW w:w="1240" w:type="dxa"/>
          </w:tcPr>
          <w:p w14:paraId="38CE1E6F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N/A</w:t>
            </w:r>
          </w:p>
        </w:tc>
      </w:tr>
      <w:tr w:rsidR="00B35C91" w:rsidRPr="00DA75A6" w14:paraId="5634D0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9B75EC2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Reminder-assignment bias claim</w:t>
            </w:r>
          </w:p>
        </w:tc>
        <w:tc>
          <w:tcPr>
            <w:tcW w:w="1900" w:type="dxa"/>
          </w:tcPr>
          <w:p w14:paraId="0ABB3B8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Test whether reminders were sent disproportionately to low-risk patients</w:t>
            </w:r>
          </w:p>
        </w:tc>
        <w:tc>
          <w:tcPr>
            <w:tcW w:w="1900" w:type="dxa"/>
          </w:tcPr>
          <w:p w14:paraId="4BE7780B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Send rate should differ by risk if true</w:t>
            </w:r>
          </w:p>
        </w:tc>
        <w:tc>
          <w:tcPr>
            <w:tcW w:w="1900" w:type="dxa"/>
          </w:tcPr>
          <w:p w14:paraId="09F51B36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Send rate nearly identical (71.6-74.3%) across segments</w:t>
            </w:r>
          </w:p>
        </w:tc>
        <w:tc>
          <w:tcPr>
            <w:tcW w:w="900" w:type="dxa"/>
          </w:tcPr>
          <w:p w14:paraId="1B21989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FAIL (claim rejected)</w:t>
            </w:r>
          </w:p>
        </w:tc>
        <w:tc>
          <w:tcPr>
            <w:tcW w:w="1600" w:type="dxa"/>
          </w:tcPr>
          <w:p w14:paraId="72E7DEF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Claim was not supported by data</w:t>
            </w:r>
          </w:p>
        </w:tc>
        <w:tc>
          <w:tcPr>
            <w:tcW w:w="1500" w:type="dxa"/>
          </w:tcPr>
          <w:p w14:paraId="4461FBE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Claim excluded from final report</w:t>
            </w:r>
          </w:p>
        </w:tc>
        <w:tc>
          <w:tcPr>
            <w:tcW w:w="1240" w:type="dxa"/>
          </w:tcPr>
          <w:p w14:paraId="7E09BA16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N/A</w:t>
            </w:r>
          </w:p>
        </w:tc>
      </w:tr>
      <w:tr w:rsidR="00B35C91" w:rsidRPr="00DA75A6" w14:paraId="6AD289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33A6CFC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Lead-time driver</w:t>
            </w:r>
          </w:p>
        </w:tc>
        <w:tc>
          <w:tcPr>
            <w:tcW w:w="1900" w:type="dxa"/>
          </w:tcPr>
          <w:p w14:paraId="3373E1B4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Test stability across gender/age segments</w:t>
            </w:r>
          </w:p>
        </w:tc>
        <w:tc>
          <w:tcPr>
            <w:tcW w:w="1900" w:type="dxa"/>
          </w:tcPr>
          <w:p w14:paraId="7FA68E47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 xml:space="preserve">Effect </w:t>
            </w:r>
            <w:proofErr w:type="gramStart"/>
            <w:r w:rsidRPr="00DA75A6">
              <w:rPr>
                <w:color w:val="000000"/>
                <w:sz w:val="18"/>
                <w:szCs w:val="18"/>
              </w:rPr>
              <w:t>present</w:t>
            </w:r>
            <w:proofErr w:type="gramEnd"/>
            <w:r w:rsidRPr="00DA75A6">
              <w:rPr>
                <w:color w:val="000000"/>
                <w:sz w:val="18"/>
                <w:szCs w:val="18"/>
              </w:rPr>
              <w:t xml:space="preserve"> in all segments</w:t>
            </w:r>
          </w:p>
        </w:tc>
        <w:tc>
          <w:tcPr>
            <w:tcW w:w="1900" w:type="dxa"/>
          </w:tcPr>
          <w:p w14:paraId="33AD3C78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Present in all; we</w:t>
            </w:r>
            <w:r w:rsidRPr="00DA75A6">
              <w:rPr>
                <w:color w:val="000000"/>
                <w:sz w:val="18"/>
                <w:szCs w:val="18"/>
              </w:rPr>
              <w:t>aker at age extremes</w:t>
            </w:r>
          </w:p>
        </w:tc>
        <w:tc>
          <w:tcPr>
            <w:tcW w:w="900" w:type="dxa"/>
          </w:tcPr>
          <w:p w14:paraId="17F5990B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PASS (with refinement)</w:t>
            </w:r>
          </w:p>
        </w:tc>
        <w:tc>
          <w:tcPr>
            <w:tcW w:w="1600" w:type="dxa"/>
          </w:tcPr>
          <w:p w14:paraId="43FCFF7B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Effect size varies by age</w:t>
            </w:r>
          </w:p>
        </w:tc>
        <w:tc>
          <w:tcPr>
            <w:tcW w:w="1500" w:type="dxa"/>
          </w:tcPr>
          <w:p w14:paraId="5BE1EC45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Documented as new insight; updated recommendation added</w:t>
            </w:r>
          </w:p>
        </w:tc>
        <w:tc>
          <w:tcPr>
            <w:tcW w:w="1240" w:type="dxa"/>
          </w:tcPr>
          <w:p w14:paraId="05320410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N/A</w:t>
            </w:r>
          </w:p>
        </w:tc>
      </w:tr>
      <w:tr w:rsidR="00B35C91" w:rsidRPr="00DA75A6" w14:paraId="4ADD36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A04A73F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Cancelled-outcome decision</w:t>
            </w:r>
          </w:p>
        </w:tc>
        <w:tc>
          <w:tcPr>
            <w:tcW w:w="1900" w:type="dxa"/>
          </w:tcPr>
          <w:p w14:paraId="0F90EAF0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Test sensitivity of headline rate to this choice</w:t>
            </w:r>
          </w:p>
        </w:tc>
        <w:tc>
          <w:tcPr>
            <w:tcW w:w="1900" w:type="dxa"/>
          </w:tcPr>
          <w:p w14:paraId="4591C4DD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Pattern should be materially stable</w:t>
            </w:r>
          </w:p>
        </w:tc>
        <w:tc>
          <w:tcPr>
            <w:tcW w:w="1900" w:type="dxa"/>
          </w:tcPr>
          <w:p w14:paraId="043A3DA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Rate shifts 2-5pts; shape unchanged</w:t>
            </w:r>
          </w:p>
        </w:tc>
        <w:tc>
          <w:tcPr>
            <w:tcW w:w="900" w:type="dxa"/>
          </w:tcPr>
          <w:p w14:paraId="495C3B0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1600" w:type="dxa"/>
          </w:tcPr>
          <w:p w14:paraId="72519C69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None (decision validated)</w:t>
            </w:r>
          </w:p>
        </w:tc>
        <w:tc>
          <w:tcPr>
            <w:tcW w:w="1500" w:type="dxa"/>
          </w:tcPr>
          <w:p w14:paraId="3FEA67AC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None needed</w:t>
            </w:r>
          </w:p>
        </w:tc>
        <w:tc>
          <w:tcPr>
            <w:tcW w:w="1240" w:type="dxa"/>
          </w:tcPr>
          <w:p w14:paraId="1E981152" w14:textId="77777777" w:rsidR="00B35C91" w:rsidRPr="00DA75A6" w:rsidRDefault="00DA75A6" w:rsidP="00DA75A6">
            <w:pPr>
              <w:spacing w:line="360" w:lineRule="auto"/>
              <w:rPr>
                <w:sz w:val="18"/>
                <w:szCs w:val="18"/>
              </w:rPr>
            </w:pPr>
            <w:r w:rsidRPr="00DA75A6"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26AF966C" w14:textId="77777777" w:rsidR="00DA75A6" w:rsidRDefault="00DA75A6">
      <w:pPr>
        <w:spacing w:after="150"/>
      </w:pPr>
    </w:p>
    <w:p w14:paraId="237FCF4C" w14:textId="49E30E7C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lastRenderedPageBreak/>
        <w:t>Note on the rejected claim above: an earlier draft of this analysis (produced with an external tool) asserted that reminders were dispropo</w:t>
      </w:r>
      <w:r w:rsidRPr="00DA75A6">
        <w:rPr>
          <w:sz w:val="24"/>
          <w:szCs w:val="24"/>
        </w:rPr>
        <w:t>rtionately assigned to lower-risk patients. This was tested directly against the segment-level reminder-send rates and found to be false — documenting a genuine "</w:t>
      </w:r>
      <w:proofErr w:type="gramStart"/>
      <w:r w:rsidRPr="00DA75A6">
        <w:rPr>
          <w:sz w:val="24"/>
          <w:szCs w:val="24"/>
        </w:rPr>
        <w:t>fail</w:t>
      </w:r>
      <w:proofErr w:type="gramEnd"/>
      <w:r w:rsidRPr="00DA75A6">
        <w:rPr>
          <w:sz w:val="24"/>
          <w:szCs w:val="24"/>
        </w:rPr>
        <w:t xml:space="preserve">" result is itself part of rigorous testing, and the claim was removed from this report's </w:t>
      </w:r>
      <w:r w:rsidRPr="00DA75A6">
        <w:rPr>
          <w:sz w:val="24"/>
          <w:szCs w:val="24"/>
        </w:rPr>
        <w:t>final findings rather than carried forward uncritically.</w:t>
      </w:r>
    </w:p>
    <w:p w14:paraId="79405C70" w14:textId="77777777" w:rsidR="00B35C91" w:rsidRDefault="00DA75A6">
      <w:pPr>
        <w:pStyle w:val="Heading1"/>
        <w:spacing w:before="300" w:after="150"/>
      </w:pPr>
      <w:r>
        <w:t>12. Limitations</w:t>
      </w:r>
    </w:p>
    <w:p w14:paraId="35273FFB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This remains a descriptive/associational validation, not a causal one.</w:t>
      </w:r>
    </w:p>
    <w:p w14:paraId="3DCE4D6F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The age-group refinement (Section 5) is based on relatively small samples for some age bands once split by lead-time band; the direction is clear but magnitude should be treated as indicative.</w:t>
      </w:r>
    </w:p>
    <w:p w14:paraId="2E7D7F94" w14:textId="2D6AE3D9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The combined risk matrix uses a 14-day lead-time threshold chos</w:t>
      </w:r>
      <w:r w:rsidRPr="00DA75A6">
        <w:rPr>
          <w:sz w:val="24"/>
          <w:szCs w:val="24"/>
        </w:rPr>
        <w:t>en to produce a clearly interpretable four-way split; a different threshold would shift the exact segment sizes, though the overall pattern (combining both factors increase</w:t>
      </w:r>
      <w:r w:rsidRPr="00DA75A6">
        <w:rPr>
          <w:sz w:val="24"/>
          <w:szCs w:val="24"/>
        </w:rPr>
        <w:t xml:space="preserve"> separation) is robust across thresholds tested (7, 14, 15, 21, and 30 days).</w:t>
      </w:r>
    </w:p>
    <w:p w14:paraId="1F942BF5" w14:textId="77777777" w:rsidR="00B35C91" w:rsidRPr="00DA75A6" w:rsidRDefault="00DA75A6" w:rsidP="00DA75A6">
      <w:pPr>
        <w:pStyle w:val="ListParagraph"/>
        <w:numPr>
          <w:ilvl w:val="0"/>
          <w:numId w:val="2"/>
        </w:numPr>
        <w:spacing w:after="75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No in</w:t>
      </w:r>
      <w:r w:rsidRPr="00DA75A6">
        <w:rPr>
          <w:sz w:val="24"/>
          <w:szCs w:val="24"/>
        </w:rPr>
        <w:t>teractive dashboard exists for this project; all visual outputs are static charts embedded in this report, consistent with the tooling used since Week 5.</w:t>
      </w:r>
    </w:p>
    <w:p w14:paraId="12670BA8" w14:textId="77777777" w:rsidR="00B35C91" w:rsidRDefault="00DA75A6">
      <w:pPr>
        <w:pStyle w:val="Heading1"/>
        <w:spacing w:before="300" w:after="150"/>
      </w:pPr>
      <w:r>
        <w:t>13. Week 8 Readiness</w:t>
      </w:r>
    </w:p>
    <w:p w14:paraId="1636E19C" w14:textId="77777777" w:rsidR="00B35C91" w:rsidRPr="00DA75A6" w:rsidRDefault="00DA75A6" w:rsidP="00DA75A6">
      <w:pPr>
        <w:spacing w:after="150" w:line="360" w:lineRule="auto"/>
        <w:jc w:val="both"/>
        <w:rPr>
          <w:sz w:val="24"/>
          <w:szCs w:val="24"/>
        </w:rPr>
      </w:pPr>
      <w:r w:rsidRPr="00DA75A6">
        <w:rPr>
          <w:sz w:val="24"/>
          <w:szCs w:val="24"/>
        </w:rPr>
        <w:t>The core analytical pipeline is fully validated and reproducible, with no calcula</w:t>
      </w:r>
      <w:r w:rsidRPr="00DA75A6">
        <w:rPr>
          <w:sz w:val="24"/>
          <w:szCs w:val="24"/>
        </w:rPr>
        <w:t>tion errors found. The combined risk matrix gives the project a concrete, appropriately-sized target segment (1,529 appointments / 1,035 patients) ready for Week 8 final integration. Remaining work is confirming with the Data Science and Project Management</w:t>
      </w:r>
      <w:r w:rsidRPr="00DA75A6">
        <w:rPr>
          <w:sz w:val="24"/>
          <w:szCs w:val="24"/>
        </w:rPr>
        <w:t xml:space="preserve"> tracks that this combined segmentation has been incorporated into their own final outputs ahead of the Week 8 presentation.</w:t>
      </w:r>
    </w:p>
    <w:sectPr w:rsidR="00B35C91" w:rsidRPr="00DA75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C206A"/>
    <w:multiLevelType w:val="hybridMultilevel"/>
    <w:tmpl w:val="846C9B30"/>
    <w:lvl w:ilvl="0" w:tplc="EF7C1E0E">
      <w:start w:val="1"/>
      <w:numFmt w:val="bullet"/>
      <w:lvlText w:val="●"/>
      <w:lvlJc w:val="left"/>
      <w:pPr>
        <w:ind w:left="720" w:hanging="360"/>
      </w:pPr>
    </w:lvl>
    <w:lvl w:ilvl="1" w:tplc="4E8EFDA8">
      <w:start w:val="1"/>
      <w:numFmt w:val="bullet"/>
      <w:lvlText w:val="○"/>
      <w:lvlJc w:val="left"/>
      <w:pPr>
        <w:ind w:left="1440" w:hanging="360"/>
      </w:pPr>
    </w:lvl>
    <w:lvl w:ilvl="2" w:tplc="B49C3B44">
      <w:start w:val="1"/>
      <w:numFmt w:val="bullet"/>
      <w:lvlText w:val="■"/>
      <w:lvlJc w:val="left"/>
      <w:pPr>
        <w:ind w:left="2160" w:hanging="360"/>
      </w:pPr>
    </w:lvl>
    <w:lvl w:ilvl="3" w:tplc="3018779E">
      <w:start w:val="1"/>
      <w:numFmt w:val="bullet"/>
      <w:lvlText w:val="●"/>
      <w:lvlJc w:val="left"/>
      <w:pPr>
        <w:ind w:left="2880" w:hanging="360"/>
      </w:pPr>
    </w:lvl>
    <w:lvl w:ilvl="4" w:tplc="622E0988">
      <w:start w:val="1"/>
      <w:numFmt w:val="bullet"/>
      <w:lvlText w:val="○"/>
      <w:lvlJc w:val="left"/>
      <w:pPr>
        <w:ind w:left="3600" w:hanging="360"/>
      </w:pPr>
    </w:lvl>
    <w:lvl w:ilvl="5" w:tplc="2BE0AA4E">
      <w:start w:val="1"/>
      <w:numFmt w:val="bullet"/>
      <w:lvlText w:val="■"/>
      <w:lvlJc w:val="left"/>
      <w:pPr>
        <w:ind w:left="4320" w:hanging="360"/>
      </w:pPr>
    </w:lvl>
    <w:lvl w:ilvl="6" w:tplc="FAF2A56A">
      <w:start w:val="1"/>
      <w:numFmt w:val="bullet"/>
      <w:lvlText w:val="●"/>
      <w:lvlJc w:val="left"/>
      <w:pPr>
        <w:ind w:left="5040" w:hanging="360"/>
      </w:pPr>
    </w:lvl>
    <w:lvl w:ilvl="7" w:tplc="7BEEC754">
      <w:start w:val="1"/>
      <w:numFmt w:val="bullet"/>
      <w:lvlText w:val="●"/>
      <w:lvlJc w:val="left"/>
      <w:pPr>
        <w:ind w:left="5760" w:hanging="360"/>
      </w:pPr>
    </w:lvl>
    <w:lvl w:ilvl="8" w:tplc="93CECB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F3707"/>
    <w:multiLevelType w:val="hybridMultilevel"/>
    <w:tmpl w:val="7CA075DC"/>
    <w:lvl w:ilvl="0" w:tplc="E128604C">
      <w:start w:val="1"/>
      <w:numFmt w:val="bullet"/>
      <w:lvlText w:val="•"/>
      <w:lvlJc w:val="left"/>
      <w:pPr>
        <w:ind w:left="720" w:hanging="360"/>
      </w:pPr>
    </w:lvl>
    <w:lvl w:ilvl="1" w:tplc="D2CEBF96">
      <w:numFmt w:val="decimal"/>
      <w:lvlText w:val=""/>
      <w:lvlJc w:val="left"/>
    </w:lvl>
    <w:lvl w:ilvl="2" w:tplc="951618FC">
      <w:numFmt w:val="decimal"/>
      <w:lvlText w:val=""/>
      <w:lvlJc w:val="left"/>
    </w:lvl>
    <w:lvl w:ilvl="3" w:tplc="F1F62864">
      <w:numFmt w:val="decimal"/>
      <w:lvlText w:val=""/>
      <w:lvlJc w:val="left"/>
    </w:lvl>
    <w:lvl w:ilvl="4" w:tplc="C6D689AC">
      <w:numFmt w:val="decimal"/>
      <w:lvlText w:val=""/>
      <w:lvlJc w:val="left"/>
    </w:lvl>
    <w:lvl w:ilvl="5" w:tplc="28E2C15C">
      <w:numFmt w:val="decimal"/>
      <w:lvlText w:val=""/>
      <w:lvlJc w:val="left"/>
    </w:lvl>
    <w:lvl w:ilvl="6" w:tplc="62DC1A40">
      <w:numFmt w:val="decimal"/>
      <w:lvlText w:val=""/>
      <w:lvlJc w:val="left"/>
    </w:lvl>
    <w:lvl w:ilvl="7" w:tplc="6F78D59A">
      <w:numFmt w:val="decimal"/>
      <w:lvlText w:val=""/>
      <w:lvlJc w:val="left"/>
    </w:lvl>
    <w:lvl w:ilvl="8" w:tplc="025269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C91"/>
    <w:rsid w:val="00B35C91"/>
    <w:rsid w:val="00DA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806B"/>
  <w15:docId w15:val="{2E25F58C-8402-452A-B378-4538A633D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1788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2</cp:revision>
  <dcterms:created xsi:type="dcterms:W3CDTF">2026-09-19T11:38:00Z</dcterms:created>
  <dcterms:modified xsi:type="dcterms:W3CDTF">2026-09-20T15:58:00Z</dcterms:modified>
</cp:coreProperties>
</file>