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2F0BA" w14:textId="77777777" w:rsidR="002F5367" w:rsidRDefault="00710EF7">
      <w:pPr>
        <w:spacing w:after="60"/>
      </w:pPr>
      <w:r>
        <w:rPr>
          <w:b/>
          <w:bCs/>
          <w:color w:val="122A3A"/>
          <w:sz w:val="40"/>
          <w:szCs w:val="40"/>
        </w:rPr>
        <w:t>Section 9 — Mandatory HC-POD Final Integration</w:t>
      </w:r>
    </w:p>
    <w:p w14:paraId="35C9DFBF" w14:textId="77777777" w:rsidR="002F5367" w:rsidRDefault="00710EF7">
      <w:pPr>
        <w:spacing w:after="40"/>
      </w:pPr>
      <w:r>
        <w:rPr>
          <w:color w:val="3D5563"/>
          <w:sz w:val="26"/>
          <w:szCs w:val="26"/>
        </w:rPr>
        <w:t>Data Analytics Track — Cross-Track Collaboration Record</w:t>
      </w:r>
    </w:p>
    <w:p w14:paraId="1C996380" w14:textId="77777777" w:rsidR="002F5367" w:rsidRDefault="00710EF7">
      <w:pPr>
        <w:spacing w:after="300"/>
      </w:pPr>
      <w:r>
        <w:rPr>
          <w:i/>
          <w:iCs/>
          <w:color w:val="3D5563"/>
          <w:sz w:val="22"/>
          <w:szCs w:val="22"/>
        </w:rPr>
        <w:t xml:space="preserve">Oluwatosin </w:t>
      </w:r>
      <w:proofErr w:type="spellStart"/>
      <w:r>
        <w:rPr>
          <w:i/>
          <w:iCs/>
          <w:color w:val="3D5563"/>
          <w:sz w:val="22"/>
          <w:szCs w:val="22"/>
        </w:rPr>
        <w:t>Olusanya</w:t>
      </w:r>
      <w:proofErr w:type="spellEnd"/>
      <w:r>
        <w:rPr>
          <w:i/>
          <w:iCs/>
          <w:color w:val="3D5563"/>
          <w:sz w:val="22"/>
          <w:szCs w:val="22"/>
        </w:rPr>
        <w:t xml:space="preserve">, Data Analyst — </w:t>
      </w:r>
      <w:proofErr w:type="spellStart"/>
      <w:r>
        <w:rPr>
          <w:i/>
          <w:iCs/>
          <w:color w:val="3D5563"/>
          <w:sz w:val="22"/>
          <w:szCs w:val="22"/>
        </w:rPr>
        <w:t>AnalystLab</w:t>
      </w:r>
      <w:proofErr w:type="spellEnd"/>
      <w:r>
        <w:rPr>
          <w:i/>
          <w:iCs/>
          <w:color w:val="3D5563"/>
          <w:sz w:val="22"/>
          <w:szCs w:val="22"/>
        </w:rPr>
        <w:t xml:space="preserve"> Africa</w:t>
      </w:r>
    </w:p>
    <w:p w14:paraId="438AF96B" w14:textId="77777777" w:rsidR="002F5367" w:rsidRPr="00710EF7" w:rsidRDefault="00710EF7" w:rsidP="00710EF7">
      <w:pPr>
        <w:spacing w:after="160" w:line="360" w:lineRule="auto"/>
        <w:jc w:val="both"/>
        <w:rPr>
          <w:sz w:val="24"/>
          <w:szCs w:val="24"/>
        </w:rPr>
      </w:pPr>
      <w:r w:rsidRPr="00710EF7">
        <w:rPr>
          <w:sz w:val="24"/>
          <w:szCs w:val="24"/>
        </w:rPr>
        <w:t xml:space="preserve">This record documents the Data Analytics track's actual cross-track collaboration for the </w:t>
      </w:r>
      <w:proofErr w:type="spellStart"/>
      <w:r w:rsidRPr="00710EF7">
        <w:rPr>
          <w:sz w:val="24"/>
          <w:szCs w:val="24"/>
        </w:rPr>
        <w:t>HealthConnect</w:t>
      </w:r>
      <w:proofErr w:type="spellEnd"/>
      <w:r w:rsidRPr="00710EF7">
        <w:rPr>
          <w:sz w:val="24"/>
          <w:szCs w:val="24"/>
        </w:rPr>
        <w:t xml:space="preserve"> project, following the nine points required by the Week 8 assignment brief.</w:t>
      </w:r>
    </w:p>
    <w:p w14:paraId="458F687E" w14:textId="77777777" w:rsidR="002F5367" w:rsidRDefault="00710EF7">
      <w:pPr>
        <w:pStyle w:val="Heading1"/>
        <w:spacing w:before="260" w:after="160"/>
      </w:pPr>
      <w:r>
        <w:t>Collaboration: Data Analytics → Project Management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200"/>
      </w:tblGrid>
      <w:tr w:rsidR="002F5367" w:rsidRPr="00710EF7" w14:paraId="64484F93" w14:textId="77777777" w:rsidTr="00710EF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0EC"/>
          </w:tcPr>
          <w:p w14:paraId="29A895D2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b/>
                <w:bCs/>
                <w:sz w:val="22"/>
                <w:szCs w:val="22"/>
              </w:rPr>
              <w:t>1. Track collaborated wit</w:t>
            </w:r>
            <w:r w:rsidRPr="00710EF7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7200" w:type="dxa"/>
          </w:tcPr>
          <w:p w14:paraId="43887048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sz w:val="22"/>
                <w:szCs w:val="22"/>
              </w:rPr>
              <w:t>Project Management</w:t>
            </w:r>
          </w:p>
        </w:tc>
      </w:tr>
      <w:tr w:rsidR="002F5367" w:rsidRPr="00710EF7" w14:paraId="39CC9B9E" w14:textId="77777777" w:rsidTr="00710EF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0EC"/>
          </w:tcPr>
          <w:p w14:paraId="452196F0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b/>
                <w:bCs/>
                <w:sz w:val="22"/>
                <w:szCs w:val="22"/>
              </w:rPr>
              <w:t>2. Dependency</w:t>
            </w:r>
          </w:p>
        </w:tc>
        <w:tc>
          <w:tcPr>
            <w:tcW w:w="7200" w:type="dxa"/>
          </w:tcPr>
          <w:p w14:paraId="34A85B8A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sz w:val="22"/>
                <w:szCs w:val="22"/>
              </w:rPr>
              <w:t>PM's Week 7–8 readiness and resourcing planning needed a concrete, sized target population to plan around — not an abstract statistical pattern.</w:t>
            </w:r>
          </w:p>
        </w:tc>
      </w:tr>
      <w:tr w:rsidR="002F5367" w:rsidRPr="00710EF7" w14:paraId="34D5231C" w14:textId="77777777" w:rsidTr="00710EF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0EC"/>
          </w:tcPr>
          <w:p w14:paraId="797AD81C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b/>
                <w:bCs/>
                <w:sz w:val="22"/>
                <w:szCs w:val="22"/>
              </w:rPr>
              <w:t>3. Output received</w:t>
            </w:r>
          </w:p>
        </w:tc>
        <w:tc>
          <w:tcPr>
            <w:tcW w:w="7200" w:type="dxa"/>
          </w:tcPr>
          <w:p w14:paraId="78C19099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sz w:val="22"/>
                <w:szCs w:val="22"/>
              </w:rPr>
              <w:t>Integration context and dependency/risk framing from PM</w:t>
            </w:r>
            <w:r w:rsidRPr="00710EF7">
              <w:rPr>
                <w:sz w:val="22"/>
                <w:szCs w:val="22"/>
              </w:rPr>
              <w:t>, plus PM's Week 7 testing and refinement requirements — what shape the analytics output needed to take to be usable for staffing decisions.</w:t>
            </w:r>
          </w:p>
        </w:tc>
      </w:tr>
      <w:tr w:rsidR="002F5367" w:rsidRPr="00710EF7" w14:paraId="276E5A62" w14:textId="77777777" w:rsidTr="00710EF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0EC"/>
          </w:tcPr>
          <w:p w14:paraId="6FB0C7CE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b/>
                <w:bCs/>
                <w:sz w:val="22"/>
                <w:szCs w:val="22"/>
              </w:rPr>
              <w:t>4. Output provided</w:t>
            </w:r>
          </w:p>
        </w:tc>
        <w:tc>
          <w:tcPr>
            <w:tcW w:w="7200" w:type="dxa"/>
          </w:tcPr>
          <w:p w14:paraId="6BEE137C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sz w:val="22"/>
                <w:szCs w:val="22"/>
              </w:rPr>
              <w:t>Week 5 analysis identifying booking lead time and prior no-show history as the strongest driver</w:t>
            </w:r>
            <w:r w:rsidRPr="00710EF7">
              <w:rPr>
                <w:sz w:val="22"/>
                <w:szCs w:val="22"/>
              </w:rPr>
              <w:t>s; the Week 7 combined risk-segmentation matrix (1,529 appointments / 1,035 patients at 63.6% no-show, vs. 715 appointments at 28.0%); and explicit confirmation that no reminder-assignment bias exists in the current process.</w:t>
            </w:r>
          </w:p>
        </w:tc>
      </w:tr>
      <w:tr w:rsidR="002F5367" w:rsidRPr="00710EF7" w14:paraId="70B07716" w14:textId="77777777" w:rsidTr="00710EF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0EC"/>
          </w:tcPr>
          <w:p w14:paraId="4F8E2F74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b/>
                <w:bCs/>
                <w:sz w:val="22"/>
                <w:szCs w:val="22"/>
              </w:rPr>
              <w:t>5. Final integration activity</w:t>
            </w:r>
          </w:p>
        </w:tc>
        <w:tc>
          <w:tcPr>
            <w:tcW w:w="7200" w:type="dxa"/>
          </w:tcPr>
          <w:p w14:paraId="1CBF446B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sz w:val="22"/>
                <w:szCs w:val="22"/>
              </w:rPr>
              <w:t>The validated, sized risk segment was incorporated into PM's Week 7 testing/refinement priorities and carried into Week 8 final planning as the concrete basis for scoping a targeted confirmation-call intervention.</w:t>
            </w:r>
          </w:p>
        </w:tc>
      </w:tr>
      <w:tr w:rsidR="002F5367" w:rsidRPr="00710EF7" w14:paraId="4F942796" w14:textId="77777777" w:rsidTr="00710EF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0EC"/>
          </w:tcPr>
          <w:p w14:paraId="3CD58C5D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b/>
                <w:bCs/>
                <w:sz w:val="22"/>
                <w:szCs w:val="22"/>
              </w:rPr>
              <w:t>6. What cha</w:t>
            </w:r>
            <w:r w:rsidRPr="00710EF7">
              <w:rPr>
                <w:b/>
                <w:bCs/>
                <w:sz w:val="22"/>
                <w:szCs w:val="22"/>
              </w:rPr>
              <w:t>nged</w:t>
            </w:r>
          </w:p>
        </w:tc>
        <w:tc>
          <w:tcPr>
            <w:tcW w:w="7200" w:type="dxa"/>
          </w:tcPr>
          <w:p w14:paraId="6776B1E9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sz w:val="22"/>
                <w:szCs w:val="22"/>
              </w:rPr>
              <w:t>PM's target population moved from an abstract “high-risk patients” statistical pattern to an operationally sized, evidence-backed segment: 1,529 appointments across 1,035 patients.</w:t>
            </w:r>
          </w:p>
        </w:tc>
      </w:tr>
      <w:tr w:rsidR="002F5367" w:rsidRPr="00710EF7" w14:paraId="17DEDED8" w14:textId="77777777" w:rsidTr="00710EF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0EC"/>
          </w:tcPr>
          <w:p w14:paraId="01BF8D92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b/>
                <w:bCs/>
                <w:sz w:val="22"/>
                <w:szCs w:val="22"/>
              </w:rPr>
              <w:t>7. How the change improved the solution</w:t>
            </w:r>
          </w:p>
        </w:tc>
        <w:tc>
          <w:tcPr>
            <w:tcW w:w="7200" w:type="dxa"/>
          </w:tcPr>
          <w:p w14:paraId="2CA6D8FB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sz w:val="22"/>
                <w:szCs w:val="22"/>
              </w:rPr>
              <w:t>Replaced a vague targeting go</w:t>
            </w:r>
            <w:r w:rsidRPr="00710EF7">
              <w:rPr>
                <w:sz w:val="22"/>
                <w:szCs w:val="22"/>
              </w:rPr>
              <w:t>al with a group PM could actually plan staffing and workflow around, and reduced the risk of misallocating confirmation-call resources to the wrong patients.</w:t>
            </w:r>
          </w:p>
        </w:tc>
      </w:tr>
      <w:tr w:rsidR="002F5367" w:rsidRPr="00710EF7" w14:paraId="3843E75B" w14:textId="77777777" w:rsidTr="00710EF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0EC"/>
          </w:tcPr>
          <w:p w14:paraId="5C17BDCA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b/>
                <w:bCs/>
                <w:sz w:val="22"/>
                <w:szCs w:val="22"/>
              </w:rPr>
              <w:t>8. Evidence</w:t>
            </w:r>
          </w:p>
        </w:tc>
        <w:tc>
          <w:tcPr>
            <w:tcW w:w="7200" w:type="dxa"/>
          </w:tcPr>
          <w:p w14:paraId="15D8C680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sz w:val="22"/>
                <w:szCs w:val="22"/>
              </w:rPr>
              <w:t>PM's integration register logged the exchange as “Completed – PM Integration.” Underl</w:t>
            </w:r>
            <w:r w:rsidRPr="00710EF7">
              <w:rPr>
                <w:sz w:val="22"/>
                <w:szCs w:val="22"/>
              </w:rPr>
              <w:t>ying statistics: χ²=340.42 (lead time) and χ²=72.36 (prior no-shows), both p&lt;0.001; risk-segment counts of 1,529 (highest-risk) and 715 (lowest-risk) appointments.</w:t>
            </w:r>
          </w:p>
        </w:tc>
      </w:tr>
      <w:tr w:rsidR="002F5367" w:rsidRPr="00710EF7" w14:paraId="120B5AC0" w14:textId="77777777" w:rsidTr="00710EF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0EC"/>
          </w:tcPr>
          <w:p w14:paraId="200F5325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b/>
                <w:bCs/>
                <w:sz w:val="22"/>
                <w:szCs w:val="22"/>
              </w:rPr>
              <w:lastRenderedPageBreak/>
              <w:t>9. Contribution to final presentation</w:t>
            </w:r>
          </w:p>
        </w:tc>
        <w:tc>
          <w:tcPr>
            <w:tcW w:w="7200" w:type="dxa"/>
          </w:tcPr>
          <w:p w14:paraId="06F5780E" w14:textId="77777777" w:rsidR="002F5367" w:rsidRPr="00710EF7" w:rsidRDefault="00710EF7" w:rsidP="00710EF7">
            <w:pPr>
              <w:spacing w:line="360" w:lineRule="auto"/>
              <w:rPr>
                <w:sz w:val="22"/>
                <w:szCs w:val="22"/>
              </w:rPr>
            </w:pPr>
            <w:r w:rsidRPr="00710EF7">
              <w:rPr>
                <w:sz w:val="22"/>
                <w:szCs w:val="22"/>
              </w:rPr>
              <w:t>Included in the final analytics presentation deck's c</w:t>
            </w:r>
            <w:r w:rsidRPr="00710EF7">
              <w:rPr>
                <w:sz w:val="22"/>
                <w:szCs w:val="22"/>
              </w:rPr>
              <w:t>losing slide (cross-track contribution panel) and in the Week 8 analytics package's cross-track integration section.</w:t>
            </w:r>
          </w:p>
        </w:tc>
      </w:tr>
    </w:tbl>
    <w:p w14:paraId="58A52AED" w14:textId="77777777" w:rsidR="002F5367" w:rsidRPr="00710EF7" w:rsidRDefault="00710EF7" w:rsidP="00710EF7">
      <w:pPr>
        <w:spacing w:before="320" w:after="100" w:line="360" w:lineRule="auto"/>
        <w:jc w:val="both"/>
        <w:rPr>
          <w:sz w:val="24"/>
          <w:szCs w:val="24"/>
        </w:rPr>
      </w:pPr>
      <w:r w:rsidRPr="00710EF7">
        <w:rPr>
          <w:b/>
          <w:bCs/>
          <w:color w:val="122A3A"/>
          <w:sz w:val="24"/>
          <w:szCs w:val="24"/>
        </w:rPr>
        <w:t>Note on scope</w:t>
      </w:r>
    </w:p>
    <w:p w14:paraId="536CA242" w14:textId="77777777" w:rsidR="002F5367" w:rsidRPr="00710EF7" w:rsidRDefault="00710EF7" w:rsidP="00710EF7">
      <w:pPr>
        <w:spacing w:after="160" w:line="360" w:lineRule="auto"/>
        <w:jc w:val="both"/>
        <w:rPr>
          <w:sz w:val="24"/>
          <w:szCs w:val="24"/>
        </w:rPr>
      </w:pPr>
      <w:r w:rsidRPr="00710EF7">
        <w:rPr>
          <w:sz w:val="24"/>
          <w:szCs w:val="24"/>
        </w:rPr>
        <w:t>Data Science was originally identified in Week 5 as a likely collaboration partner, but the collaboration that actually took place — and is documented here — was with Project Management. This record reflects the collaboration as it happened, consistent wit</w:t>
      </w:r>
      <w:r w:rsidRPr="00710EF7">
        <w:rPr>
          <w:sz w:val="24"/>
          <w:szCs w:val="24"/>
        </w:rPr>
        <w:t>h the assignment's requirement not to present work that does not represent actual contribution.</w:t>
      </w:r>
    </w:p>
    <w:sectPr w:rsidR="002F5367" w:rsidRPr="00710E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2132D"/>
    <w:multiLevelType w:val="hybridMultilevel"/>
    <w:tmpl w:val="C1EE6CEE"/>
    <w:lvl w:ilvl="0" w:tplc="7B469F70">
      <w:start w:val="1"/>
      <w:numFmt w:val="bullet"/>
      <w:lvlText w:val="●"/>
      <w:lvlJc w:val="left"/>
      <w:pPr>
        <w:ind w:left="720" w:hanging="360"/>
      </w:pPr>
    </w:lvl>
    <w:lvl w:ilvl="1" w:tplc="34FAA6F2">
      <w:start w:val="1"/>
      <w:numFmt w:val="bullet"/>
      <w:lvlText w:val="○"/>
      <w:lvlJc w:val="left"/>
      <w:pPr>
        <w:ind w:left="1440" w:hanging="360"/>
      </w:pPr>
    </w:lvl>
    <w:lvl w:ilvl="2" w:tplc="2B2A5444">
      <w:start w:val="1"/>
      <w:numFmt w:val="bullet"/>
      <w:lvlText w:val="■"/>
      <w:lvlJc w:val="left"/>
      <w:pPr>
        <w:ind w:left="2160" w:hanging="360"/>
      </w:pPr>
    </w:lvl>
    <w:lvl w:ilvl="3" w:tplc="2B244F7C">
      <w:start w:val="1"/>
      <w:numFmt w:val="bullet"/>
      <w:lvlText w:val="●"/>
      <w:lvlJc w:val="left"/>
      <w:pPr>
        <w:ind w:left="2880" w:hanging="360"/>
      </w:pPr>
    </w:lvl>
    <w:lvl w:ilvl="4" w:tplc="96187F72">
      <w:start w:val="1"/>
      <w:numFmt w:val="bullet"/>
      <w:lvlText w:val="○"/>
      <w:lvlJc w:val="left"/>
      <w:pPr>
        <w:ind w:left="3600" w:hanging="360"/>
      </w:pPr>
    </w:lvl>
    <w:lvl w:ilvl="5" w:tplc="ABC2AD6C">
      <w:start w:val="1"/>
      <w:numFmt w:val="bullet"/>
      <w:lvlText w:val="■"/>
      <w:lvlJc w:val="left"/>
      <w:pPr>
        <w:ind w:left="4320" w:hanging="360"/>
      </w:pPr>
    </w:lvl>
    <w:lvl w:ilvl="6" w:tplc="9B7EB322">
      <w:start w:val="1"/>
      <w:numFmt w:val="bullet"/>
      <w:lvlText w:val="●"/>
      <w:lvlJc w:val="left"/>
      <w:pPr>
        <w:ind w:left="5040" w:hanging="360"/>
      </w:pPr>
    </w:lvl>
    <w:lvl w:ilvl="7" w:tplc="AC14F27C">
      <w:start w:val="1"/>
      <w:numFmt w:val="bullet"/>
      <w:lvlText w:val="●"/>
      <w:lvlJc w:val="left"/>
      <w:pPr>
        <w:ind w:left="5760" w:hanging="360"/>
      </w:pPr>
    </w:lvl>
    <w:lvl w:ilvl="8" w:tplc="069C10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367"/>
    <w:rsid w:val="002F5367"/>
    <w:rsid w:val="0071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22EB"/>
  <w15:docId w15:val="{D45E2D38-D13B-49F1-A9EE-4ECB8361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frin account</cp:lastModifiedBy>
  <cp:revision>2</cp:revision>
  <dcterms:created xsi:type="dcterms:W3CDTF">2026-09-26T16:55:00Z</dcterms:created>
  <dcterms:modified xsi:type="dcterms:W3CDTF">2026-09-27T20:11:00Z</dcterms:modified>
</cp:coreProperties>
</file>