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35530" w14:textId="77777777" w:rsidR="00903F7F" w:rsidRDefault="00F65591">
      <w:pPr>
        <w:spacing w:after="80"/>
      </w:pPr>
      <w:proofErr w:type="spellStart"/>
      <w:r>
        <w:rPr>
          <w:b/>
          <w:bCs/>
          <w:color w:val="6A2C70"/>
          <w:sz w:val="36"/>
          <w:szCs w:val="36"/>
        </w:rPr>
        <w:t>HealthConnect</w:t>
      </w:r>
      <w:proofErr w:type="spellEnd"/>
      <w:r>
        <w:rPr>
          <w:b/>
          <w:bCs/>
          <w:color w:val="6A2C70"/>
          <w:sz w:val="36"/>
          <w:szCs w:val="36"/>
        </w:rPr>
        <w:t xml:space="preserve"> Final Analytics Package</w:t>
      </w:r>
    </w:p>
    <w:p w14:paraId="62C7E1C9" w14:textId="77777777" w:rsidR="00903F7F" w:rsidRDefault="00F65591">
      <w:pPr>
        <w:spacing w:after="40"/>
      </w:pPr>
      <w:proofErr w:type="spellStart"/>
      <w:r>
        <w:rPr>
          <w:color w:val="555555"/>
          <w:sz w:val="22"/>
          <w:szCs w:val="22"/>
        </w:rPr>
        <w:t>HealthConnect</w:t>
      </w:r>
      <w:proofErr w:type="spellEnd"/>
      <w:r>
        <w:rPr>
          <w:color w:val="555555"/>
          <w:sz w:val="22"/>
          <w:szCs w:val="22"/>
        </w:rPr>
        <w:t xml:space="preserve"> Clinic — Data Analytics Track, Final Integration &amp; Presentation</w:t>
      </w:r>
    </w:p>
    <w:p w14:paraId="292DC392" w14:textId="77777777" w:rsidR="00903F7F" w:rsidRDefault="00F65591">
      <w:pPr>
        <w:spacing w:after="20"/>
      </w:pPr>
      <w:proofErr w:type="spellStart"/>
      <w:r>
        <w:rPr>
          <w:color w:val="777777"/>
        </w:rPr>
        <w:t>AnalystLab</w:t>
      </w:r>
      <w:proofErr w:type="spellEnd"/>
      <w:r>
        <w:rPr>
          <w:color w:val="777777"/>
        </w:rPr>
        <w:t xml:space="preserve"> Africa Experience Lab — Week 8</w:t>
      </w:r>
    </w:p>
    <w:p w14:paraId="5BB492ED" w14:textId="77777777" w:rsidR="00903F7F" w:rsidRDefault="00F65591">
      <w:pPr>
        <w:spacing w:after="340"/>
      </w:pPr>
      <w:r>
        <w:rPr>
          <w:color w:val="777777"/>
        </w:rPr>
        <w:t xml:space="preserve">Prepared by Oluwatosin </w:t>
      </w:r>
      <w:proofErr w:type="spellStart"/>
      <w:r>
        <w:rPr>
          <w:color w:val="777777"/>
        </w:rPr>
        <w:t>Olusanya</w:t>
      </w:r>
      <w:proofErr w:type="spellEnd"/>
      <w:r>
        <w:rPr>
          <w:color w:val="777777"/>
        </w:rPr>
        <w:t xml:space="preserve">, Data Analyst — </w:t>
      </w:r>
      <w:proofErr w:type="spellStart"/>
      <w:r>
        <w:rPr>
          <w:color w:val="777777"/>
        </w:rPr>
        <w:t>AnalystLab</w:t>
      </w:r>
      <w:proofErr w:type="spellEnd"/>
      <w:r>
        <w:rPr>
          <w:color w:val="777777"/>
        </w:rPr>
        <w:t xml:space="preserve"> Africa</w:t>
      </w:r>
    </w:p>
    <w:p w14:paraId="3975749A" w14:textId="77777777" w:rsidR="00903F7F" w:rsidRDefault="00F65591">
      <w:pPr>
        <w:pStyle w:val="Heading1"/>
        <w:spacing w:before="300" w:after="150"/>
      </w:pPr>
      <w:r>
        <w:t>Executive Summary</w:t>
      </w:r>
    </w:p>
    <w:p w14:paraId="6A06FE00" w14:textId="77777777" w:rsidR="00903F7F" w:rsidRPr="00F65591" w:rsidRDefault="00F65591" w:rsidP="00F65591">
      <w:pPr>
        <w:spacing w:after="150" w:line="360" w:lineRule="auto"/>
        <w:jc w:val="both"/>
        <w:rPr>
          <w:sz w:val="24"/>
          <w:szCs w:val="24"/>
        </w:rPr>
      </w:pPr>
      <w:proofErr w:type="spellStart"/>
      <w:r w:rsidRPr="00F65591">
        <w:rPr>
          <w:sz w:val="24"/>
          <w:szCs w:val="24"/>
        </w:rPr>
        <w:t>HealthConnect</w:t>
      </w:r>
      <w:proofErr w:type="spellEnd"/>
      <w:r w:rsidRPr="00F65591">
        <w:rPr>
          <w:sz w:val="24"/>
          <w:szCs w:val="24"/>
        </w:rPr>
        <w:t xml:space="preserve"> Clinic loses over half of its scheduled appointment capacity to no-shows — a 51.2% rate confirmed, independently re-validated, and statistically tested across</w:t>
      </w:r>
      <w:r w:rsidRPr="00F65591">
        <w:rPr>
          <w:sz w:val="24"/>
          <w:szCs w:val="24"/>
        </w:rPr>
        <w:t xml:space="preserve"> an 8-week analysis. Two factors drive this overwhelmingly: how far in advance a patient books (26.6% no-show at 0-3 days vs. 63.9% at 30+ days, χ²=340.42, p&lt;0.001) and a patient's own no-show history (46.3% vs. 70.3% for 3+ prior no-shows, χ²=72.36, p&lt;0.0</w:t>
      </w:r>
      <w:r w:rsidRPr="00F65591">
        <w:rPr>
          <w:sz w:val="24"/>
          <w:szCs w:val="24"/>
        </w:rPr>
        <w:t xml:space="preserve">01). Combined into a single risk matrix, these two factors identify a clear, appropriately sized highest-risk group — 1,529 appointments (1,035 patients) at 63.6% no-show — that the clinic can target directly. Reminders help, but only modestly, and mainly </w:t>
      </w:r>
      <w:r w:rsidRPr="00F65591">
        <w:rPr>
          <w:sz w:val="24"/>
          <w:szCs w:val="24"/>
        </w:rPr>
        <w:t>for at-risk patients; they are not a standalone fix. Every finding in this package has been independently reproduced from the raw dataset, tested across demographic segments, and stress-tested against a key methodological decision — this is not a first-pas</w:t>
      </w:r>
      <w:r w:rsidRPr="00F65591">
        <w:rPr>
          <w:sz w:val="24"/>
          <w:szCs w:val="24"/>
        </w:rPr>
        <w:t>s analysis but a validated, portfolio-ready decision-support package.</w:t>
      </w:r>
    </w:p>
    <w:p w14:paraId="294B3FD6" w14:textId="77777777" w:rsidR="00903F7F" w:rsidRDefault="00F65591">
      <w:pPr>
        <w:pStyle w:val="Heading1"/>
        <w:spacing w:before="300" w:after="150"/>
      </w:pPr>
      <w:r>
        <w:t>1. Final Validated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8"/>
        <w:gridCol w:w="1998"/>
        <w:gridCol w:w="4584"/>
      </w:tblGrid>
      <w:tr w:rsidR="00903F7F" w:rsidRPr="00F65591" w14:paraId="2D2008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6A2C70"/>
          </w:tcPr>
          <w:p w14:paraId="46DCB58E" w14:textId="77777777" w:rsidR="00903F7F" w:rsidRPr="00F65591" w:rsidRDefault="00F65591" w:rsidP="00F65591">
            <w:pPr>
              <w:spacing w:line="360" w:lineRule="auto"/>
              <w:rPr>
                <w:sz w:val="22"/>
                <w:szCs w:val="22"/>
              </w:rPr>
            </w:pPr>
            <w:r w:rsidRPr="00F65591">
              <w:rPr>
                <w:b/>
                <w:bCs/>
                <w:color w:val="FFFFFF"/>
                <w:sz w:val="22"/>
                <w:szCs w:val="22"/>
              </w:rPr>
              <w:t>KPI</w:t>
            </w:r>
          </w:p>
        </w:tc>
        <w:tc>
          <w:tcPr>
            <w:tcW w:w="2200" w:type="dxa"/>
            <w:shd w:val="clear" w:color="auto" w:fill="6A2C70"/>
          </w:tcPr>
          <w:p w14:paraId="1C2DE700" w14:textId="77777777" w:rsidR="00903F7F" w:rsidRPr="00F65591" w:rsidRDefault="00F65591" w:rsidP="00F65591">
            <w:pPr>
              <w:spacing w:line="360" w:lineRule="auto"/>
              <w:rPr>
                <w:sz w:val="22"/>
                <w:szCs w:val="22"/>
              </w:rPr>
            </w:pPr>
            <w:r w:rsidRPr="00F65591">
              <w:rPr>
                <w:b/>
                <w:bCs/>
                <w:color w:val="FFFFFF"/>
                <w:sz w:val="22"/>
                <w:szCs w:val="22"/>
              </w:rPr>
              <w:t>Final Value</w:t>
            </w:r>
          </w:p>
        </w:tc>
        <w:tc>
          <w:tcPr>
            <w:tcW w:w="5060" w:type="dxa"/>
            <w:shd w:val="clear" w:color="auto" w:fill="6A2C70"/>
          </w:tcPr>
          <w:p w14:paraId="28039962" w14:textId="77777777" w:rsidR="00903F7F" w:rsidRPr="00F65591" w:rsidRDefault="00F65591" w:rsidP="00F65591">
            <w:pPr>
              <w:spacing w:line="360" w:lineRule="auto"/>
              <w:rPr>
                <w:sz w:val="22"/>
                <w:szCs w:val="22"/>
              </w:rPr>
            </w:pPr>
            <w:r w:rsidRPr="00F65591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903F7F" w:rsidRPr="00F65591" w14:paraId="06D97E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0FDEC19" w14:textId="77777777" w:rsidR="00903F7F" w:rsidRPr="00F65591" w:rsidRDefault="00F65591" w:rsidP="00F65591">
            <w:pPr>
              <w:spacing w:line="360" w:lineRule="auto"/>
              <w:rPr>
                <w:sz w:val="22"/>
                <w:szCs w:val="22"/>
              </w:rPr>
            </w:pPr>
            <w:r w:rsidRPr="00F65591">
              <w:rPr>
                <w:color w:val="000000"/>
                <w:sz w:val="22"/>
                <w:szCs w:val="22"/>
              </w:rPr>
              <w:t>Overall No-Show Rate</w:t>
            </w:r>
          </w:p>
        </w:tc>
        <w:tc>
          <w:tcPr>
            <w:tcW w:w="2200" w:type="dxa"/>
          </w:tcPr>
          <w:p w14:paraId="68575631" w14:textId="77777777" w:rsidR="00903F7F" w:rsidRPr="00F65591" w:rsidRDefault="00F65591" w:rsidP="00F65591">
            <w:pPr>
              <w:spacing w:line="360" w:lineRule="auto"/>
              <w:rPr>
                <w:sz w:val="22"/>
                <w:szCs w:val="22"/>
              </w:rPr>
            </w:pPr>
            <w:r w:rsidRPr="00F65591">
              <w:rPr>
                <w:color w:val="000000"/>
                <w:sz w:val="22"/>
                <w:szCs w:val="22"/>
              </w:rPr>
              <w:t>51.2%</w:t>
            </w:r>
          </w:p>
        </w:tc>
        <w:tc>
          <w:tcPr>
            <w:tcW w:w="5060" w:type="dxa"/>
          </w:tcPr>
          <w:p w14:paraId="79929134" w14:textId="77777777" w:rsidR="00903F7F" w:rsidRPr="00F65591" w:rsidRDefault="00F65591" w:rsidP="00F65591">
            <w:pPr>
              <w:spacing w:line="360" w:lineRule="auto"/>
              <w:rPr>
                <w:sz w:val="22"/>
                <w:szCs w:val="22"/>
              </w:rPr>
            </w:pPr>
            <w:r w:rsidRPr="00F65591">
              <w:rPr>
                <w:color w:val="000000"/>
                <w:sz w:val="22"/>
                <w:szCs w:val="22"/>
              </w:rPr>
              <w:t>2,423 of 4,737 definitive-outcome appointments; reproduced exactly in Week 7</w:t>
            </w:r>
          </w:p>
        </w:tc>
      </w:tr>
      <w:tr w:rsidR="00903F7F" w:rsidRPr="00F65591" w14:paraId="32EF76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0CF97CE" w14:textId="77777777" w:rsidR="00903F7F" w:rsidRPr="00F65591" w:rsidRDefault="00F65591" w:rsidP="00F65591">
            <w:pPr>
              <w:spacing w:line="360" w:lineRule="auto"/>
              <w:rPr>
                <w:sz w:val="22"/>
                <w:szCs w:val="22"/>
              </w:rPr>
            </w:pPr>
            <w:r w:rsidRPr="00F65591">
              <w:rPr>
                <w:color w:val="000000"/>
                <w:sz w:val="22"/>
                <w:szCs w:val="22"/>
              </w:rPr>
              <w:t>No-Show Rate by Lead Time</w:t>
            </w:r>
          </w:p>
        </w:tc>
        <w:tc>
          <w:tcPr>
            <w:tcW w:w="2200" w:type="dxa"/>
          </w:tcPr>
          <w:p w14:paraId="16FFA463" w14:textId="77777777" w:rsidR="00903F7F" w:rsidRPr="00F65591" w:rsidRDefault="00F65591" w:rsidP="00F65591">
            <w:pPr>
              <w:spacing w:line="360" w:lineRule="auto"/>
              <w:rPr>
                <w:sz w:val="22"/>
                <w:szCs w:val="22"/>
              </w:rPr>
            </w:pPr>
            <w:r w:rsidRPr="00F65591">
              <w:rPr>
                <w:color w:val="000000"/>
                <w:sz w:val="22"/>
                <w:szCs w:val="22"/>
              </w:rPr>
              <w:t>26.6% → 63.9%</w:t>
            </w:r>
          </w:p>
        </w:tc>
        <w:tc>
          <w:tcPr>
            <w:tcW w:w="5060" w:type="dxa"/>
          </w:tcPr>
          <w:p w14:paraId="685228AD" w14:textId="77777777" w:rsidR="00903F7F" w:rsidRPr="00F65591" w:rsidRDefault="00F65591" w:rsidP="00F65591">
            <w:pPr>
              <w:spacing w:line="360" w:lineRule="auto"/>
              <w:rPr>
                <w:sz w:val="22"/>
                <w:szCs w:val="22"/>
              </w:rPr>
            </w:pPr>
            <w:proofErr w:type="gramStart"/>
            <w:r w:rsidRPr="00F65591">
              <w:rPr>
                <w:color w:val="000000"/>
                <w:sz w:val="22"/>
                <w:szCs w:val="22"/>
              </w:rPr>
              <w:t>0-3 day</w:t>
            </w:r>
            <w:proofErr w:type="gramEnd"/>
            <w:r w:rsidRPr="00F65591">
              <w:rPr>
                <w:color w:val="000000"/>
                <w:sz w:val="22"/>
                <w:szCs w:val="22"/>
              </w:rPr>
              <w:t xml:space="preserve"> vs 30+ day booking window; χ²=340.42, p&lt;0.001</w:t>
            </w:r>
          </w:p>
        </w:tc>
      </w:tr>
      <w:tr w:rsidR="00903F7F" w:rsidRPr="00F65591" w14:paraId="5EB966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79B2333" w14:textId="77777777" w:rsidR="00903F7F" w:rsidRPr="00F65591" w:rsidRDefault="00F65591" w:rsidP="00F65591">
            <w:pPr>
              <w:spacing w:line="360" w:lineRule="auto"/>
              <w:rPr>
                <w:sz w:val="22"/>
                <w:szCs w:val="22"/>
              </w:rPr>
            </w:pPr>
            <w:r w:rsidRPr="00F65591">
              <w:rPr>
                <w:color w:val="000000"/>
                <w:sz w:val="22"/>
                <w:szCs w:val="22"/>
              </w:rPr>
              <w:t>Repeat No-Show Rate</w:t>
            </w:r>
          </w:p>
        </w:tc>
        <w:tc>
          <w:tcPr>
            <w:tcW w:w="2200" w:type="dxa"/>
          </w:tcPr>
          <w:p w14:paraId="05A2153A" w14:textId="77777777" w:rsidR="00903F7F" w:rsidRPr="00F65591" w:rsidRDefault="00F65591" w:rsidP="00F65591">
            <w:pPr>
              <w:spacing w:line="360" w:lineRule="auto"/>
              <w:rPr>
                <w:sz w:val="22"/>
                <w:szCs w:val="22"/>
              </w:rPr>
            </w:pPr>
            <w:r w:rsidRPr="00F65591">
              <w:rPr>
                <w:color w:val="000000"/>
                <w:sz w:val="22"/>
                <w:szCs w:val="22"/>
              </w:rPr>
              <w:t>46.3% → 70.3%</w:t>
            </w:r>
          </w:p>
        </w:tc>
        <w:tc>
          <w:tcPr>
            <w:tcW w:w="5060" w:type="dxa"/>
          </w:tcPr>
          <w:p w14:paraId="3615004D" w14:textId="77777777" w:rsidR="00903F7F" w:rsidRPr="00F65591" w:rsidRDefault="00F65591" w:rsidP="00F65591">
            <w:pPr>
              <w:spacing w:line="360" w:lineRule="auto"/>
              <w:rPr>
                <w:sz w:val="22"/>
                <w:szCs w:val="22"/>
              </w:rPr>
            </w:pPr>
            <w:r w:rsidRPr="00F65591">
              <w:rPr>
                <w:color w:val="000000"/>
                <w:sz w:val="22"/>
                <w:szCs w:val="22"/>
              </w:rPr>
              <w:t>0 vs 3+ prior no-shows; χ²=72.36, p&lt;0.001</w:t>
            </w:r>
          </w:p>
        </w:tc>
      </w:tr>
      <w:tr w:rsidR="00903F7F" w:rsidRPr="00F65591" w14:paraId="64169C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9A14F74" w14:textId="77777777" w:rsidR="00903F7F" w:rsidRPr="00F65591" w:rsidRDefault="00F65591" w:rsidP="00F65591">
            <w:pPr>
              <w:spacing w:line="360" w:lineRule="auto"/>
              <w:rPr>
                <w:sz w:val="22"/>
                <w:szCs w:val="22"/>
              </w:rPr>
            </w:pPr>
            <w:r w:rsidRPr="00F65591">
              <w:rPr>
                <w:color w:val="000000"/>
                <w:sz w:val="22"/>
                <w:szCs w:val="22"/>
              </w:rPr>
              <w:t>Remind</w:t>
            </w:r>
            <w:r w:rsidRPr="00F65591">
              <w:rPr>
                <w:color w:val="000000"/>
                <w:sz w:val="22"/>
                <w:szCs w:val="22"/>
              </w:rPr>
              <w:t>er Effectiveness</w:t>
            </w:r>
          </w:p>
        </w:tc>
        <w:tc>
          <w:tcPr>
            <w:tcW w:w="2200" w:type="dxa"/>
          </w:tcPr>
          <w:p w14:paraId="0C71C925" w14:textId="77777777" w:rsidR="00903F7F" w:rsidRPr="00F65591" w:rsidRDefault="00F65591" w:rsidP="00F65591">
            <w:pPr>
              <w:spacing w:line="360" w:lineRule="auto"/>
              <w:rPr>
                <w:sz w:val="22"/>
                <w:szCs w:val="22"/>
              </w:rPr>
            </w:pPr>
            <w:r w:rsidRPr="00F65591">
              <w:rPr>
                <w:color w:val="000000"/>
                <w:sz w:val="22"/>
                <w:szCs w:val="22"/>
              </w:rPr>
              <w:t>0.4 – 6.5pt</w:t>
            </w:r>
          </w:p>
        </w:tc>
        <w:tc>
          <w:tcPr>
            <w:tcW w:w="5060" w:type="dxa"/>
          </w:tcPr>
          <w:p w14:paraId="043E462B" w14:textId="77777777" w:rsidR="00903F7F" w:rsidRPr="00F65591" w:rsidRDefault="00F65591" w:rsidP="00F65591">
            <w:pPr>
              <w:spacing w:line="360" w:lineRule="auto"/>
              <w:rPr>
                <w:sz w:val="22"/>
                <w:szCs w:val="22"/>
              </w:rPr>
            </w:pPr>
            <w:r w:rsidRPr="00F65591">
              <w:rPr>
                <w:color w:val="000000"/>
                <w:sz w:val="22"/>
                <w:szCs w:val="22"/>
              </w:rPr>
              <w:t>Improvement varies by risk segment; largest for at-risk patients</w:t>
            </w:r>
          </w:p>
        </w:tc>
      </w:tr>
      <w:tr w:rsidR="00903F7F" w:rsidRPr="00F65591" w14:paraId="559740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271C81B" w14:textId="77777777" w:rsidR="00903F7F" w:rsidRPr="00F65591" w:rsidRDefault="00F65591" w:rsidP="00F65591">
            <w:pPr>
              <w:spacing w:line="360" w:lineRule="auto"/>
              <w:rPr>
                <w:sz w:val="22"/>
                <w:szCs w:val="22"/>
              </w:rPr>
            </w:pPr>
            <w:r w:rsidRPr="00F65591">
              <w:rPr>
                <w:color w:val="000000"/>
                <w:sz w:val="22"/>
                <w:szCs w:val="22"/>
              </w:rPr>
              <w:t>Combined Risk Segmentation</w:t>
            </w:r>
          </w:p>
        </w:tc>
        <w:tc>
          <w:tcPr>
            <w:tcW w:w="2200" w:type="dxa"/>
          </w:tcPr>
          <w:p w14:paraId="72168D45" w14:textId="77777777" w:rsidR="00903F7F" w:rsidRPr="00F65591" w:rsidRDefault="00F65591" w:rsidP="00F65591">
            <w:pPr>
              <w:spacing w:line="360" w:lineRule="auto"/>
              <w:rPr>
                <w:sz w:val="22"/>
                <w:szCs w:val="22"/>
              </w:rPr>
            </w:pPr>
            <w:r w:rsidRPr="00F65591">
              <w:rPr>
                <w:color w:val="000000"/>
                <w:sz w:val="22"/>
                <w:szCs w:val="22"/>
              </w:rPr>
              <w:t>28.0% → 63.6%</w:t>
            </w:r>
          </w:p>
        </w:tc>
        <w:tc>
          <w:tcPr>
            <w:tcW w:w="5060" w:type="dxa"/>
          </w:tcPr>
          <w:p w14:paraId="66368B9F" w14:textId="77777777" w:rsidR="00903F7F" w:rsidRPr="00F65591" w:rsidRDefault="00F65591" w:rsidP="00F65591">
            <w:pPr>
              <w:spacing w:line="360" w:lineRule="auto"/>
              <w:rPr>
                <w:sz w:val="22"/>
                <w:szCs w:val="22"/>
              </w:rPr>
            </w:pPr>
            <w:r w:rsidRPr="00F65591">
              <w:rPr>
                <w:color w:val="000000"/>
                <w:sz w:val="22"/>
                <w:szCs w:val="22"/>
              </w:rPr>
              <w:t>Lowest-risk (715 appts) vs highest-risk (1,529 appts) combined segment</w:t>
            </w:r>
          </w:p>
        </w:tc>
      </w:tr>
    </w:tbl>
    <w:p w14:paraId="2A1E2EAF" w14:textId="77777777" w:rsidR="00F65591" w:rsidRDefault="00F65591">
      <w:pPr>
        <w:pStyle w:val="Heading1"/>
        <w:spacing w:before="300" w:after="150"/>
      </w:pPr>
    </w:p>
    <w:p w14:paraId="6F13CCD6" w14:textId="77777777" w:rsidR="00F65591" w:rsidRDefault="00F65591">
      <w:pPr>
        <w:pStyle w:val="Heading1"/>
        <w:spacing w:before="300" w:after="150"/>
      </w:pPr>
    </w:p>
    <w:p w14:paraId="269EFEB3" w14:textId="62F1BE06" w:rsidR="00903F7F" w:rsidRDefault="00F65591">
      <w:pPr>
        <w:pStyle w:val="Heading1"/>
        <w:spacing w:before="300" w:after="150"/>
      </w:pPr>
      <w:r>
        <w:lastRenderedPageBreak/>
        <w:t>2. Key Visualizations</w:t>
      </w:r>
    </w:p>
    <w:p w14:paraId="3C9DF244" w14:textId="77777777" w:rsidR="00903F7F" w:rsidRDefault="00F65591">
      <w:pPr>
        <w:spacing w:before="110" w:after="60"/>
        <w:jc w:val="center"/>
      </w:pPr>
      <w:r w:rsidRPr="00F65591">
        <w:rPr>
          <w:noProof/>
          <w:sz w:val="22"/>
          <w:szCs w:val="22"/>
        </w:rPr>
        <w:drawing>
          <wp:inline distT="0" distB="0" distL="0" distR="0" wp14:anchorId="1B625304" wp14:editId="26178996">
            <wp:extent cx="360045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015C" w14:textId="77777777" w:rsidR="00903F7F" w:rsidRDefault="00F65591"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>Figure 1: Final appointment outcome distribution across all 5,000 appointments.</w:t>
      </w:r>
    </w:p>
    <w:p w14:paraId="2194D40E" w14:textId="77777777" w:rsidR="00903F7F" w:rsidRDefault="00F65591">
      <w:pPr>
        <w:spacing w:before="110" w:after="60"/>
        <w:jc w:val="center"/>
      </w:pPr>
      <w:r w:rsidRPr="00F65591">
        <w:rPr>
          <w:noProof/>
          <w:sz w:val="22"/>
          <w:szCs w:val="22"/>
        </w:rPr>
        <w:drawing>
          <wp:inline distT="0" distB="0" distL="0" distR="0" wp14:anchorId="7005FDC1" wp14:editId="30E4D325">
            <wp:extent cx="4695825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E850" w14:textId="77777777" w:rsidR="00903F7F" w:rsidRDefault="00F65591"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>Figure 2: No-show rate by booking lead time — the strongest individual driver.</w:t>
      </w:r>
    </w:p>
    <w:p w14:paraId="0FB82CFE" w14:textId="77777777" w:rsidR="00903F7F" w:rsidRDefault="00F65591">
      <w:pPr>
        <w:spacing w:before="110" w:after="60"/>
        <w:jc w:val="center"/>
      </w:pPr>
      <w:r w:rsidRPr="00F65591">
        <w:rPr>
          <w:noProof/>
          <w:sz w:val="22"/>
          <w:szCs w:val="22"/>
        </w:rPr>
        <w:lastRenderedPageBreak/>
        <w:drawing>
          <wp:inline distT="0" distB="0" distL="0" distR="0" wp14:anchorId="5584F9FF" wp14:editId="69779762">
            <wp:extent cx="4695825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BD47" w14:textId="77777777" w:rsidR="00903F7F" w:rsidRDefault="00F65591"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>Figure 3: No-show rate by prior no-show count — the second-strongest driver.</w:t>
      </w:r>
    </w:p>
    <w:p w14:paraId="29441EB1" w14:textId="77777777" w:rsidR="00903F7F" w:rsidRDefault="00F65591">
      <w:pPr>
        <w:spacing w:before="110" w:after="60"/>
        <w:jc w:val="center"/>
      </w:pPr>
      <w:r w:rsidRPr="00F65591">
        <w:rPr>
          <w:noProof/>
          <w:sz w:val="22"/>
          <w:szCs w:val="22"/>
        </w:rPr>
        <w:drawing>
          <wp:inline distT="0" distB="0" distL="0" distR="0" wp14:anchorId="2BF76C16" wp14:editId="4DFA4788">
            <wp:extent cx="4400550" cy="3724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343C" w14:textId="77777777" w:rsidR="00903F7F" w:rsidRDefault="00F65591"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>Figure 4: Fina</w:t>
      </w:r>
      <w:r>
        <w:rPr>
          <w:i/>
          <w:iCs/>
          <w:color w:val="555555"/>
          <w:sz w:val="18"/>
          <w:szCs w:val="18"/>
        </w:rPr>
        <w:t>l combined risk segmentation matrix.</w:t>
      </w:r>
    </w:p>
    <w:p w14:paraId="6092A3A8" w14:textId="77777777" w:rsidR="00903F7F" w:rsidRDefault="00F65591">
      <w:pPr>
        <w:spacing w:before="110" w:after="60"/>
        <w:jc w:val="center"/>
      </w:pPr>
      <w:r w:rsidRPr="00F65591">
        <w:rPr>
          <w:noProof/>
          <w:sz w:val="22"/>
          <w:szCs w:val="22"/>
        </w:rPr>
        <w:lastRenderedPageBreak/>
        <w:drawing>
          <wp:inline distT="0" distB="0" distL="0" distR="0" wp14:anchorId="15970772" wp14:editId="5E056E7D">
            <wp:extent cx="5895975" cy="32480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5745" w14:textId="77777777" w:rsidR="00903F7F" w:rsidRDefault="00F65591"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>Figure 5: Reminder effectiveness by risk segment — largest effect where it's needed most.</w:t>
      </w:r>
    </w:p>
    <w:p w14:paraId="5329D9D7" w14:textId="77777777" w:rsidR="00903F7F" w:rsidRDefault="00F65591">
      <w:pPr>
        <w:spacing w:before="110" w:after="60"/>
        <w:jc w:val="center"/>
      </w:pPr>
      <w:r w:rsidRPr="00F65591">
        <w:rPr>
          <w:noProof/>
          <w:sz w:val="22"/>
          <w:szCs w:val="22"/>
        </w:rPr>
        <w:drawing>
          <wp:inline distT="0" distB="0" distL="0" distR="0" wp14:anchorId="116C9598" wp14:editId="0DB39614">
            <wp:extent cx="5895975" cy="2657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FCFA" w14:textId="102DD7E5" w:rsidR="00903F7F" w:rsidRDefault="00F65591">
      <w:pPr>
        <w:spacing w:after="26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Figure 6: No-show rate trend over time — stable, not seasonal, confirming this is a structural issue.</w:t>
      </w:r>
    </w:p>
    <w:p w14:paraId="49C0207E" w14:textId="6AAB535E" w:rsidR="00F65591" w:rsidRDefault="00F65591">
      <w:pPr>
        <w:spacing w:after="260"/>
        <w:jc w:val="center"/>
        <w:rPr>
          <w:i/>
          <w:iCs/>
          <w:color w:val="555555"/>
          <w:sz w:val="18"/>
          <w:szCs w:val="18"/>
        </w:rPr>
      </w:pPr>
    </w:p>
    <w:p w14:paraId="49AA35EF" w14:textId="21E3E42C" w:rsidR="00F65591" w:rsidRDefault="00F65591">
      <w:pPr>
        <w:spacing w:after="260"/>
        <w:jc w:val="center"/>
        <w:rPr>
          <w:i/>
          <w:iCs/>
          <w:color w:val="555555"/>
          <w:sz w:val="18"/>
          <w:szCs w:val="18"/>
        </w:rPr>
      </w:pPr>
    </w:p>
    <w:p w14:paraId="3EB5375D" w14:textId="4919BA49" w:rsidR="00F65591" w:rsidRDefault="00F65591">
      <w:pPr>
        <w:spacing w:after="260"/>
        <w:jc w:val="center"/>
        <w:rPr>
          <w:i/>
          <w:iCs/>
          <w:color w:val="555555"/>
          <w:sz w:val="18"/>
          <w:szCs w:val="18"/>
        </w:rPr>
      </w:pPr>
    </w:p>
    <w:p w14:paraId="7B0C51A4" w14:textId="22A4F997" w:rsidR="00F65591" w:rsidRDefault="00F65591">
      <w:pPr>
        <w:spacing w:after="260"/>
        <w:jc w:val="center"/>
        <w:rPr>
          <w:i/>
          <w:iCs/>
          <w:color w:val="555555"/>
          <w:sz w:val="18"/>
          <w:szCs w:val="18"/>
        </w:rPr>
      </w:pPr>
    </w:p>
    <w:p w14:paraId="2E07D6D2" w14:textId="77777777" w:rsidR="00F65591" w:rsidRDefault="00F65591">
      <w:pPr>
        <w:spacing w:after="260"/>
        <w:jc w:val="center"/>
      </w:pPr>
    </w:p>
    <w:p w14:paraId="4673BD90" w14:textId="77777777" w:rsidR="00903F7F" w:rsidRDefault="00F65591">
      <w:pPr>
        <w:pStyle w:val="Heading1"/>
        <w:spacing w:before="300" w:after="150"/>
      </w:pPr>
      <w:r>
        <w:lastRenderedPageBreak/>
        <w:t>3. Validated Findings</w:t>
      </w:r>
    </w:p>
    <w:p w14:paraId="613C26BC" w14:textId="77777777" w:rsidR="00903F7F" w:rsidRPr="00F65591" w:rsidRDefault="00F65591" w:rsidP="00F65591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 xml:space="preserve">The 51.2% overall no-show rate, both chi-square tests, and all five core KPIs were independently re-derived from the raw dataset in </w:t>
      </w:r>
      <w:r w:rsidRPr="00F65591">
        <w:rPr>
          <w:sz w:val="24"/>
          <w:szCs w:val="24"/>
        </w:rPr>
        <w:t>Week 7 and reproduced exactly — the analytical pipeline has zero calculation errors.</w:t>
      </w:r>
    </w:p>
    <w:p w14:paraId="5BA6E9F0" w14:textId="77777777" w:rsidR="00903F7F" w:rsidRPr="00F65591" w:rsidRDefault="00F65591" w:rsidP="00F65591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 xml:space="preserve">Booking lead time and prior no-show history combine additively, not synergistically (interaction test p=0.50) — each factor can be addressed independently without needing </w:t>
      </w:r>
      <w:r w:rsidRPr="00F65591">
        <w:rPr>
          <w:sz w:val="24"/>
          <w:szCs w:val="24"/>
        </w:rPr>
        <w:t>a special combined-risk protocol.</w:t>
      </w:r>
    </w:p>
    <w:p w14:paraId="2D698EC1" w14:textId="77777777" w:rsidR="00903F7F" w:rsidRPr="00F65591" w:rsidRDefault="00F65591" w:rsidP="00F65591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>The lead-time effect holds across gender and every age group, though it is measurably weaker for patients under 25 and over 65 than for working-age patients.</w:t>
      </w:r>
    </w:p>
    <w:p w14:paraId="4596518A" w14:textId="77777777" w:rsidR="00903F7F" w:rsidRPr="00F65591" w:rsidRDefault="00F65591" w:rsidP="00F65591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>The headline findings are robust to how "Cancelled" appointments</w:t>
      </w:r>
      <w:r w:rsidRPr="00F65591">
        <w:rPr>
          <w:sz w:val="24"/>
          <w:szCs w:val="24"/>
        </w:rPr>
        <w:t xml:space="preserve"> are treated — rates shift 2-5 points under an alternative treatment, but the underlying pattern is unchanged.</w:t>
      </w:r>
    </w:p>
    <w:p w14:paraId="32C2E34A" w14:textId="77777777" w:rsidR="00903F7F" w:rsidRPr="00F65591" w:rsidRDefault="00F65591" w:rsidP="00F65591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 xml:space="preserve">A claim from an early external-tool-assisted draft — </w:t>
      </w:r>
      <w:proofErr w:type="gramStart"/>
      <w:r w:rsidRPr="00F65591">
        <w:rPr>
          <w:sz w:val="24"/>
          <w:szCs w:val="24"/>
        </w:rPr>
        <w:t>that reminders</w:t>
      </w:r>
      <w:proofErr w:type="gramEnd"/>
      <w:r w:rsidRPr="00F65591">
        <w:rPr>
          <w:sz w:val="24"/>
          <w:szCs w:val="24"/>
        </w:rPr>
        <w:t xml:space="preserve"> were disproportionately sent to lower-risk patients — was tested directly and</w:t>
      </w:r>
      <w:r w:rsidRPr="00F65591">
        <w:rPr>
          <w:sz w:val="24"/>
          <w:szCs w:val="24"/>
        </w:rPr>
        <w:t xml:space="preserve"> found false; reminder-send rates are nearly identical (71.6-74.3%) across all risk segments. This was documented as a failed test rather than silently dropped, reflecting the rigor applied throughout this package.</w:t>
      </w:r>
    </w:p>
    <w:p w14:paraId="799664A6" w14:textId="77777777" w:rsidR="00903F7F" w:rsidRDefault="00F65591">
      <w:pPr>
        <w:pStyle w:val="Heading1"/>
        <w:spacing w:before="300" w:after="150"/>
      </w:pPr>
      <w:r>
        <w:t>4. Business Insights</w:t>
      </w:r>
    </w:p>
    <w:p w14:paraId="19A01B2F" w14:textId="77777777" w:rsidR="00903F7F" w:rsidRPr="00F65591" w:rsidRDefault="00F65591" w:rsidP="00F65591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>Roughly one in two s</w:t>
      </w:r>
      <w:r w:rsidRPr="00F65591">
        <w:rPr>
          <w:sz w:val="24"/>
          <w:szCs w:val="24"/>
        </w:rPr>
        <w:t>cheduled appointments is missed — a severe, structural operational problem, not a seasonal or occasional one.</w:t>
      </w:r>
    </w:p>
    <w:p w14:paraId="2E3F9CB0" w14:textId="77777777" w:rsidR="00903F7F" w:rsidRPr="00F65591" w:rsidRDefault="00F65591" w:rsidP="00F65591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>A single, appropriately sized group of 1,529 appointments (1,035 patients) accounts for a disproportionate share of no-show risk and is directly t</w:t>
      </w:r>
      <w:r w:rsidRPr="00F65591">
        <w:rPr>
          <w:sz w:val="24"/>
          <w:szCs w:val="24"/>
        </w:rPr>
        <w:t>argetable with the combined risk matrix.</w:t>
      </w:r>
    </w:p>
    <w:p w14:paraId="596AD1C5" w14:textId="77777777" w:rsidR="00903F7F" w:rsidRPr="00F65591" w:rsidRDefault="00F65591" w:rsidP="00F65591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>Reminders are a reasonable low-cost baseline but cannot solve this alone — their effect is real but modest, and smallest exactly where risk is already low.</w:t>
      </w:r>
    </w:p>
    <w:p w14:paraId="71FE577E" w14:textId="0A79AD49" w:rsidR="00903F7F" w:rsidRDefault="00F65591" w:rsidP="00F65591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>Younger (18-24) and older (65+) patients need a different i</w:t>
      </w:r>
      <w:r w:rsidRPr="00F65591">
        <w:rPr>
          <w:sz w:val="24"/>
          <w:szCs w:val="24"/>
        </w:rPr>
        <w:t>ntervention than the core working-age population, since the primary lead-time lever is measurably less effective for them.</w:t>
      </w:r>
    </w:p>
    <w:p w14:paraId="78F97054" w14:textId="77777777" w:rsidR="00F65591" w:rsidRPr="00F65591" w:rsidRDefault="00F65591" w:rsidP="00F65591">
      <w:pPr>
        <w:pStyle w:val="ListParagraph"/>
        <w:spacing w:after="75" w:line="360" w:lineRule="auto"/>
        <w:ind w:left="720"/>
        <w:jc w:val="both"/>
        <w:rPr>
          <w:sz w:val="24"/>
          <w:szCs w:val="24"/>
        </w:rPr>
      </w:pPr>
    </w:p>
    <w:p w14:paraId="456F7050" w14:textId="77777777" w:rsidR="00903F7F" w:rsidRDefault="00F65591">
      <w:pPr>
        <w:pStyle w:val="Heading1"/>
        <w:spacing w:before="300" w:after="150"/>
      </w:pPr>
      <w:r>
        <w:lastRenderedPageBreak/>
        <w:t>5. Business Recommendations</w:t>
      </w:r>
    </w:p>
    <w:p w14:paraId="5F348A7F" w14:textId="77777777" w:rsidR="00903F7F" w:rsidRPr="00F65591" w:rsidRDefault="00F65591" w:rsidP="00F65591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>Deploy the combined risk matrix operationally: route the 1,529-appointment highest-risk segment to manual</w:t>
      </w:r>
      <w:r w:rsidRPr="00F65591">
        <w:rPr>
          <w:sz w:val="24"/>
          <w:szCs w:val="24"/>
        </w:rPr>
        <w:t xml:space="preserve"> confirmation calls or double-booking policies, rather than treating all patients identically.</w:t>
      </w:r>
    </w:p>
    <w:p w14:paraId="7DB21761" w14:textId="77777777" w:rsidR="00903F7F" w:rsidRPr="00F65591" w:rsidRDefault="00F65591" w:rsidP="00F65591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>Introduce a shorter default booking window, or a mandatory re-confirmation step, for any appointment booked more than 14 days in advance.</w:t>
      </w:r>
    </w:p>
    <w:p w14:paraId="3437DDFF" w14:textId="77777777" w:rsidR="00903F7F" w:rsidRPr="00F65591" w:rsidRDefault="00F65591" w:rsidP="00F65591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>Design a distinct outreach approach for patients under 25 and over 65 (</w:t>
      </w:r>
      <w:proofErr w:type="gramStart"/>
      <w:r w:rsidRPr="00F65591">
        <w:rPr>
          <w:sz w:val="24"/>
          <w:szCs w:val="24"/>
        </w:rPr>
        <w:t>e.g.</w:t>
      </w:r>
      <w:proofErr w:type="gramEnd"/>
      <w:r w:rsidRPr="00F65591">
        <w:rPr>
          <w:sz w:val="24"/>
          <w:szCs w:val="24"/>
        </w:rPr>
        <w:t xml:space="preserve"> caregiver-coordinated contact for older pa</w:t>
      </w:r>
      <w:r w:rsidRPr="00F65591">
        <w:rPr>
          <w:sz w:val="24"/>
          <w:szCs w:val="24"/>
        </w:rPr>
        <w:t>tients, different channel/cadence for younger patients).</w:t>
      </w:r>
    </w:p>
    <w:p w14:paraId="5E4C5FEB" w14:textId="77777777" w:rsidR="00903F7F" w:rsidRPr="00F65591" w:rsidRDefault="00F65591" w:rsidP="00F65591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>Maintain reminders as a baseline intervention, prioritizing SMS (the best-performing channel identified in Week 5), but do not rely on them as the primary fix.</w:t>
      </w:r>
    </w:p>
    <w:p w14:paraId="3308A3DF" w14:textId="77777777" w:rsidR="00903F7F" w:rsidRPr="00F65591" w:rsidRDefault="00F65591" w:rsidP="00F65591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 xml:space="preserve">Adopt this validated risk-segmentation </w:t>
      </w:r>
      <w:r w:rsidRPr="00F65591">
        <w:rPr>
          <w:sz w:val="24"/>
          <w:szCs w:val="24"/>
        </w:rPr>
        <w:t>approach as a standing quarterly review, given the no-show rate has remained structurally stable (not seasonal) across the full analysis period.</w:t>
      </w:r>
    </w:p>
    <w:p w14:paraId="6D837242" w14:textId="77777777" w:rsidR="00903F7F" w:rsidRDefault="00F65591">
      <w:pPr>
        <w:pStyle w:val="Heading1"/>
        <w:spacing w:before="300" w:after="150"/>
      </w:pPr>
      <w:r>
        <w:t>6. Limitations</w:t>
      </w:r>
    </w:p>
    <w:p w14:paraId="66C33C6B" w14:textId="77777777" w:rsidR="00903F7F" w:rsidRPr="00F65591" w:rsidRDefault="00F65591" w:rsidP="00F65591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>This is a descriptive/associational analysis; it identifies strong, statistically validated, and</w:t>
      </w:r>
      <w:r w:rsidRPr="00F65591">
        <w:rPr>
          <w:sz w:val="24"/>
          <w:szCs w:val="24"/>
        </w:rPr>
        <w:t xml:space="preserve"> segment-stable patterns, but does not by itself prove that intervening on lead time will causally reduce no-shows by a proportional amount.</w:t>
      </w:r>
    </w:p>
    <w:p w14:paraId="6AF1CB2E" w14:textId="77777777" w:rsidR="00903F7F" w:rsidRPr="00F65591" w:rsidRDefault="00F65591" w:rsidP="00F65591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 xml:space="preserve">Small amounts of missing data in </w:t>
      </w:r>
      <w:proofErr w:type="spellStart"/>
      <w:r w:rsidRPr="00F65591">
        <w:rPr>
          <w:sz w:val="24"/>
          <w:szCs w:val="24"/>
        </w:rPr>
        <w:t>distance_to_clinic_km</w:t>
      </w:r>
      <w:proofErr w:type="spellEnd"/>
      <w:r w:rsidRPr="00F65591">
        <w:rPr>
          <w:sz w:val="24"/>
          <w:szCs w:val="24"/>
        </w:rPr>
        <w:t xml:space="preserve"> (1.8%) and </w:t>
      </w:r>
      <w:proofErr w:type="spellStart"/>
      <w:r w:rsidRPr="00F65591">
        <w:rPr>
          <w:sz w:val="24"/>
          <w:szCs w:val="24"/>
        </w:rPr>
        <w:t>waiting_time_minutes</w:t>
      </w:r>
      <w:proofErr w:type="spellEnd"/>
      <w:r w:rsidRPr="00F65591">
        <w:rPr>
          <w:sz w:val="24"/>
          <w:szCs w:val="24"/>
        </w:rPr>
        <w:t xml:space="preserve"> (1.2%) were excluded row-wis</w:t>
      </w:r>
      <w:r w:rsidRPr="00F65591">
        <w:rPr>
          <w:sz w:val="24"/>
          <w:szCs w:val="24"/>
        </w:rPr>
        <w:t>e from the specific calculations using those fields.</w:t>
      </w:r>
    </w:p>
    <w:p w14:paraId="590C9CA5" w14:textId="77777777" w:rsidR="00903F7F" w:rsidRPr="00F65591" w:rsidRDefault="00F65591" w:rsidP="00F65591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 xml:space="preserve">The "Cancelled" outcome was excluded from headline no-show rate calculations; this decision was explicitly tested for sensitivity (Week 7) and found not to materially change the conclusions, but remains </w:t>
      </w:r>
      <w:r w:rsidRPr="00F65591">
        <w:rPr>
          <w:sz w:val="24"/>
          <w:szCs w:val="24"/>
        </w:rPr>
        <w:t>a methodological choice worth revisiting if the clinic's operational definition of "non-attendance" differs.</w:t>
      </w:r>
    </w:p>
    <w:p w14:paraId="53E24660" w14:textId="77777777" w:rsidR="00903F7F" w:rsidRPr="00F65591" w:rsidRDefault="00F65591" w:rsidP="00F65591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>No interactive BI dashboard was built for this project; all visual outputs are static, reproducible charts generated directly from the validated da</w:t>
      </w:r>
      <w:r w:rsidRPr="00F65591">
        <w:rPr>
          <w:sz w:val="24"/>
          <w:szCs w:val="24"/>
        </w:rPr>
        <w:t>taset.</w:t>
      </w:r>
    </w:p>
    <w:p w14:paraId="2AB2A1F3" w14:textId="6F0D232A" w:rsidR="00903F7F" w:rsidRDefault="00F65591" w:rsidP="00F65591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>Age-band segment findings are based on moderate sample sizes once split by lead-time band; the direction of the finding is clear but exact magnitudes should be treated as indicative.</w:t>
      </w:r>
    </w:p>
    <w:p w14:paraId="660AE6CF" w14:textId="77777777" w:rsidR="00F65591" w:rsidRPr="00F65591" w:rsidRDefault="00F65591" w:rsidP="00F65591">
      <w:pPr>
        <w:pStyle w:val="ListParagraph"/>
        <w:spacing w:after="75" w:line="360" w:lineRule="auto"/>
        <w:ind w:left="720"/>
        <w:jc w:val="both"/>
        <w:rPr>
          <w:sz w:val="24"/>
          <w:szCs w:val="24"/>
        </w:rPr>
      </w:pPr>
    </w:p>
    <w:p w14:paraId="21FBAF49" w14:textId="77777777" w:rsidR="00903F7F" w:rsidRDefault="00F65591">
      <w:pPr>
        <w:pStyle w:val="Heading1"/>
        <w:spacing w:before="300" w:after="150"/>
      </w:pPr>
      <w:r>
        <w:lastRenderedPageBreak/>
        <w:t>7. Cross-Track Integration (HC-POD)</w:t>
      </w:r>
    </w:p>
    <w:p w14:paraId="599C9F6A" w14:textId="77777777" w:rsidR="00903F7F" w:rsidRDefault="00F65591">
      <w:pPr>
        <w:pStyle w:val="Heading2"/>
        <w:spacing w:before="220" w:after="110"/>
      </w:pPr>
      <w:r>
        <w:t>Collaboration with Project Management</w:t>
      </w:r>
    </w:p>
    <w:p w14:paraId="689C9A2B" w14:textId="77777777" w:rsidR="00903F7F" w:rsidRPr="00F65591" w:rsidRDefault="00F65591" w:rsidP="00F65591">
      <w:pPr>
        <w:spacing w:after="150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>Dependency: PM's Week 7-8 readiness and resourcing planning needed a concrete, sized target population rather than an abstract statistical pattern.</w:t>
      </w:r>
    </w:p>
    <w:p w14:paraId="5AD35CB4" w14:textId="77777777" w:rsidR="00903F7F" w:rsidRPr="00F65591" w:rsidRDefault="00F65591" w:rsidP="00F65591">
      <w:pPr>
        <w:spacing w:after="150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>Outputs exchanged: the Week 7 comb</w:t>
      </w:r>
      <w:r w:rsidRPr="00F65591">
        <w:rPr>
          <w:sz w:val="24"/>
          <w:szCs w:val="24"/>
        </w:rPr>
        <w:t>ined risk matrix (1,529-appointment / 1,035-patient highest-risk segment) and the explicit confirmation that no reminder-assignment bias exists in the current process.</w:t>
      </w:r>
    </w:p>
    <w:p w14:paraId="7998539B" w14:textId="77777777" w:rsidR="00903F7F" w:rsidRPr="00F65591" w:rsidRDefault="00F65591" w:rsidP="00F65591">
      <w:pPr>
        <w:spacing w:after="150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 xml:space="preserve">Final integration activity: this validated segment size was incorporated into PM's Week </w:t>
      </w:r>
      <w:r w:rsidRPr="00F65591">
        <w:rPr>
          <w:sz w:val="24"/>
          <w:szCs w:val="24"/>
        </w:rPr>
        <w:t>7 testing/refinement priorities and is being carried into Week 8 final planning as the concrete basis for scoping a targeted confirmation-call intervention.</w:t>
      </w:r>
    </w:p>
    <w:p w14:paraId="63CC68ED" w14:textId="77777777" w:rsidR="00903F7F" w:rsidRPr="00F65591" w:rsidRDefault="00F65591" w:rsidP="00F65591">
      <w:pPr>
        <w:spacing w:after="150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>How this improved the final solution: replaced a vague "target high-risk patients" goal with an ope</w:t>
      </w:r>
      <w:r w:rsidRPr="00F65591">
        <w:rPr>
          <w:sz w:val="24"/>
          <w:szCs w:val="24"/>
        </w:rPr>
        <w:t>rationally sized, evidence-backed group PM can actually plan staffing and workflow around.</w:t>
      </w:r>
    </w:p>
    <w:p w14:paraId="33E2439C" w14:textId="77777777" w:rsidR="00903F7F" w:rsidRDefault="00F65591">
      <w:pPr>
        <w:pStyle w:val="Heading1"/>
        <w:spacing w:before="300" w:after="150"/>
      </w:pPr>
      <w:r>
        <w:t>8. HC-POD Walkthrough Notes</w:t>
      </w:r>
    </w:p>
    <w:p w14:paraId="0A4886A6" w14:textId="09F6BDAA" w:rsidR="00903F7F" w:rsidRPr="00F65591" w:rsidRDefault="00F65591" w:rsidP="00F65591">
      <w:pPr>
        <w:spacing w:after="150" w:line="360" w:lineRule="auto"/>
        <w:jc w:val="both"/>
        <w:rPr>
          <w:sz w:val="24"/>
          <w:szCs w:val="24"/>
        </w:rPr>
      </w:pPr>
      <w:r w:rsidRPr="00F65591">
        <w:rPr>
          <w:sz w:val="24"/>
          <w:szCs w:val="24"/>
        </w:rPr>
        <w:t xml:space="preserve">This Data Analytics track's contribution sits at the foundation of the </w:t>
      </w:r>
      <w:proofErr w:type="spellStart"/>
      <w:r w:rsidRPr="00F65591">
        <w:rPr>
          <w:sz w:val="24"/>
          <w:szCs w:val="24"/>
        </w:rPr>
        <w:t>HealthConnect</w:t>
      </w:r>
      <w:proofErr w:type="spellEnd"/>
      <w:r w:rsidRPr="00F65591">
        <w:rPr>
          <w:sz w:val="24"/>
          <w:szCs w:val="24"/>
        </w:rPr>
        <w:t xml:space="preserve"> solution: the business problem (missed appointments)</w:t>
      </w:r>
      <w:r w:rsidRPr="00F65591">
        <w:rPr>
          <w:sz w:val="24"/>
          <w:szCs w:val="24"/>
        </w:rPr>
        <w:t xml:space="preserve"> was translated into a clean, validated dataset understanding (Week 4), calculated KPIs and initial insights (Week 5), statistically validated and refined drivers (Week 6), independently re-tested and stress-tested findings (Week 7), and finally a portfoli</w:t>
      </w:r>
      <w:r w:rsidRPr="00F65591">
        <w:rPr>
          <w:sz w:val="24"/>
          <w:szCs w:val="24"/>
        </w:rPr>
        <w:t xml:space="preserve">o-ready decision-support package (Week 8). This work directly feeds the </w:t>
      </w:r>
      <w:r w:rsidRPr="00F65591">
        <w:rPr>
          <w:sz w:val="24"/>
          <w:szCs w:val="24"/>
        </w:rPr>
        <w:t>Project Manage</w:t>
      </w:r>
      <w:r w:rsidRPr="00F65591">
        <w:rPr>
          <w:sz w:val="24"/>
          <w:szCs w:val="24"/>
        </w:rPr>
        <w:t xml:space="preserve">ment track's resourcing plan (via a sized, targetable risk segment) — demonstrating how rigorous, testable analytics underpins every other layer of the </w:t>
      </w:r>
      <w:proofErr w:type="spellStart"/>
      <w:r w:rsidRPr="00F65591">
        <w:rPr>
          <w:sz w:val="24"/>
          <w:szCs w:val="24"/>
        </w:rPr>
        <w:t>HealthConnect</w:t>
      </w:r>
      <w:proofErr w:type="spellEnd"/>
      <w:r w:rsidRPr="00F65591">
        <w:rPr>
          <w:sz w:val="24"/>
          <w:szCs w:val="24"/>
        </w:rPr>
        <w:t xml:space="preserve"> solution rather than standing apart from them.</w:t>
      </w:r>
    </w:p>
    <w:sectPr w:rsidR="00903F7F" w:rsidRPr="00F6559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552D7"/>
    <w:multiLevelType w:val="hybridMultilevel"/>
    <w:tmpl w:val="AD9CECC6"/>
    <w:lvl w:ilvl="0" w:tplc="15DCFE5C">
      <w:start w:val="1"/>
      <w:numFmt w:val="bullet"/>
      <w:lvlText w:val="●"/>
      <w:lvlJc w:val="left"/>
      <w:pPr>
        <w:ind w:left="720" w:hanging="360"/>
      </w:pPr>
    </w:lvl>
    <w:lvl w:ilvl="1" w:tplc="DD92DDB4">
      <w:start w:val="1"/>
      <w:numFmt w:val="bullet"/>
      <w:lvlText w:val="○"/>
      <w:lvlJc w:val="left"/>
      <w:pPr>
        <w:ind w:left="1440" w:hanging="360"/>
      </w:pPr>
    </w:lvl>
    <w:lvl w:ilvl="2" w:tplc="DF788912">
      <w:start w:val="1"/>
      <w:numFmt w:val="bullet"/>
      <w:lvlText w:val="■"/>
      <w:lvlJc w:val="left"/>
      <w:pPr>
        <w:ind w:left="2160" w:hanging="360"/>
      </w:pPr>
    </w:lvl>
    <w:lvl w:ilvl="3" w:tplc="F0709732">
      <w:start w:val="1"/>
      <w:numFmt w:val="bullet"/>
      <w:lvlText w:val="●"/>
      <w:lvlJc w:val="left"/>
      <w:pPr>
        <w:ind w:left="2880" w:hanging="360"/>
      </w:pPr>
    </w:lvl>
    <w:lvl w:ilvl="4" w:tplc="02A86556">
      <w:start w:val="1"/>
      <w:numFmt w:val="bullet"/>
      <w:lvlText w:val="○"/>
      <w:lvlJc w:val="left"/>
      <w:pPr>
        <w:ind w:left="3600" w:hanging="360"/>
      </w:pPr>
    </w:lvl>
    <w:lvl w:ilvl="5" w:tplc="19F418FC">
      <w:start w:val="1"/>
      <w:numFmt w:val="bullet"/>
      <w:lvlText w:val="■"/>
      <w:lvlJc w:val="left"/>
      <w:pPr>
        <w:ind w:left="4320" w:hanging="360"/>
      </w:pPr>
    </w:lvl>
    <w:lvl w:ilvl="6" w:tplc="BC383208">
      <w:start w:val="1"/>
      <w:numFmt w:val="bullet"/>
      <w:lvlText w:val="●"/>
      <w:lvlJc w:val="left"/>
      <w:pPr>
        <w:ind w:left="5040" w:hanging="360"/>
      </w:pPr>
    </w:lvl>
    <w:lvl w:ilvl="7" w:tplc="A29A7FB2">
      <w:start w:val="1"/>
      <w:numFmt w:val="bullet"/>
      <w:lvlText w:val="●"/>
      <w:lvlJc w:val="left"/>
      <w:pPr>
        <w:ind w:left="5760" w:hanging="360"/>
      </w:pPr>
    </w:lvl>
    <w:lvl w:ilvl="8" w:tplc="462A3D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961AE2"/>
    <w:multiLevelType w:val="hybridMultilevel"/>
    <w:tmpl w:val="23003ED8"/>
    <w:lvl w:ilvl="0" w:tplc="31D06846">
      <w:start w:val="1"/>
      <w:numFmt w:val="bullet"/>
      <w:lvlText w:val="•"/>
      <w:lvlJc w:val="left"/>
      <w:pPr>
        <w:ind w:left="720" w:hanging="360"/>
      </w:pPr>
    </w:lvl>
    <w:lvl w:ilvl="1" w:tplc="BD2E1BC6">
      <w:numFmt w:val="decimal"/>
      <w:lvlText w:val=""/>
      <w:lvlJc w:val="left"/>
    </w:lvl>
    <w:lvl w:ilvl="2" w:tplc="C1F0BD74">
      <w:numFmt w:val="decimal"/>
      <w:lvlText w:val=""/>
      <w:lvlJc w:val="left"/>
    </w:lvl>
    <w:lvl w:ilvl="3" w:tplc="81EE1E46">
      <w:numFmt w:val="decimal"/>
      <w:lvlText w:val=""/>
      <w:lvlJc w:val="left"/>
    </w:lvl>
    <w:lvl w:ilvl="4" w:tplc="D884B740">
      <w:numFmt w:val="decimal"/>
      <w:lvlText w:val=""/>
      <w:lvlJc w:val="left"/>
    </w:lvl>
    <w:lvl w:ilvl="5" w:tplc="BF06CCF6">
      <w:numFmt w:val="decimal"/>
      <w:lvlText w:val=""/>
      <w:lvlJc w:val="left"/>
    </w:lvl>
    <w:lvl w:ilvl="6" w:tplc="7BEA3EBC">
      <w:numFmt w:val="decimal"/>
      <w:lvlText w:val=""/>
      <w:lvlJc w:val="left"/>
    </w:lvl>
    <w:lvl w:ilvl="7" w:tplc="2AC06F28">
      <w:numFmt w:val="decimal"/>
      <w:lvlText w:val=""/>
      <w:lvlJc w:val="left"/>
    </w:lvl>
    <w:lvl w:ilvl="8" w:tplc="DDF8F8E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F7F"/>
    <w:rsid w:val="00903F7F"/>
    <w:rsid w:val="00F6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2FD6"/>
  <w15:docId w15:val="{4F47A3A5-33D3-439D-93E9-112761408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1142</Words>
  <Characters>6516</Characters>
  <Application>Microsoft Office Word</Application>
  <DocSecurity>0</DocSecurity>
  <Lines>54</Lines>
  <Paragraphs>15</Paragraphs>
  <ScaleCrop>false</ScaleCrop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frin account</cp:lastModifiedBy>
  <cp:revision>2</cp:revision>
  <dcterms:created xsi:type="dcterms:W3CDTF">2026-09-21T19:20:00Z</dcterms:created>
  <dcterms:modified xsi:type="dcterms:W3CDTF">2026-09-26T17:19:00Z</dcterms:modified>
</cp:coreProperties>
</file>