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Digital Capabilities for Life Outcomes</w:t>
      </w:r>
    </w:p>
    <w:p>
      <w:pPr>
        <w:spacing w:after="280"/>
      </w:pPr>
      <w:r>
        <w:rPr>
          <w:color w:val="1F4D78"/>
          <w:sz w:val="24"/>
        </w:rPr>
        <w:t>PRISMA-aligned systematic literature review package (rapid v0.1)</w:t>
      </w:r>
    </w:p>
    <w:tbl>
      <w:tblGrid>
        <w:gridCol w:w="2500"/>
        <w:gridCol w:w="6860"/>
      </w:tblGrid>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r>
        <w:tc>
          <w:tcPr>
            <w:tcW w:type="dxa" w:w="2500"/>
            <w:vAlign w:val="center"/>
            <w:shd w:fill="F2F4F7"/>
          </w:tcPr>
          <w:p>
            <w:r>
              <w:rPr>
                <w:b/>
              </w:rPr>
              <w:t>Review object</w:t>
            </w:r>
          </w:p>
        </w:tc>
        <w:tc>
          <w:tcPr>
            <w:tcW w:type="dxa" w:w="6860"/>
            <w:vAlign w:val="center"/>
          </w:tcPr>
          <w:p>
            <w:r>
              <w:t>Digital capabilities, DPI/DPGs, platform-mediated ADHD self-understanding, and life outcomes</w:t>
            </w:r>
          </w:p>
        </w:tc>
      </w:tr>
      <w:tr>
        <w:tc>
          <w:tcPr>
            <w:tcW w:type="dxa" w:w="2500"/>
            <w:vAlign w:val="center"/>
            <w:shd w:fill="F2F4F7"/>
          </w:tcPr>
          <w:p>
            <w:r>
              <w:rPr>
                <w:b/>
              </w:rPr>
              <w:t>Thesis role</w:t>
            </w:r>
          </w:p>
        </w:tc>
        <w:tc>
          <w:tcPr>
            <w:tcW w:type="dxa" w:w="6860"/>
            <w:vAlign w:val="center"/>
          </w:tcPr>
          <w:p>
            <w:r>
              <w:t>Literature foundation for the DCLO umbrella construct and three-paper PhD architecture</w:t>
            </w:r>
          </w:p>
        </w:tc>
      </w:tr>
      <w:tr>
        <w:tc>
          <w:tcPr>
            <w:tcW w:type="dxa" w:w="2500"/>
            <w:vAlign w:val="center"/>
            <w:shd w:fill="F2F4F7"/>
          </w:tcPr>
          <w:p>
            <w:r>
              <w:rPr>
                <w:b/>
              </w:rPr>
              <w:t>Method status</w:t>
            </w:r>
          </w:p>
        </w:tc>
        <w:tc>
          <w:tcPr>
            <w:tcW w:type="dxa" w:w="6860"/>
            <w:vAlign w:val="center"/>
          </w:tcPr>
          <w:p>
            <w:r>
              <w:t>PRISMA 2020/PRISMA-S aligned protocol + initial evidence map; Scopus 566-record raw export preserved; not yet final screened SLR</w:t>
            </w:r>
          </w:p>
        </w:tc>
      </w:tr>
      <w:tr>
        <w:tc>
          <w:tcPr>
            <w:tcW w:type="dxa" w:w="2500"/>
            <w:vAlign w:val="center"/>
            <w:shd w:fill="F2F4F7"/>
          </w:tcPr>
          <w:p>
            <w:r>
              <w:rPr>
                <w:b/>
              </w:rPr>
              <w:t>Sources used</w:t>
            </w:r>
          </w:p>
        </w:tc>
        <w:tc>
          <w:tcPr>
            <w:tcW w:type="dxa" w:w="6860"/>
            <w:vAlign w:val="center"/>
          </w:tcPr>
          <w:p>
            <w:r>
              <w:t>Scopus formal database export; supplementary discovery platforms; official frameworks; local PhD evidence artefacts</w:t>
            </w:r>
          </w:p>
        </w:tc>
      </w:tr>
      <w:tr>
        <w:tc>
          <w:tcPr>
            <w:tcW w:type="dxa" w:w="2500"/>
            <w:vAlign w:val="center"/>
            <w:shd w:fill="F2F4F7"/>
          </w:tcPr>
          <w:p>
            <w:r>
              <w:rPr>
                <w:b/>
              </w:rPr>
              <w:t>Prepared</w:t>
            </w:r>
          </w:p>
        </w:tc>
        <w:tc>
          <w:tcPr>
            <w:tcW w:type="dxa" w:w="6860"/>
            <w:vAlign w:val="center"/>
          </w:tcPr>
          <w:p>
            <w:r>
              <w:t>28 May 2026</w:t>
            </w:r>
          </w:p>
        </w:tc>
      </w:tr>
    </w:tbl>
    <w:p>
      <w:r>
        <w:t>Prepared: 28 May 2026</w:t>
      </w:r>
    </w:p>
    <w:p>
      <w:r>
        <w:t>Purpose: Provide a professor-submittable SLR foundation for the PhD strategy on Digital Capabilities for Life Outcomes (DCLO), with empirical strands on DPI/DPGs and platform-mediated ADHD self-understanding through podcasts/social media.</w:t>
      </w:r>
    </w:p>
    <w:p>
      <w:r>
        <w:t>Status note: This is a PRISMA-aligned protocol plus initial evidence map, not the final publishable SLR. A focused Scopus export has now been preserved for screening, but a final PRISMA review still requires de-duplication, two-reviewer screening, full-text appraisal, additional database exports where feasible, and a completed PRISMA flow diagram.</w:t>
      </w:r>
    </w:p>
    <w:p>
      <w:pPr>
        <w:pStyle w:val="Heading1"/>
      </w:pPr>
      <w:r>
        <w:t>Executive Summary</w:t>
      </w:r>
    </w:p>
    <w:p>
      <w:r>
        <w:t>The literature supports DCLO as a defensible umbrella construct: digital capability is not merely access to connectivity or devices. It is a bundle of skills, literacies, self-efficacy, safety practices, communicative capacity, and problem-solving agency that helps people convert digital systems into substantive freedoms and life outcomes. Across the initial evidence map, digital capabilities are linked to employment and economic participation, education and lifelong learning, health and wellbeing, and social inclusion. The strongest recurring finding is that access is necessary but insufficient. Advanced, critical, and domain-specific digital capabilities mediate whether infrastructure becomes opportunity.</w:t>
      </w:r>
    </w:p>
    <w:p>
      <w:r>
        <w:t>Doughnut Economics strengthens the outcome frame. DCLO should not treat "more digitalisation" or "more platform use" as inherently good. It should ask whether digital systems help people reach a basic social foundation -- health, learning, voice, livelihood, service access, dignity, security, and belonging -- while respecting ecological ceilings and planetary boundaries. This makes the thesis more rigorous because it defines life outcomes as minimum thresholds of human flourishing, not merely subjective satisfaction or service adoption, and it keeps sustainability inside the public-policy evaluation frame.</w:t>
      </w:r>
    </w:p>
    <w:p>
      <w:r>
        <w:t>For the PhD, this means DPI/DPGs should be studied not only as technical systems or governance assets but as capability-conversion environments. Public infrastructure creates affordances; people realize life outcomes when they possess the capabilities, institutional support, trust, safety, and social conditions required to convert those affordances into valued functionings.</w:t>
      </w:r>
    </w:p>
    <w:p>
      <w:r>
        <w:t>The ADHD/podcast/social-media strand fits inside DCLO as a health-and-self-understanding case. Platform ecosystems can expand curiosity, vocabulary, community, and help-seeking, but they can also amplify misinformation, medicalisation, diagnosis-by-content, and unequal agency. The current podcast-discourse-lab should remain the reproducible empirical core; Reddit, YouTube comments, TikTok, and other social media should be treated as future triangulation after ethics and data-access review.</w:t>
      </w:r>
    </w:p>
    <w:p>
      <w:pPr>
        <w:pStyle w:val="Heading1"/>
      </w:pPr>
      <w:r>
        <w:t>Academic Motivation And Thesis Logic</w:t>
      </w:r>
    </w:p>
    <w:p>
      <w:r>
        <w:t>The motivation for the PhD is a public-policy problem: governments and development agencies increasingly invest in digital public infrastructure, digital public goods, service digitisation, and platform-mediated communication, but the literature still lacks a coherent way to evaluate whether these systems expand people's real freedoms. Existing work often stops at adoption, access, platform use, or institutional readiness. DCLO reframes the problem around capability conversion: whether people can turn digital systems into valued outcomes in work, health, learning, service access, social participation, and self-understanding.</w:t>
      </w:r>
    </w:p>
    <w:p>
      <w:r>
        <w:t>The theoretical spine is Sen's capability approach, operationalised through Robeyns' distinction between resources, conversion factors, capabilities, and functionings. Digital infrastructure and platforms are resources or opportunity structures; digital capabilities are conversion factors and agency conditions; life outcomes are functionings. Doughnut Economics adds the boundary condition: valued functionings should be interpreted as a social foundation to be secured for everyone, while public systems must avoid pushing societies beyond ecological ceilings. This gives the thesis a stronger normative base than a technology-adoption study. The SLR also draws on digital divide/digital capital literature, e-health literacy, public value and DPI governance, platform/medicalisation theory, and planetary-boundary/safe-and-just-space literature. Together these literatures justify DCLO as a bridge construct that can connect measurable digital capability domains to public-policy outcomes.</w:t>
      </w:r>
    </w:p>
    <w:p>
      <w:r>
        <w:t>The dissertation therefore has a tight progression. Paper 1 establishes DCLO construct validity and measurement. Paper 2 tests the construct in a bounded health-information case where platform discourse shapes curiosity, recognition, help-seeking, and risk. Paper 3 moves back to governance and asks how DPI/DPG institutions can be designed and evaluated around positive life outcomes rather than infrastructure deployment alone. The SLR is not a side appendix; it is the theoretical and evidentiary foundation for the entire PhD design.</w:t>
      </w:r>
    </w:p>
    <w:p>
      <w:pPr>
        <w:pStyle w:val="Heading1"/>
      </w:pPr>
      <w:r>
        <w:t>Review Questions</w:t>
      </w:r>
    </w:p>
    <w:p>
      <w:pPr>
        <w:pStyle w:val="ListNumber"/>
      </w:pPr>
      <w:r>
        <w:t>How are digital capabilities, digital literacy, digital skills, digital competence, e-health literacy, and digital inclusion conceptualised and measured in relation to life outcomes?</w:t>
      </w:r>
    </w:p>
    <w:p>
      <w:pPr>
        <w:pStyle w:val="ListNumber"/>
      </w:pPr>
      <w:r>
        <w:t>What empirical evidence links digital capabilities to employment/economic participation, education/lifelong learning, health/wellbeing, quality of life, and social inclusion?</w:t>
      </w:r>
    </w:p>
    <w:p>
      <w:pPr>
        <w:pStyle w:val="ListNumber"/>
      </w:pPr>
      <w:r>
        <w:t>How do DPI and DPG governance literatures address the conversion of digital infrastructure into public value, agency, inclusion, and positive life outcomes?</w:t>
      </w:r>
    </w:p>
    <w:p>
      <w:pPr>
        <w:pStyle w:val="ListNumber"/>
      </w:pPr>
      <w:r>
        <w:t>How does platform-mediated health information, especially ADHD curiosity and self-diagnosis through podcasts/social media, function as both a capability expansion and a risk environment?</w:t>
      </w:r>
    </w:p>
    <w:p>
      <w:pPr>
        <w:pStyle w:val="ListNumber"/>
      </w:pPr>
      <w:r>
        <w:t>How can Doughnut Economics help define life outcomes as a social foundation while preventing DCLO from becoming a digital-growth or adoption-maximisation framework?</w:t>
      </w:r>
    </w:p>
    <w:p>
      <w:pPr>
        <w:pStyle w:val="ListNumber"/>
      </w:pPr>
      <w:r>
        <w:t>What gaps justify Digital Capabilities for Life Outcomes (DCLO) as an original construct for a Government and Public Policy PhD?</w:t>
      </w:r>
    </w:p>
    <w:p>
      <w:pPr>
        <w:pStyle w:val="Heading1"/>
      </w:pPr>
      <w:r>
        <w:t>PRISMA Method</w:t>
      </w:r>
    </w:p>
    <w:p>
      <w:r>
        <w:t>The final review should follow PRISMA 2020 for reporting and PRISMA-S for search transparency. This v0.1 package already implements the review protocol, search log, source provenance log, seed evidence map, screening template, extraction template, and verification log. The final thesis-stage SLR should complete title/abstract screening, full-text retrieval, quality appraisal, and final synthesis.</w:t>
      </w:r>
    </w:p>
    <w:p>
      <w:r>
        <w:t>Information sources for final search: Scopus, Web of Science, Dimensions or Lens, PubMed/PMC for health and e-health literacy, ACM Digital Library/IEEE Xplore for digital inclusion and systems where relevant, Google Scholar for citation chasing, official policy repositories for DPI/DPG frameworks, and local reproducibility artefacts for the PhD's empirical chapters. Scopus has already been run through JGU academic access in Chrome; the focused export contains 566 records and is preserved at raw_exports/scopus_dclo_core_566_2026-05-28.csv.</w:t>
      </w:r>
    </w:p>
    <w:p>
      <w:r>
        <w:t>Core search string:</w:t>
      </w:r>
    </w:p>
    <w:p>
      <w:r>
        <w:rPr>
          <w:rFonts w:ascii="Consolas" w:hAnsi="Consolas" w:eastAsia="Consolas"/>
          <w:sz w:val="18"/>
        </w:rPr>
        <w:t>("digital capability" OR "digital capabilities" OR "digital literacy" OR "digital skills" OR "digital competence" OR "eHealth literacy" OR "digital inclusion" OR "digital capital") AND ("life outcomes" OR employment OR health OR wellbeing OR education OR "quality of life" OR "social inclusion" OR "social participation")</w:t>
      </w:r>
    </w:p>
    <w:p>
      <w:r>
        <w:t>DPI/DPG search string:</w:t>
      </w:r>
    </w:p>
    <w:p>
      <w:r>
        <w:rPr>
          <w:rFonts w:ascii="Consolas" w:hAnsi="Consolas" w:eastAsia="Consolas"/>
          <w:sz w:val="18"/>
        </w:rPr>
        <w:t>("digital public infrastructure" OR "digital public goods" OR DPI OR DPG) AND (capability OR inclusion OR "public value" OR governance OR "life outcomes" OR "service delivery" OR interoperability)</w:t>
      </w:r>
    </w:p>
    <w:p>
      <w:r>
        <w:t>ADHD/platform search string:</w:t>
      </w:r>
    </w:p>
    <w:p>
      <w:r>
        <w:rPr>
          <w:rFonts w:ascii="Consolas" w:hAnsi="Consolas" w:eastAsia="Consolas"/>
          <w:sz w:val="18"/>
        </w:rPr>
        <w:t>(ADHD OR neurodivergen* OR "self diagnosis" OR "self-diagnosis" OR "diagnosis seeking") AND (TikTok OR podcast OR "social media" OR platform OR "health information" OR misinformation OR "digital health literacy")</w:t>
      </w:r>
    </w:p>
    <w:p>
      <w:r>
        <w:t>Capability theory search string:</w:t>
      </w:r>
    </w:p>
    <w:p>
      <w:r>
        <w:rPr>
          <w:rFonts w:ascii="Consolas" w:hAnsi="Consolas" w:eastAsia="Consolas"/>
          <w:sz w:val="18"/>
        </w:rPr>
        <w:t>("capability approach" OR Sen OR Robeyns) AND ("digital inclusion" OR "digital divide" OR "digital capability")</w:t>
      </w:r>
    </w:p>
    <w:p>
      <w:r>
        <w:t>Doughnut/safe-and-just-outcomes search string:</w:t>
      </w:r>
    </w:p>
    <w:p>
      <w:r>
        <w:rPr>
          <w:rFonts w:ascii="Consolas" w:hAnsi="Consolas" w:eastAsia="Consolas"/>
          <w:sz w:val="18"/>
        </w:rPr>
        <w:t>("Doughnut Economics" OR "safe and just space" OR "social foundation" OR "ecological ceiling" OR "planetary boundaries") AND (wellbeing OR "life outcomes" OR "human development" OR "digital inclusion" OR "digital public infrastructure")</w:t>
      </w:r>
    </w:p>
    <w:p>
      <w:pPr>
        <w:pStyle w:val="Heading1"/>
      </w:pPr>
      <w:r>
        <w:t>Eligibility Criteria</w:t>
      </w:r>
    </w:p>
    <w:p>
      <w:r>
        <w:t>Include: peer-reviewed empirical studies; systematic reviews, scoping reviews, and high-quality narrative reviews; official digital capability/DPI/DPG standards; classic theory sources required for DCLO; and local PhD empirical artefacts when used to connect the literature to chapter execution.</w:t>
      </w:r>
    </w:p>
    <w:p>
      <w:r>
        <w:t>Exclude: purely technical infrastructure papers with no agency/outcome/inclusion link; clinical ADHD treatment papers with no digital media or information-seeking component; marketing blogs; unverifiable generated summaries; and sources that cannot be traced to a DOI, publisher page, official body, or stable institutional source.</w:t>
      </w:r>
    </w:p>
    <w:p>
      <w:r>
        <w:t>Date range: 2010-2026 for digital capability, digital inclusion, digital health, and platform literature. Classic theory sources may predate 2010.</w:t>
      </w:r>
    </w:p>
    <w:p>
      <w:r>
        <w:t>Language: English for v0.1. The final PhD may add Hindi/Maithili/Indian-language sources if the supervisor wants a language-DPI extension.</w:t>
      </w:r>
    </w:p>
    <w:p>
      <w:r>
        <w:t>Population: general population, youth, older adults, workers, unemployed people, students, patients/health seekers, digitally excluded groups, and platform users.</w:t>
      </w:r>
    </w:p>
    <w:p>
      <w:r>
        <w:t>Outcomes: employment, productivity, income/economic satisfaction, education, lifelong learning, health, wellbeing, self-understanding, quality of life, social participation, civic participation, service access, and agency.</w:t>
      </w:r>
    </w:p>
    <w:p>
      <w:pPr>
        <w:pStyle w:val="Heading1"/>
      </w:pPr>
      <w:r>
        <w:t>Search Provenance And Citation Discipline</w:t>
      </w:r>
    </w:p>
    <w:p>
      <w:r>
        <w:t>Scopus was run as the formal academic database source through the user's logged-in Chrome/JGU session. The broad scoping query returned 23,351 records and was logged as too noisy. A focused digital capability/digital capabilities life-outcomes query returned 566 records; the raw CSV export is preserved unchanged for de-duplication and screening. Ten Scopus records are separately logged as SC01-SC10 in the evidence map to seed the DCLO capability/life-outcomes strand.</w:t>
      </w:r>
    </w:p>
    <w:p>
      <w:r>
        <w:t>Supplementary discovery platforms and official web searches were used only to identify possible sources and framework documents. They are not treated as citation authorities. Final citation truth must come from DOI/Crossref, publisher pages, official PDFs, library databases, and source documents. Any record that cannot be verified through a stable scholarly or official source should be excluded or used only as background after quality appraisal.</w:t>
      </w:r>
    </w:p>
    <w:p>
      <w:pPr>
        <w:pStyle w:val="Heading1"/>
      </w:pPr>
      <w:r>
        <w:t>PRISMA Flow Status (Pilot Counts)</w:t>
      </w:r>
    </w:p>
    <w:p>
      <w:r>
        <w:t>This v0.1 evidence map identified 65 seed records/artefacts: 30 from supplementary discovery, 10 seed records from Scopus plus a preserved 566-record raw Scopus export, and 25 from method, framework, DPI/DPG, ADHD/platform, theory, and local PhD artefact sources. These are not final PRISMA counts. The final SLR should replace the seed-map counts with screened database-export counts after de-duplication and eligibility review.</w:t>
      </w:r>
    </w:p>
    <w:p>
      <w:r>
        <w:t>Pilot flow:</w:t>
      </w:r>
    </w:p>
    <w:p>
      <w:pPr>
        <w:pStyle w:val="ListBullet"/>
      </w:pPr>
      <w:r>
        <w:t>Records identified in seed map: 65</w:t>
      </w:r>
    </w:p>
    <w:p>
      <w:pPr>
        <w:pStyle w:val="ListBullet"/>
      </w:pPr>
      <w:r>
        <w:t>Raw Scopus records preserved for future screening: 566</w:t>
      </w:r>
    </w:p>
    <w:p>
      <w:pPr>
        <w:pStyle w:val="ListBullet"/>
      </w:pPr>
      <w:r>
        <w:t>Duplicates removed: 0 formally removed at v0.1 stage</w:t>
      </w:r>
    </w:p>
    <w:p>
      <w:pPr>
        <w:pStyle w:val="ListBullet"/>
      </w:pPr>
      <w:r>
        <w:t>Records screened at title/abstract or source-summary level: 65</w:t>
      </w:r>
    </w:p>
    <w:p>
      <w:pPr>
        <w:pStyle w:val="ListBullet"/>
      </w:pPr>
      <w:r>
        <w:t>Records excluded for now: 7 likely low-priority or pending quality verification</w:t>
      </w:r>
    </w:p>
    <w:p>
      <w:pPr>
        <w:pStyle w:val="ListBullet"/>
      </w:pPr>
      <w:r>
        <w:t>Reports sought for full-text retrieval: 33</w:t>
      </w:r>
    </w:p>
    <w:p>
      <w:pPr>
        <w:pStyle w:val="ListBullet"/>
      </w:pPr>
      <w:r>
        <w:t>Reports assessed in detail in this rapid evidence map: 12 priority anchors</w:t>
      </w:r>
    </w:p>
    <w:p>
      <w:pPr>
        <w:pStyle w:val="ListBullet"/>
      </w:pPr>
      <w:r>
        <w:t>Records retained in initial narrative synthesis: 28</w:t>
      </w:r>
    </w:p>
    <w:p>
      <w:pPr>
        <w:pStyle w:val="Heading1"/>
      </w:pPr>
      <w:r>
        <w:t>Narrative Synthesis</w:t>
      </w:r>
    </w:p>
    <w:p>
      <w:pPr>
        <w:pStyle w:val="Heading2"/>
      </w:pPr>
      <w:r>
        <w:t>Theme 1: Digital capability is the conversion layer between infrastructure and outcomes</w:t>
      </w:r>
    </w:p>
    <w:p>
      <w:r>
        <w:t>The clearest pattern across the literature is that connectivity, devices, or platform availability do not automatically produce life outcomes. Digital capability functions as a conversion layer: information literacy helps people assess the reliability of digital information; communication and collaboration skills help them participate in work, civic life, and communities; problem-solving and innovation skills help them adapt to changing technologies; safety and wellbeing literacy help them manage risks; and self-efficacy influences whether they attempt digital action at all.</w:t>
      </w:r>
    </w:p>
    <w:p>
      <w:r>
        <w:t>This supports the DCLO thesis spine. DPI and DPGs can be understood as public affordance systems, while digital capabilities determine whether citizens can convert those affordances into functionings such as employment access, service uptake, learning, health management, social participation, and voice.</w:t>
      </w:r>
    </w:p>
    <w:p>
      <w:pPr>
        <w:pStyle w:val="Heading2"/>
      </w:pPr>
      <w:r>
        <w:t>Theme 2: Employment and economic participation evidence is strongest when capability is specific</w:t>
      </w:r>
    </w:p>
    <w:p>
      <w:r>
        <w:t>The initial evidence map suggests that digital fluency matters for labour-market participation, but the effect is not reducible to device use. Studies in the employment strand point toward advanced application skills, operational internet skills, social internet skills, emerging-technology-related skills, and employability-related digital literacy as meaningful predictors or mediators. The PhD should therefore avoid a binary "connected/not connected" model. DCLO indicators should distinguish access, skill depth, confidence, productive use, and realised outcomes.</w:t>
      </w:r>
    </w:p>
    <w:p>
      <w:r>
        <w:t>For Paper 1, this implies a measurement model with separate capability dimensions: access infrastructure, basic operation, information/data literacy, communication/collaboration, problem-solving/adaptive capability, economic enablement, service enablement, and outcome realisation.</w:t>
      </w:r>
    </w:p>
    <w:p>
      <w:pPr>
        <w:pStyle w:val="Heading2"/>
      </w:pPr>
      <w:r>
        <w:t>Theme 3: Education evidence links digital skills to opportunity, but also to unequal risk</w:t>
      </w:r>
    </w:p>
    <w:p>
      <w:r>
        <w:t>Education and youth evidence indicates that digital skills can improve learning opportunities and achievement, particularly for disadvantaged or lower-performing students, but technical skill alone may increase exposure to online risks. This is important for DCLO because it prevents a simplistic positive story. A capability lens should examine both opportunity conversion and risk navigation.</w:t>
      </w:r>
    </w:p>
    <w:p>
      <w:r>
        <w:t>The thesis should treat digital capability as a composite, not a single competence. Information evaluation, critical literacy, safety, and social support are part of the capability set; they are not optional add-ons.</w:t>
      </w:r>
    </w:p>
    <w:p>
      <w:pPr>
        <w:pStyle w:val="Heading2"/>
      </w:pPr>
      <w:r>
        <w:t>Theme 4: Health and wellbeing literature increasingly treats digital inclusion as a health determinant</w:t>
      </w:r>
    </w:p>
    <w:p>
      <w:r>
        <w:t>Health-related sources describe digital literacy and digital inclusion as determinants of health and quality of life. This includes e-health literacy, telehealth navigation, online health information evaluation, and the confidence to act on or discuss digital health information. The ADHD/platform case is therefore not a side topic: it is a concrete example of how digital capability shapes mental-health curiosity, help-seeking, and self-understanding.</w:t>
      </w:r>
    </w:p>
    <w:p>
      <w:r>
        <w:t>The review also signals a major risk. Health-related digital capability can support agency, but platform-mediated health information can produce misinformation, over-identification, or diagnosis-by-content. The PhD should use explicitly non-diagnostic language and treat self-diagnosis as a social and informational phenomenon, not a clinical conclusion.</w:t>
      </w:r>
    </w:p>
    <w:p>
      <w:pPr>
        <w:pStyle w:val="Heading2"/>
      </w:pPr>
      <w:r>
        <w:t>Theme 5: Social inclusion literature shifts the frame from digital divide to digital capital</w:t>
      </w:r>
    </w:p>
    <w:p>
      <w:r>
        <w:t>The social-inclusion strand moves beyond first-level access gaps toward digital capital, participation, and social support. The relevant policy question is not simply whether people are online; it is whether they have the resources, confidence, skills, trust, and institutional support to participate meaningfully. DCLO can contribute by making this conversion logic measurable.</w:t>
      </w:r>
    </w:p>
    <w:p>
      <w:pPr>
        <w:pStyle w:val="Heading2"/>
      </w:pPr>
      <w:r>
        <w:t>Theme 6: DPI/DPG governance literature needs a stronger life-outcomes bridge</w:t>
      </w:r>
    </w:p>
    <w:p>
      <w:r>
        <w:t>DPI and DPG policy sources emphasise interoperability, openness, reusability, standards, inclusion, safeguards, and public value. The gap is that they often stop at infrastructure performance or institutional design. DCLO can supply the missing bridge: governance should be evaluated by whether DPI/DPGs expand people's capabilities and realised outcomes without deepening exclusion, surveillance, misinformation, or dependency.</w:t>
      </w:r>
    </w:p>
    <w:p>
      <w:r>
        <w:t>This is where the UN80/ITU mandate-overlap work becomes useful. The prior work on transcribing the top 30 YouTube videos across UN agency channels, combined with mandate-overlap analysis, can serve as the governance chapter's institutional evidence base. Overlapping public messages, repeated digital-transformation claims, and coordination gaps can show why digital public infrastructure requires institutional capability, mandate clarity, and outcome accountability rather than technical architecture alone. If the all-agency top-30 transcript dataset is not locally recoverable, it should be rebuilt as a bounded reproducible corpus and treated as Paper 3 evidence rather than as part of the main ADHD/platform corpus.</w:t>
      </w:r>
    </w:p>
    <w:p>
      <w:pPr>
        <w:pStyle w:val="Heading2"/>
      </w:pPr>
      <w:r>
        <w:t>Theme 7: ADHD platform discourse is a capability-and-risk case</w:t>
      </w:r>
    </w:p>
    <w:p>
      <w:r>
        <w:t>ADHD podcasts and social media sit at the intersection of digital health literacy, platform ecology, community formation, and medicalisation. A podcast-first research design is methodologically sensible because the current corpus is reproducible: the local podcast-discourse-lab has 704 shows, 96,306 episodes, 448 transcripts, 7,367 segments, 284 coded segments, 852 codings, DVC pipeline work, and UMAP topic-landscape figures. Social media can remain a triangulation layer after ethics approval.</w:t>
      </w:r>
    </w:p>
    <w:p>
      <w:r>
        <w:t>The literature-review implication is that Paper 2 should not claim that podcasts or TikTok "diagnose" ADHD. It should ask how platform discourse creates curiosity, recognition, identity language, help-seeking scripts, and consumer/medical framings, while also tracking misinformation and unequal capacity to evaluate claims.</w:t>
      </w:r>
    </w:p>
    <w:p>
      <w:pPr>
        <w:pStyle w:val="Heading2"/>
      </w:pPr>
      <w:r>
        <w:t>Theme 8: Doughnut Economics makes "life outcomes" normatively sharper</w:t>
      </w:r>
    </w:p>
    <w:p>
      <w:r>
        <w:t>Doughnut Economics is important because it avoids two weaknesses in digital-development research. First, it prevents the thesis from treating digital adoption as an end in itself. A digital capability matters when it helps a person reach or protect a social foundation: learning, livelihood, health, care, voice, dignity, belonging, public-service access, and agency. Second, it prevents an unconstrained welfare story in which more consumption, more device replacement, more data extraction, or more platform engagement is treated as progress. DCLO should therefore evaluate whether digital systems support "safe and just" outcomes: enough capability for human flourishing without normalising ecological overshoot, surveillance-intensive service delivery, or extractive platform dependency.</w:t>
      </w:r>
    </w:p>
    <w:p>
      <w:r>
        <w:t>The local prior work already points in this direction. DPI_PhD_Research_Strategy.md identifies an existing DPI diagnostics strand that measured access, affordability, trust, sustainability, adoption, impact, and Doughnut-linked social/ecological outcomes. This should be retained in the PhD strategy because it makes Paper 1 and Paper 3 more distinctive: the outcome model can define a minimum social threshold and a sustainability boundary rather than relying only on adoption, satisfaction, or growth indicators.</w:t>
      </w:r>
    </w:p>
    <w:p>
      <w:pPr>
        <w:pStyle w:val="Heading1"/>
      </w:pPr>
      <w:r>
        <w:t>DCLO Construct Implications</w:t>
      </w:r>
    </w:p>
    <w:p>
      <w:r>
        <w:t>The SLR supports a DCLO construct with at least six measurable domains:</w:t>
      </w:r>
    </w:p>
    <w:p>
      <w:pPr>
        <w:pStyle w:val="ListNumber"/>
      </w:pPr>
      <w:r>
        <w:t>Access and infrastructure readiness: connectivity, devices, affordability, identity/payment/service rails, and language accessibility.</w:t>
      </w:r>
    </w:p>
    <w:p>
      <w:pPr>
        <w:pStyle w:val="ListNumber"/>
      </w:pPr>
      <w:r>
        <w:t>Information and data literacy: ability to search, evaluate, verify, manage, and use information safely.</w:t>
      </w:r>
    </w:p>
    <w:p>
      <w:pPr>
        <w:pStyle w:val="ListNumber"/>
      </w:pPr>
      <w:r>
        <w:t>Communication and participation: capacity to collaborate, form networks, access services, and participate socially/civically.</w:t>
      </w:r>
    </w:p>
    <w:p>
      <w:pPr>
        <w:pStyle w:val="ListNumber"/>
      </w:pPr>
      <w:r>
        <w:t>Problem-solving and adaptive agency: confidence to troubleshoot, learn new tools, create digital outputs, and adapt to changing systems.</w:t>
      </w:r>
    </w:p>
    <w:p>
      <w:pPr>
        <w:pStyle w:val="ListNumber"/>
      </w:pPr>
      <w:r>
        <w:t>Safety, trust, and wellbeing: privacy, misinformation resilience, cyber-safety, psychological safety, and non-harmful use.</w:t>
      </w:r>
    </w:p>
    <w:p>
      <w:pPr>
        <w:pStyle w:val="ListNumber"/>
      </w:pPr>
      <w:r>
        <w:t>Outcome realisation: employment, health, learning, social inclusion, service access, civic voice, and subjective wellbeing.</w:t>
      </w:r>
    </w:p>
    <w:p>
      <w:pPr>
        <w:pStyle w:val="ListNumber"/>
      </w:pPr>
      <w:r>
        <w:t>Safe-and-just outcome boundaries: whether digital gains help people reach social-foundation thresholds without worsening ecological harm, extractive dependency, surveillance burden, device churn, or unequal exposure to digital risks.</w:t>
      </w:r>
    </w:p>
    <w:p>
      <w:r>
        <w:t>These domains allow the PhD to connect the secondary-data DCLO panel work, the ADHD podcast/platform study, and the DPI/DPG governance synthesis into one coherent public-policy dissertation. They also produce a practical diagnostic: where people fail to benefit from digital systems, the policy question becomes which conversion factor is weak -- access, literacy, confidence, trust, safety, institutional support, affordability, language, or outcome linkage.</w:t>
      </w:r>
    </w:p>
    <w:p>
      <w:pPr>
        <w:pStyle w:val="Heading1"/>
      </w:pPr>
      <w:r>
        <w:t>Research Gap, Contribution, And Practical Problem</w:t>
      </w:r>
    </w:p>
    <w:p>
      <w:r>
        <w:t>The core research gap is not that digital skills matter. That is already well established. The gap is that digital capability evidence, DPI/DPG governance, and platform-mediated self-understanding are usually studied in separate literatures. As a result, policy evaluation often measures infrastructure deployment, usage, or adoption while missing whether people gain durable agency and positive life outcomes.</w:t>
      </w:r>
    </w:p>
    <w:p>
      <w:r>
        <w:t>DCLO makes four contributions. First, it gives the PhD a construct that can be measured using secondary datasets and tested through robustness checks. Second, it supplies an interpretive frame for platform-mediated mental-health curiosity without making clinical claims. Third, it gives DPI/DPG governance a citizen-centred outcome criterion: public digital systems should be evaluated by capability expansion, not just technical availability. Fourth, by integrating Doughnut Economics, it frames life outcomes as a social foundation bounded by ecological ceilings, making the thesis stronger for public policy, sustainability, and development debates.</w:t>
      </w:r>
    </w:p>
    <w:p>
      <w:r>
        <w:t>This also creates a practical problem that can support a specialised research-and-advisory venture: organisations, universities, NGOs, development agencies, and public-sector partners need credible ways to assess digital capability gaps, map digital public-service readiness, evaluate digital health-information risks, and design interventions that improve outcomes. The PhD can therefore generate both academic outputs and a field-facing capability assessment practice, provided the commercial activity is kept ethically separate from thesis data collection and declared where relevant.</w:t>
      </w:r>
    </w:p>
    <w:p>
      <w:pPr>
        <w:pStyle w:val="Heading1"/>
      </w:pPr>
      <w:r>
        <w:t>Quality Appraisal Plan</w:t>
      </w:r>
    </w:p>
    <w:p>
      <w:pPr>
        <w:pStyle w:val="ListBullet"/>
      </w:pPr>
      <w:r>
        <w:t>Use MMAT 2018 for mixed-methods empirical studies.</w:t>
      </w:r>
    </w:p>
    <w:p>
      <w:pPr>
        <w:pStyle w:val="ListBullet"/>
      </w:pPr>
      <w:r>
        <w:t>Use AMSTAR 2 or a review-quality checklist for systematic/scoping reviews.</w:t>
      </w:r>
    </w:p>
    <w:p>
      <w:pPr>
        <w:pStyle w:val="ListBullet"/>
      </w:pPr>
      <w:r>
        <w:t>Use AACODS for grey literature and official framework sources.</w:t>
      </w:r>
    </w:p>
    <w:p>
      <w:pPr>
        <w:pStyle w:val="ListBullet"/>
      </w:pPr>
      <w:r>
        <w:t>Rate each source for conceptual relevance, methodological quality, population relevance, outcome relevance, and DCLO contribution.</w:t>
      </w:r>
    </w:p>
    <w:p>
      <w:pPr>
        <w:pStyle w:val="ListBullet"/>
      </w:pPr>
      <w:r>
        <w:t>Require a second human reviewer for final title/abstract screening and a 10-20 percent full-text extraction audit.</w:t>
      </w:r>
    </w:p>
    <w:p>
      <w:pPr>
        <w:pStyle w:val="Heading1"/>
      </w:pPr>
      <w:r>
        <w:t>Immediate Next Steps For A Publishable SLR</w:t>
      </w:r>
    </w:p>
    <w:p>
      <w:r>
        <w:t>The upgraded rigour pack in rigour_pack/ now defines the exact reproducible workflow: preregistration-style protocol, database-specific queries, deduplication rules, screening codebook, exclusion reasons, quality-appraisal templates, PRISMA 2020 checklist, PRISMA-S checklist, computational reproducibility notes, and reproducibility manifest.</w:t>
      </w:r>
    </w:p>
    <w:p>
      <w:pPr>
        <w:pStyle w:val="ListNumber"/>
      </w:pPr>
      <w:r>
        <w:t>Start with the preserved Scopus export and scopus_screening_queue.csv; screen the 260 P1/P2 records first, then the P3 records, then confirm P4 exclusions.</w:t>
      </w:r>
    </w:p>
    <w:p>
      <w:pPr>
        <w:pStyle w:val="ListNumber"/>
      </w:pPr>
      <w:r>
        <w:t>Run Web of Science/Dimensions/PubMed/Google Scholar supplementary searches using the four strings above; export RIS/BibTeX/CSV with abstracts where available.</w:t>
      </w:r>
    </w:p>
    <w:p>
      <w:pPr>
        <w:pStyle w:val="ListNumber"/>
      </w:pPr>
      <w:r>
        <w:t>Deduplicate in Zotero, Rayyan, Covidence, or ASReview; archive the dedupe log. The current Scopus prep already flags 19 exact DOI/title duplicate groups for manual confirmation.</w:t>
      </w:r>
    </w:p>
    <w:p>
      <w:pPr>
        <w:pStyle w:val="ListNumber"/>
      </w:pPr>
      <w:r>
        <w:t>Conduct title/abstract screening with two reviewers or one reviewer plus a documented audit sample.</w:t>
      </w:r>
    </w:p>
    <w:p>
      <w:pPr>
        <w:pStyle w:val="ListNumber"/>
      </w:pPr>
      <w:r>
        <w:t>Retrieve full texts for all eligible records.</w:t>
      </w:r>
    </w:p>
    <w:p>
      <w:pPr>
        <w:pStyle w:val="ListNumber"/>
      </w:pPr>
      <w:r>
        <w:t>Complete data extraction with the template in data_extraction_template.csv.</w:t>
      </w:r>
    </w:p>
    <w:p>
      <w:pPr>
        <w:pStyle w:val="ListNumber"/>
      </w:pPr>
      <w:r>
        <w:t>Complete quality appraisal using MMAT/AMSTAR/AACODS.</w:t>
      </w:r>
    </w:p>
    <w:p>
      <w:pPr>
        <w:pStyle w:val="ListNumber"/>
      </w:pPr>
      <w:r>
        <w:t>Produce a final PRISMA 2020 flow diagram and final inclusion table.</w:t>
      </w:r>
    </w:p>
    <w:p>
      <w:r>
        <w:t>9. Update the PhD strategy bibliography and supervisor concept note with only verified citations.</w:t>
      </w:r>
    </w:p>
    <w:p>
      <w:pPr>
        <w:pStyle w:val="Heading1"/>
      </w:pPr>
      <w:r>
        <w:t>How The SLR Maps To The Three-Paper PhD</w:t>
      </w:r>
    </w:p>
    <w:p>
      <w:r>
        <w:t>Paper 1: DCLO construct and measurement. The SLR supplies construct validity. It identifies the domains that should appear in the measurement model: access, information/data literacy, communication, adaptive problem-solving, safety/trust, self-efficacy, realised outcomes, and safe-and-just outcome boundaries. It also flags quantitative robustness checks: missingness, factor structure, VIF/correlation, leakage-safe service-domain specifications, placebo tests, and sensitivity to alternative indicator weights. The Doughnut link allows Paper 1 to define "positive life outcomes" as social-foundation thresholds rather than a vague welfare composite.</w:t>
      </w:r>
    </w:p>
    <w:p>
      <w:r>
        <w:t>Paper 2: Platform-mediated ADHD self-understanding. The SLR supplies the health-information and platform-risk frame. It positions podcasts as the reproducible core and social media as the surrounding ecology. It requires non-diagnostic language, ethical caution, transcript-source sensitivity, and human validation of computational text coding.</w:t>
      </w:r>
    </w:p>
    <w:p>
      <w:r>
        <w:t>Paper 3: DPI/DPG governance for life outcomes. The SLR supplies the governance gap: infrastructure literatures need a stronger account of capability conversion and outcome realisation. The UN agency YouTube transcript/mandate-overlap work should be used here to show how institutional messaging and mandate coordination shape the governance environment in which DPI/DPGs are deployed. Doughnut Economics gives Paper 3 its evaluative test: DPI/DPG governance should expand the social foundation while respecting sustainability, privacy, data-minimisation, and ecological constraints.</w:t>
      </w:r>
    </w:p>
    <w:p>
      <w:pPr>
        <w:pStyle w:val="Heading1"/>
      </w:pPr>
      <w:r>
        <w:t>Primary Survey Design For The Three Papers</w:t>
      </w:r>
    </w:p>
    <w:p>
      <w:r>
        <w:t>A Qualtrics-ready primary survey has been added in survey_instrument/. The purpose is to convince the supervisor that the PhD has a coherent primary-data need rather than relying only on secondary datasets and computational discourse evidence. The survey measures the DCLO construct at the individual level, validates the Doughnut framing of social-foundation outcomes and ecological ceilings, and links platform-mediated ADHD curiosity to respondent-side digital health literacy and help-seeking pathways.</w:t>
      </w:r>
    </w:p>
    <w:p>
      <w:r>
        <w:t>Sampling streams: OP Jindal PhD scholars, Jagriti Yatra participants/young entrepreneurs, Instagram-recruited adult respondents, and a Global South/Global North comparison sample recruited through appropriate academic or public channels. Country grouping should be coded during analysis from country of residence, rather than using politically loaded labels in question wording.</w:t>
      </w:r>
    </w:p>
    <w:p>
      <w:r>
        <w:t>Qualtrics logic: the survey uses consent/eligibility branching; India-specific DPI examples shown only to India respondents; ADHD/neurodivergence follow-up shown only after a broad mental-health/neurodivergence exposure question; OP Jindal and Jagriti/entrepreneur modules shown only to relevant respondents; and Loop &amp; Merge for selected digital service categories and selected platforms.</w:t>
      </w:r>
    </w:p>
    <w:p>
      <w:r>
        <w:t>Paper linkage: Paper 1 uses the DCLO scales, social-foundation index, ecological-ceiling items, and service-conversion loops for construct validation. Paper 2 uses the platform-health branch to connect podcast/social-media discourse to curiosity, source evaluation, self-understanding, and help-seeking without making diagnostic claims. Paper 3 uses the service loop and governance block to test whether public digital systems are trusted, accountable, inclusive, sustainable, and outcome-converting.</w:t>
      </w:r>
    </w:p>
    <w:p>
      <w:pPr>
        <w:pStyle w:val="Heading1"/>
      </w:pPr>
      <w:r>
        <w:t>Translational Pathway: Specialised DCLO Practice</w:t>
      </w:r>
    </w:p>
    <w:p>
      <w:r>
        <w:t>A carefully separated practice arm can be built around the problem identified by the SLR: institutions lack rigorous, outcome-oriented ways to diagnose and improve digital capabilities. The venture should not be presented as the PhD's objective, but as a translational pathway that can field-test DCLO instruments and create policy-facing outputs after ethics safeguards are in place.</w:t>
      </w:r>
    </w:p>
    <w:p>
      <w:r>
        <w:t>Working model: a small DCLO research and advisory studio that offers digital capability audits, digital-service readiness studies, evidence maps, training diagnostics, and outcome dashboards for universities, NGOs, CSR teams, public agencies, and development organisations.</w:t>
      </w:r>
    </w:p>
    <w:p>
      <w:r>
        <w:t>Bootstrapped staffing: hire 3-5 young graduates at INR 20,000-30,000 per month. Train them in literature screening, survey administration, interview transcription, data cleaning, dashboard preparation, source verification, and field documentation. Keep thesis-sensitive coding and analysis under direct researcher supervision.</w:t>
      </w:r>
    </w:p>
    <w:p>
      <w:r>
        <w:t>First services: (1) DCLO assessment for colleges and NGOs; (2) digital health-literacy and misinformation-risk workshops using non-diagnostic language; (3) DPI/DPG readiness and inclusion audits; (4) UN/agency mandate-mapping and public-communication analysis; (5) reproducible evidence packs for policy teams.</w:t>
      </w:r>
    </w:p>
    <w:p>
      <w:r>
        <w:t>Ethics firewall: do not sell services to thesis participants; do not mix client data with thesis data; obtain written consent for any field evidence; anonymise operational datasets; disclose conflicts to the supervisor/SDC; and keep public deliverables separate from examinable thesis datasets unless approved by ethics review.</w:t>
      </w:r>
    </w:p>
    <w:p>
      <w:r>
        <w:t>Academic benefit: the venture creates a pathway for external validity and impact without weakening scholarship. It can produce case leads, field partnerships, practitioner feedback on DCLO instruments, and policy relevance, while the thesis remains grounded in PRISMA review, secondary-data modelling, reproducible podcast/discourse analysis, and documented governance evidence.</w:t>
      </w:r>
    </w:p>
    <w:p>
      <w:pPr>
        <w:pStyle w:val="Heading1"/>
      </w:pPr>
      <w:r>
        <w:t>One-Week Agent Workflow To Complete The Final PRISMA Review</w:t>
      </w:r>
    </w:p>
    <w:p>
      <w:r>
        <w:t>Day 1 - Search architect agent: run Scopus/Web of Science/Dimensions/PubMed/Google Scholar searches; export RIS/BibTeX/CSV; freeze search strings and timestamps in search_log.csv.</w:t>
      </w:r>
    </w:p>
    <w:p>
      <w:r>
        <w:t>Day 2 - Deduplication and screening agent: use scopus_screening_queue.csv to screen the 260 P1/P2 Scopus records first; confirm the 19 possible duplicate groups; then deduplicate supplementary exports in Zotero/Rayyan/ASReview and flag uncertain records for human adjudication.</w:t>
      </w:r>
    </w:p>
    <w:p>
      <w:r>
        <w:t>Day 3 - Retrieval and appraisal agent: retrieve full texts; run MMAT/AMSTAR/AACODS quality appraisal; identify sources that should be excluded for weak method or unverifiable provenance.</w:t>
      </w:r>
    </w:p>
    <w:p>
      <w:r>
        <w:t>Day 4 - Extraction agent: populate data_extraction_template.csv; code each study by digital capability dimension, life-outcome domain, DPI/DPG relevance, equity findings, and risk/harm findings.</w:t>
      </w:r>
    </w:p>
    <w:p>
      <w:r>
        <w:t>Day 5 - Synthesis agent: produce evidence tables, thematic synthesis, and gap map; separate DCLO measurement evidence from ADHD/platform evidence and DPI/DPG governance evidence.</w:t>
      </w:r>
    </w:p>
    <w:p>
      <w:r>
        <w:t>Day 6 - Citation verification agent: verify every citation through DOI/Crossref, publisher pages, official PDFs, or library records; resolve all needs verification rows in citation_verification_log.csv.</w:t>
      </w:r>
    </w:p>
    <w:p>
      <w:r>
        <w:t>Day 7 - Writer/reproducibility agent: update this report into the final PRISMA SLR; generate the final PRISMA flow diagram, appendix tables, reproducibility pack, and supervisor-ready summary.</w:t>
      </w:r>
    </w:p>
    <w:p>
      <w:pPr>
        <w:pStyle w:val="Heading1"/>
      </w:pPr>
      <w:r>
        <w:t>Seed Evidence Map</w:t>
      </w:r>
    </w:p>
    <w:p>
      <w:r>
        <w:t>The full machine-readable evidence map is in included_seed_records.csv. The table below lists priority records and artefacts that currently anchor the review.</w:t>
      </w:r>
    </w:p>
    <w:p>
      <w:r>
        <w:t>| ID | Authors/year | Title | Strand | Status |</w:t>
      </w:r>
    </w:p>
    <w:p>
      <w:r>
        <w:t>|---|---|---|---|---|</w:t>
      </w:r>
    </w:p>
    <w:p>
      <w:r>
        <w:t>| C01 | Li et al. (2026) | Digital literacy, work participation, and active aging: evidence on older adults' employment and well-being in China | Digital capabilities and employment/wellbeing | Seed identified through supplementary discovery platform A; verify DOI/full text before final inclusion |</w:t>
      </w:r>
    </w:p>
    <w:p>
      <w:r>
        <w:t>| C02 | Bejakovic and Mrnjavac (2020) | The importance of digital literacy on the labour market | Employment and economic participation | Seed identified through supplementary discovery platform A; verify DOI/full text before final inclusion |</w:t>
      </w:r>
    </w:p>
    <w:p>
      <w:r>
        <w:t>| C03 | Adegbite (2024) | Unpacking mediation and moderating effect of digital literacy and life-career knowledge in the relationship between work-integrated learning and graduate employability | Employability and education-to-work transition | Seed identified through supplementary discovery platform A; verify DOI/full text before final inclusion |</w:t>
      </w:r>
    </w:p>
    <w:p>
      <w:r>
        <w:t>| C04 | Goaill et al. (2026) | Empowering digital inclusion: internet skills, usage, and self-efficacy as determinants of economic satisfaction among unemployed people | Economic satisfaction and digital self-efficacy | Seed identified through supplementary discovery platform A; verify DOI/full text before final inclusion |</w:t>
      </w:r>
    </w:p>
    <w:p>
      <w:r>
        <w:t>| C05 | Pagani et al. (2016) | The impact of digital skills on educational outcomes: evidence from performance tests | Education and learning outcomes | Seed identified through supplementary discovery platform A; verify DOI/full text before final inclusion |</w:t>
      </w:r>
    </w:p>
    <w:p>
      <w:r>
        <w:t>| C06 | Livingstone et al. (2021) | The outcomes of gaining digital skills for young people's lives and wellbeing: A systematic evidence review | Youth digital skills and wellbeing | High-priority review; verify DOI/full text and extract quality appraisal |</w:t>
      </w:r>
    </w:p>
    <w:p>
      <w:r>
        <w:t>| C07 | Yang et al. (2025) | The impact of digital literacy in enhancing individuals' health in China | Health and wellbeing | Seed identified through supplementary discovery platform A; verify DOI/full text before final inclusion |</w:t>
      </w:r>
    </w:p>
    <w:p>
      <w:r>
        <w:t>| C08 | Xin et al. (2025) | Digital literacy impacts quality of life among older adults through hierarchical mediating mechanisms | Older adults and quality of life | Seed identified through supplementary discovery platform A; verify DOI/full text before final inclusion |</w:t>
      </w:r>
    </w:p>
    <w:p>
      <w:r>
        <w:t>| C09 | Qin et al. (2024) | The impact of digital skills on health: Evidence from the China General Social Survey | Digital skills as health determinant | Seed identified through supplementary discovery platform A; verify DOI/full text before final inclusion |</w:t>
      </w:r>
    </w:p>
    <w:p>
      <w:r>
        <w:t>| C10 | Ji et al. (2025) | Beyond access: Digital skills as a new social determinant of health among older adults - evidence from a longitudinal panel study | Health, ageing, longitudinal evidence | Seed identified through supplementary discovery platform A; verify DOI/full text before final inclusion |</w:t>
      </w:r>
    </w:p>
    <w:p>
      <w:r>
        <w:t>| C11 | Arias Lopez et al. (2023) | Digital literacy as a new determinant of health: A scoping review | Health and e-health literacy | Priority full-text source; DOI identified, verify extraction |</w:t>
      </w:r>
    </w:p>
    <w:p>
      <w:r>
        <w:t>| C12 | Mendez-Dominguez et al. (2023) | Digital inclusion for social inclusion. Case study on digital literacy | Social inclusion and participation | Seed identified through supplementary discovery platform A; verify DOI/full text before final inclusion |</w:t>
      </w:r>
    </w:p>
    <w:p>
      <w:r>
        <w:t>| C13 | Lybeck et al. (2023) | From digital divide to digital capital: the role of education and digital skills in social media participation | Digital capital and participation | Seed identified through supplementary discovery platform A; verify DOI/full text before final inclusion |</w:t>
      </w:r>
    </w:p>
    <w:p>
      <w:r>
        <w:t>| C14 | Judijanto et al. (2024) | Impact Analysis of Digitalization, Technology Skills, and Social Inclusion on Social and Economic Change in Indonesia | Social/economic change | Seed identified through supplementary discovery platform A; verify journal quality and full text before final inclusion |</w:t>
      </w:r>
    </w:p>
    <w:p>
      <w:r>
        <w:t>| C15 | Sieck et al. (2021) | Digital inclusion as a social determinant of health | Digital inclusion and health equity | Priority conceptual source; verify extraction |</w:t>
      </w:r>
    </w:p>
    <w:p>
      <w:r>
        <w:t>| C16 | Irwani et al. (2024) | Digital Exclusion and Social Inequity: A Global Narrative Review of Access to Education, Healthcare, and the Digital Economy | Digital exclusion and inequality | Seed identified through supplementary discovery platform A; verify quality before final inclusion |</w:t>
      </w:r>
    </w:p>
    <w:p>
      <w:r>
        <w:t>| C17 | Sharma et al. (2023) | Digital literacies as policy catalysts of social innovation and socio-economic transformation: Interpretive analysis from Singapore and the UAE | Policy, digital literacy, socio-economic transformation | Seed identified through supplementary discovery platform A; verify DOI/full text before final inclusion |</w:t>
      </w:r>
    </w:p>
    <w:p>
      <w:r>
        <w:t>| C18 | Arkan et al. (2025) | The relationship between school-age students' literacy skills and digital well-being: a systematic review | Digital wellbeing and students | Seed identified through supplementary discovery platform A; verify DOI/full text before final inclusion |</w:t>
      </w:r>
    </w:p>
    <w:p>
      <w:r>
        <w:t>| C19 | Carrasco-Dajer et al. (2024) | Impact of a culturally adapted digital literacy intervention on older people and its relationship with health literacy, quality of life, and well-being | Intervention, older adults, health literacy | Seed identified through supplementary discovery platform A; verify DOI/full text before final inclusion |</w:t>
      </w:r>
    </w:p>
    <w:p>
      <w:r>
        <w:t>| C20 | Ngiam et al. (2022) | Building Digital Literacy in Older Adults of Low Socioeconomic Status in Singapore (Project Wire Up): Nonrandomized Controlled Trial | Intervention, digital literacy, older adults | Priority intervention source; verify DOI/full text and extract outcomes |</w:t>
      </w:r>
    </w:p>
    <w:p>
      <w:r>
        <w:t>| S01 | Bahcekapili, Neagu and Berigel (2025) | Bridging NEET Status and Employability Through Digital Literacy: Implications for TVET Policies in the Digital Age | Digital literacy, employability, NEET youth | Supplementary discovery seed; verify journal quality, DOI, methods, and relevance before final inclusion |</w:t>
      </w:r>
    </w:p>
    <w:p>
      <w:r>
        <w:t>| S02 | Barone, Loviglio and Tommasi (2025) | Reducing the digital divide for marginalized households | Digital divide, marginalized households, social inclusion | Supplementary discovery seed; verify full text and publication status before final inclusion |</w:t>
      </w:r>
    </w:p>
    <w:p>
      <w:r>
        <w:t>| S03 | Johnson, Lee and Brooks (2024) | Role of digital literacy in promoting social inclusion within marginalized communities | Social inclusion and digital literacy | Supplementary discovery seed; title appeared truncated/generic in supplementary discovery platform B, verify bibliographic record carefully |</w:t>
      </w:r>
    </w:p>
    <w:p>
      <w:r>
        <w:t>| S04 | Adekoya (2025) | Reframing Human Capital: The Strategic Role of Digital Literacy in 21st Century Workforce Development | Workforce development and human capital | Supplementary discovery seed; verify quality and contribution before final inclusion |</w:t>
      </w:r>
    </w:p>
    <w:p>
      <w:r>
        <w:t>| S05 | Unknown/Repository record (2025) | Capacity Building, Digital Literacy, and Information Access for Inclusive Development | Inclusive development and digital literacy | Low-priority seed; appraise with AACODS if used |</w:t>
      </w:r>
    </w:p>
    <w:p>
      <w:r>
        <w:t>| S06 | Reddy, Ravindra and Sharma (2022) | Digital Literacy Initiative for Person with Disability in Fiji | Disability inclusion and digital literacy | Potentially useful equity case; verify methods and full text |</w:t>
      </w:r>
    </w:p>
    <w:p>
      <w:r>
        <w:t>| S07 | Rai (2025) | From Barriers to Opportunities: The Role of Digital Skills in Empowering Women in Rural Areas | Rural women, digital skills, empowerment | Supplementary discovery seed; possible duplicate with S08; verify before use |</w:t>
      </w:r>
    </w:p>
    <w:p>
      <w:r>
        <w:t>| S08 | Rai (2025) | From Barriers to Opportunities: The Role of Digital Skills in Empowering Women in Rural Areas | Rural women, digital skills, empowerment | Likely duplicate or alternate version of S07; deduplicate before final screening |</w:t>
      </w:r>
    </w:p>
    <w:p>
      <w:r>
        <w:t>| S09 | Fisk et al. (2022) | Healing the Digital Divide With Digital Inclusion: Enabling Human Capabilities | Digital inclusion, human capabilities, service research | High-priority DCLO/capability source; verify full text and extract carefully |</w:t>
      </w:r>
    </w:p>
    <w:p>
      <w:r>
        <w:t>| S10 | Bhandari, Desruisseaux et al. (2025) | Digital literacy and its impact on employment in Nepal | Employment and digital literacy | Supplementary discovery seed; verify journal quality and methods before final inclusion |</w:t>
      </w:r>
    </w:p>
    <w:p>
      <w:r>
        <w:t>| SC01 | Frau-Meigs (2024) | Benefit-oriented digital skills and digital resilience: A model for countering online risks | Digital skills, resilience, online risk | Scopus seed from raw export; high-priority for safety/risk dimension of DCLO |</w:t>
      </w:r>
    </w:p>
    <w:p>
      <w:r>
        <w:t>| SC02 | Wilson et al. (2024) | Digital technologies and the early childhood sector: are we fostering digital capabilities and agency in young children? | Digital capabilities, agency, education | Scopus seed from raw export; useful for agency/outcome framing |</w:t>
      </w:r>
    </w:p>
    <w:p>
      <w:r>
        <w:t>| SC03 | Fang, Qiu and Wang (2026) | From digital access to digital capability: Implications for physical and mental health among older adults in China | Digital capability, health, older adults | Scopus seed from relevance-ranked results; high-priority for access-to-capability health pathway |</w:t>
      </w:r>
    </w:p>
    <w:p>
      <w:r>
        <w:t>| SC04 | Liu et al. (2023) | Digital capability, digital learning, and sustainable behaviour among university students in Taiwan: A comparison design of integrated mediation-moderation models | Digital capability, learning, behaviour | Scopus seed from raw export; extract mediation/moderation model if retained |</w:t>
      </w:r>
    </w:p>
    <w:p>
      <w:r>
        <w:t>| SC05 | Taylor-Beswick (2023) | Digitalizing social work education: preparing students to engage with twenty-first century practice need | Digital capabilities, professional education, rights/safety | Scopus seed from raw export; useful for professional capability and sociotechnical risk framing |</w:t>
      </w:r>
    </w:p>
    <w:p>
      <w:r>
        <w:t>| SC06 | Woods et al. (2021) | Improving the digital capabilities of Australia's health workforce: The national digital health workforce and education roadmap | Digital health workforce capability | Scopus seed; policy/workforce roadmap relevance, verify DOI/full text if used |</w:t>
      </w:r>
    </w:p>
    <w:p>
      <w:r>
        <w:t>| SC07 | Palapa, Handoko and Wanto (2026) | The impact of digital learning and digital capability on digital engagement and performance in TVET higher education: A mediation analysis | Digital capability, engagement, educational performance | Scopus seed; verify journal quality and methods before final inclusion |</w:t>
      </w:r>
    </w:p>
    <w:p>
      <w:r>
        <w:t>| SC08 | Li and Zhang (2025) | Does residents' digital capability affect households' financial health? Evidence from the CFPS | Digital capability, household financial health | Scopus seed; high-priority for economic/financial-health life-outcome pathway |</w:t>
      </w:r>
    </w:p>
    <w:p>
      <w:r>
        <w:t>| SC09 | Turner (2021) | Mutual 'App'reciation: Co-production as a model for delivering digital capability within social work education | Co-production, digital capability, social work education | Scopus seed; useful for participatory/capability-building design |</w:t>
      </w:r>
    </w:p>
    <w:p>
      <w:r>
        <w:t>| SC10 | Chee, Gallagher and Loe (2026) | Digital health capability and confidence among mental health and general healthcare nurses | Digital health capability, confidence, mental healthcare | Scopus seed; relevant to health capability and mental-health service context |</w:t>
      </w:r>
    </w:p>
    <w:p>
      <w:r>
        <w:t>| M01 | Page et al. (2021) | The PRISMA 2020 statement: an updated guideline for reporting systematic reviews | Review method | Verified method anchor; use checklist and flow diagram in final SLR |</w:t>
      </w:r>
    </w:p>
    <w:p>
      <w:r>
        <w:t>| M02 | Rethlefsen et al. (2021) | PRISMA-S: an extension to the PRISMA Statement for Reporting Literature Searches in Systematic Reviews | Search reporting | Verified method anchor; use for database/platform search log |</w:t>
      </w:r>
    </w:p>
    <w:p>
      <w:r>
        <w:t>| T01 | Sen (1999) | Development as Freedom | Capability approach | Classic theory source; verify edition used in final references |</w:t>
      </w:r>
    </w:p>
    <w:p>
      <w:r>
        <w:t>| T02 | Robeyns (2005) | The Capability Approach: a theoretical survey | Capability approach | Theory anchor; verify final citation format |</w:t>
      </w:r>
    </w:p>
    <w:p>
      <w:r>
        <w:t>| T03 | Raworth (2012) | A Safe and Just Space for Humanity: Can We Live within the Doughnut? | Doughnut economics and safe-and-just outcomes | Theory anchor for social foundation plus ecological ceiling; verify final citation and PDF metadata |</w:t>
      </w:r>
    </w:p>
    <w:p>
      <w:r>
        <w:t>| T04 | Raworth (2017) | Doughnut Economics: Seven Ways to Think Like a 21st-Century Economist | Doughnut economics and outcomes framework | Theory anchor for interpreting life outcomes as a social foundation constrained by planetary boundaries |</w:t>
      </w:r>
    </w:p>
    <w:p>
      <w:r>
        <w:t>| T05 | Rockstrom et al. (2009); Steffen et al. (2015) | Planetary boundaries and the safe operating space for humanity | Planetary boundaries | Use to substantiate the ecological-ceiling side of the DCLO/Doughnut synthesis; Rockstrom DOI verified |</w:t>
      </w:r>
    </w:p>
    <w:p>
      <w:r>
        <w:t>| D01 | Jisc (n.d.) | Individual digital capabilities | Digital capability framework | Official framework source; already used in PhD strategy |</w:t>
      </w:r>
    </w:p>
    <w:p>
      <w:r>
        <w:t>| D02 | European Commission/JRC (2022) | DigComp 2.2: The Digital Competence Framework for Citizens | Digital competence framework | Official framework source; verify PDF metadata in final citation |</w:t>
      </w:r>
    </w:p>
    <w:p>
      <w:r>
        <w:t>| D03 | Australian Government DEWR (n.d.) | Digital Capability Framework | Digital capability framework | Official framework source; already used in PhD strategy |</w:t>
      </w:r>
    </w:p>
    <w:p>
      <w:r>
        <w:t>| D04 | Digital Poverty Alliance (2024) | UK Digital Poverty Evidence Review / Digital Poverty Alliance 2024 resources | Digital poverty and exclusion | Grey-literature source; appraise with AACODS |</w:t>
      </w:r>
    </w:p>
    <w:p>
      <w:r>
        <w:t>| P01 | Digital Public Goods Alliance (n.d.) | Digital Public Goods Standard | DPG governance | Official standard; extract openness, privacy, standards and governance criteria |</w:t>
      </w:r>
    </w:p>
    <w:p>
      <w:r>
        <w:t>| P02 | UNDP (n.d.) | Digital Public Infrastructure resources and governance framing | DPI governance | Official policy source; verify latest page content before final citation |</w:t>
      </w:r>
    </w:p>
    <w:p>
      <w:r>
        <w:t>| P03 | World Bank (n.d.) | Digital public infrastructure and digital development resources | DPI and development | Policy source; use for DPI background only after specific report selection |</w:t>
      </w:r>
    </w:p>
    <w:p>
      <w:r>
        <w:t>| A01 | Yeung, Ng and Abi-Jaoude (2022) | TikTok and Attention-Deficit/Hyperactivity Disorder: A Cross-Sectional Study of Social Media Content Quality | ADHD, social media, misinformation | Priority ADHD/platform source; verify extraction and avoid diagnostic claims |</w:t>
      </w:r>
    </w:p>
    <w:p>
      <w:r>
        <w:t>| A02 | Lupton and Southerton (2024) | Neurodivergence, TikTok, and self-understanding / self-diagnosis literature | Platform-mediated self-understanding | Needs exact bibliographic verification before final inclusion |</w:t>
      </w:r>
    </w:p>
    <w:p>
      <w:r>
        <w:t>| A03 | Pretorius et al. (2019) | Young people seeking and sharing mental health information online: digital mental health review literature | Online health information seeking | Needs exact bibliographic verification before final inclusion |</w:t>
      </w:r>
    </w:p>
    <w:p>
      <w:r>
        <w:t>| F01 | Hacking (1995/1999) | Looping effects / making up people | Social construction of diagnostic categories | Use in podcast/discourse paper; verify exact chapter/article citation |</w:t>
      </w:r>
    </w:p>
    <w:p>
      <w:r>
        <w:t>| F02 | Conrad (2007) | The Medicalization of Society | Medicalisation | Use in podcast/discourse paper; verify edition used |</w:t>
      </w:r>
    </w:p>
    <w:p>
      <w:r>
        <w:t>| F03 | Foucault (1991) | Governmentality | Governmentality and subject formation | Use for optimisation/responsibilisation analysis; verify chapter pagination |</w:t>
      </w:r>
    </w:p>
    <w:p>
      <w:r>
        <w:t>| F04 | Entman (1993) | Framing: Toward clarification of a fractured paradigm | Framing method | Use in discourse/coding framework; verify extraction |</w:t>
      </w:r>
    </w:p>
    <w:p>
      <w:r>
        <w:t>| L01 | Local DCLO project (2026) | India open-data / PowerBI DCLO indicator mapping, governance notes, and secondary-data causal panel work | Local PhD evidence base | Use as local empirical backbone; needs leakage-safe re-estimation before thesis chapter |</w:t>
      </w:r>
    </w:p>
    <w:p>
      <w:r>
        <w:t>| L02 | Local podcast-discourse-lab (2026) | ADHD podcast discourse corpus: 704 shows, 96,306 episodes, 448 transcripts, 7,367 segments, 284 coded segments, 852 codings | Platform-mediated self-understanding | Use as podcast-first empirical chapter; add transcript-stratum sensitivity and human co-coding |</w:t>
      </w:r>
    </w:p>
    <w:p>
      <w:r>
        <w:t>| L03 | Local UN80/ITU mandate-overlap project (2026) | Top-30 YouTube video transcript work across UN agency channels and mandate-overlap analysis for digital language-conferencing and Action 61/62 governance evidence | DPI/DPG governance and institutional coordination | Use as Paper 3 governance evidence; recover or rebuild the all-agency top-30 YouTube transcript dataset if missing |</w:t>
      </w:r>
    </w:p>
    <w:p>
      <w:r>
        <w:t>| L04 | Local DPI PhD strategy note (2026) | DPI readiness framework with access, affordability, trust, sustainability, adoption, impact, Doughnut scores, and social/ecological outcome diagnostics | Local DCLO/DPI/Doughnut evidence base | Use as prior-work evidence that Doughnut-linked social/ecological outcomes were already part of the DPI diagnostics agenda |</w:t>
      </w:r>
    </w:p>
    <w:p>
      <w:r>
        <w:br w:type="page"/>
      </w:r>
    </w:p>
    <w:p>
      <w:pPr>
        <w:pStyle w:val="Heading1"/>
      </w:pPr>
      <w:r>
        <w:t>Seed Evidence Map</w:t>
      </w:r>
    </w:p>
    <w:p>
      <w:r>
        <w:t>The table below is a compact Word rendering of the full CSV. It distinguishes seed records, official standards, theory anchors, and local empirical artefacts from final included studies.</w:t>
      </w:r>
    </w:p>
    <w:tbl>
      <w:tblGrid>
        <w:gridCol w:w="650"/>
        <w:gridCol w:w="1600"/>
        <w:gridCol w:w="3650"/>
        <w:gridCol w:w="1850"/>
        <w:gridCol w:w="1610"/>
      </w:tblGrid>
      <w:tblPr>
        <w:tblStyle w:val="TableGrid"/>
        <w:tblW w:type="dxa" w:w="9360"/>
        <w:jc w:val="left"/>
        <w:tblLook w:firstColumn="1" w:firstRow="1" w:lastColumn="0" w:lastRow="0" w:noHBand="0" w:noVBand="1" w:val="04A0"/>
        <w:tblInd w:w="120" w:type="dxa"/>
        <w:tblCellMar>
          <w:top w:w="80" w:type="dxa"/>
          <w:start w:w="100" w:type="dxa"/>
          <w:bottom w:w="80" w:type="dxa"/>
          <w:end w:w="100" w:type="dxa"/>
        </w:tblCellMar>
      </w:tblPr>
      <w:tr>
        <w:tc>
          <w:tcPr>
            <w:tcW w:type="dxa" w:w="650"/>
            <w:shd w:fill="F2F4F7"/>
          </w:tcPr>
          <w:p>
            <w:r>
              <w:rPr>
                <w:b/>
                <w:sz w:val="18"/>
              </w:rPr>
              <w:t>ID</w:t>
            </w:r>
          </w:p>
        </w:tc>
        <w:tc>
          <w:tcPr>
            <w:tcW w:type="dxa" w:w="1600"/>
            <w:shd w:fill="F2F4F7"/>
          </w:tcPr>
          <w:p>
            <w:r>
              <w:rPr>
                <w:b/>
                <w:sz w:val="18"/>
              </w:rPr>
              <w:t>Authors/year</w:t>
            </w:r>
          </w:p>
        </w:tc>
        <w:tc>
          <w:tcPr>
            <w:tcW w:type="dxa" w:w="3650"/>
            <w:shd w:fill="F2F4F7"/>
          </w:tcPr>
          <w:p>
            <w:r>
              <w:rPr>
                <w:b/>
                <w:sz w:val="18"/>
              </w:rPr>
              <w:t>Title</w:t>
            </w:r>
          </w:p>
        </w:tc>
        <w:tc>
          <w:tcPr>
            <w:tcW w:type="dxa" w:w="1850"/>
            <w:shd w:fill="F2F4F7"/>
          </w:tcPr>
          <w:p>
            <w:r>
              <w:rPr>
                <w:b/>
                <w:sz w:val="18"/>
              </w:rPr>
              <w:t>Strand</w:t>
            </w:r>
          </w:p>
        </w:tc>
        <w:tc>
          <w:tcPr>
            <w:tcW w:type="dxa" w:w="1610"/>
            <w:shd w:fill="F2F4F7"/>
          </w:tcPr>
          <w:p>
            <w:r>
              <w:rPr>
                <w:b/>
                <w:sz w:val="18"/>
              </w:rPr>
              <w:t>Status</w:t>
            </w:r>
          </w:p>
        </w:tc>
      </w:tr>
      <w:tr>
        <w:tc>
          <w:tcPr>
            <w:tcW w:type="dxa" w:w="650"/>
            <w:vAlign w:val="center"/>
          </w:tcPr>
          <w:p>
            <w:pPr>
              <w:spacing w:after="0" w:line="252" w:lineRule="auto"/>
            </w:pPr>
            <w:r>
              <w:rPr>
                <w:sz w:val="16"/>
              </w:rPr>
              <w:t>C01</w:t>
            </w:r>
          </w:p>
        </w:tc>
        <w:tc>
          <w:tcPr>
            <w:tcW w:type="dxa" w:w="1600"/>
            <w:vAlign w:val="center"/>
          </w:tcPr>
          <w:p>
            <w:pPr>
              <w:spacing w:after="0" w:line="252" w:lineRule="auto"/>
            </w:pPr>
            <w:r>
              <w:rPr>
                <w:sz w:val="16"/>
              </w:rPr>
              <w:t>Li et al. (2026)</w:t>
            </w:r>
          </w:p>
        </w:tc>
        <w:tc>
          <w:tcPr>
            <w:tcW w:type="dxa" w:w="3650"/>
            <w:vAlign w:val="center"/>
          </w:tcPr>
          <w:p>
            <w:pPr>
              <w:spacing w:after="0" w:line="252" w:lineRule="auto"/>
            </w:pPr>
            <w:r>
              <w:rPr>
                <w:sz w:val="16"/>
              </w:rPr>
              <w:t>Digital literacy, work participation, and active aging: evidence on older adults' employment and well-being in China</w:t>
            </w:r>
          </w:p>
        </w:tc>
        <w:tc>
          <w:tcPr>
            <w:tcW w:type="dxa" w:w="1850"/>
            <w:vAlign w:val="center"/>
          </w:tcPr>
          <w:p>
            <w:pPr>
              <w:spacing w:after="0" w:line="252" w:lineRule="auto"/>
            </w:pPr>
            <w:r>
              <w:rPr>
                <w:sz w:val="16"/>
              </w:rPr>
              <w:t>Digital capabilities and employment/wellbeing</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C02</w:t>
            </w:r>
          </w:p>
        </w:tc>
        <w:tc>
          <w:tcPr>
            <w:tcW w:type="dxa" w:w="1600"/>
            <w:vAlign w:val="center"/>
          </w:tcPr>
          <w:p>
            <w:pPr>
              <w:spacing w:after="0" w:line="252" w:lineRule="auto"/>
            </w:pPr>
            <w:r>
              <w:rPr>
                <w:sz w:val="16"/>
              </w:rPr>
              <w:t>Bejakovic and Mrnjavac (2020)</w:t>
            </w:r>
          </w:p>
        </w:tc>
        <w:tc>
          <w:tcPr>
            <w:tcW w:type="dxa" w:w="3650"/>
            <w:vAlign w:val="center"/>
          </w:tcPr>
          <w:p>
            <w:pPr>
              <w:spacing w:after="0" w:line="252" w:lineRule="auto"/>
            </w:pPr>
            <w:r>
              <w:rPr>
                <w:sz w:val="16"/>
              </w:rPr>
              <w:t>The importance of digital literacy on the labour market</w:t>
            </w:r>
          </w:p>
        </w:tc>
        <w:tc>
          <w:tcPr>
            <w:tcW w:type="dxa" w:w="1850"/>
            <w:vAlign w:val="center"/>
          </w:tcPr>
          <w:p>
            <w:pPr>
              <w:spacing w:after="0" w:line="252" w:lineRule="auto"/>
            </w:pPr>
            <w:r>
              <w:rPr>
                <w:sz w:val="16"/>
              </w:rPr>
              <w:t>Employment and economic participation</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C03</w:t>
            </w:r>
          </w:p>
        </w:tc>
        <w:tc>
          <w:tcPr>
            <w:tcW w:type="dxa" w:w="1600"/>
            <w:vAlign w:val="center"/>
          </w:tcPr>
          <w:p>
            <w:pPr>
              <w:spacing w:after="0" w:line="252" w:lineRule="auto"/>
            </w:pPr>
            <w:r>
              <w:rPr>
                <w:sz w:val="16"/>
              </w:rPr>
              <w:t>Adegbite (2024)</w:t>
            </w:r>
          </w:p>
        </w:tc>
        <w:tc>
          <w:tcPr>
            <w:tcW w:type="dxa" w:w="3650"/>
            <w:vAlign w:val="center"/>
          </w:tcPr>
          <w:p>
            <w:pPr>
              <w:spacing w:after="0" w:line="252" w:lineRule="auto"/>
            </w:pPr>
            <w:r>
              <w:rPr>
                <w:sz w:val="16"/>
              </w:rPr>
              <w:t>Unpacking mediation and moderating effect of digital literacy and life-career knowledge in the relationship between work-integrated learning and graduate employability</w:t>
            </w:r>
          </w:p>
        </w:tc>
        <w:tc>
          <w:tcPr>
            <w:tcW w:type="dxa" w:w="1850"/>
            <w:vAlign w:val="center"/>
          </w:tcPr>
          <w:p>
            <w:pPr>
              <w:spacing w:after="0" w:line="252" w:lineRule="auto"/>
            </w:pPr>
            <w:r>
              <w:rPr>
                <w:sz w:val="16"/>
              </w:rPr>
              <w:t>Employability and education-to-work transition</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C04</w:t>
            </w:r>
          </w:p>
        </w:tc>
        <w:tc>
          <w:tcPr>
            <w:tcW w:type="dxa" w:w="1600"/>
            <w:vAlign w:val="center"/>
          </w:tcPr>
          <w:p>
            <w:pPr>
              <w:spacing w:after="0" w:line="252" w:lineRule="auto"/>
            </w:pPr>
            <w:r>
              <w:rPr>
                <w:sz w:val="16"/>
              </w:rPr>
              <w:t>Goaill et al. (2026)</w:t>
            </w:r>
          </w:p>
        </w:tc>
        <w:tc>
          <w:tcPr>
            <w:tcW w:type="dxa" w:w="3650"/>
            <w:vAlign w:val="center"/>
          </w:tcPr>
          <w:p>
            <w:pPr>
              <w:spacing w:after="0" w:line="252" w:lineRule="auto"/>
            </w:pPr>
            <w:r>
              <w:rPr>
                <w:sz w:val="16"/>
              </w:rPr>
              <w:t>Empowering digital inclusion: internet skills, usage, and self-efficacy as determinants of economic satisfaction among unemployed people</w:t>
            </w:r>
          </w:p>
        </w:tc>
        <w:tc>
          <w:tcPr>
            <w:tcW w:type="dxa" w:w="1850"/>
            <w:vAlign w:val="center"/>
          </w:tcPr>
          <w:p>
            <w:pPr>
              <w:spacing w:after="0" w:line="252" w:lineRule="auto"/>
            </w:pPr>
            <w:r>
              <w:rPr>
                <w:sz w:val="16"/>
              </w:rPr>
              <w:t>Economic satisfaction and digital self-efficacy</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C05</w:t>
            </w:r>
          </w:p>
        </w:tc>
        <w:tc>
          <w:tcPr>
            <w:tcW w:type="dxa" w:w="1600"/>
            <w:vAlign w:val="center"/>
          </w:tcPr>
          <w:p>
            <w:pPr>
              <w:spacing w:after="0" w:line="252" w:lineRule="auto"/>
            </w:pPr>
            <w:r>
              <w:rPr>
                <w:sz w:val="16"/>
              </w:rPr>
              <w:t>Pagani et al. (2016)</w:t>
            </w:r>
          </w:p>
        </w:tc>
        <w:tc>
          <w:tcPr>
            <w:tcW w:type="dxa" w:w="3650"/>
            <w:vAlign w:val="center"/>
          </w:tcPr>
          <w:p>
            <w:pPr>
              <w:spacing w:after="0" w:line="252" w:lineRule="auto"/>
            </w:pPr>
            <w:r>
              <w:rPr>
                <w:sz w:val="16"/>
              </w:rPr>
              <w:t>The impact of digital skills on educational outcomes: evidence from performance tests</w:t>
            </w:r>
          </w:p>
        </w:tc>
        <w:tc>
          <w:tcPr>
            <w:tcW w:type="dxa" w:w="1850"/>
            <w:vAlign w:val="center"/>
          </w:tcPr>
          <w:p>
            <w:pPr>
              <w:spacing w:after="0" w:line="252" w:lineRule="auto"/>
            </w:pPr>
            <w:r>
              <w:rPr>
                <w:sz w:val="16"/>
              </w:rPr>
              <w:t>Education and learning outcomes</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C06</w:t>
            </w:r>
          </w:p>
        </w:tc>
        <w:tc>
          <w:tcPr>
            <w:tcW w:type="dxa" w:w="1600"/>
            <w:vAlign w:val="center"/>
          </w:tcPr>
          <w:p>
            <w:pPr>
              <w:spacing w:after="0" w:line="252" w:lineRule="auto"/>
            </w:pPr>
            <w:r>
              <w:rPr>
                <w:sz w:val="16"/>
              </w:rPr>
              <w:t>Livingstone et al. (2021)</w:t>
            </w:r>
          </w:p>
        </w:tc>
        <w:tc>
          <w:tcPr>
            <w:tcW w:type="dxa" w:w="3650"/>
            <w:vAlign w:val="center"/>
          </w:tcPr>
          <w:p>
            <w:pPr>
              <w:spacing w:after="0" w:line="252" w:lineRule="auto"/>
            </w:pPr>
            <w:r>
              <w:rPr>
                <w:sz w:val="16"/>
              </w:rPr>
              <w:t>The outcomes of gaining digital skills for young people's lives and wellbeing: A systematic evidence review</w:t>
            </w:r>
          </w:p>
        </w:tc>
        <w:tc>
          <w:tcPr>
            <w:tcW w:type="dxa" w:w="1850"/>
            <w:vAlign w:val="center"/>
          </w:tcPr>
          <w:p>
            <w:pPr>
              <w:spacing w:after="0" w:line="252" w:lineRule="auto"/>
            </w:pPr>
            <w:r>
              <w:rPr>
                <w:sz w:val="16"/>
              </w:rPr>
              <w:t>Youth digital skills and wellbeing</w:t>
            </w:r>
          </w:p>
        </w:tc>
        <w:tc>
          <w:tcPr>
            <w:tcW w:type="dxa" w:w="1610"/>
            <w:vAlign w:val="center"/>
          </w:tcPr>
          <w:p>
            <w:pPr>
              <w:spacing w:after="0" w:line="252" w:lineRule="auto"/>
            </w:pPr>
            <w:r>
              <w:rPr>
                <w:sz w:val="16"/>
              </w:rPr>
              <w:t>High-priority review; verify DOI/full text and extract quality appraisal</w:t>
            </w:r>
          </w:p>
        </w:tc>
      </w:tr>
      <w:tr>
        <w:tc>
          <w:tcPr>
            <w:tcW w:type="dxa" w:w="650"/>
            <w:vAlign w:val="center"/>
          </w:tcPr>
          <w:p>
            <w:pPr>
              <w:spacing w:after="0" w:line="252" w:lineRule="auto"/>
            </w:pPr>
            <w:r>
              <w:rPr>
                <w:sz w:val="16"/>
              </w:rPr>
              <w:t>C07</w:t>
            </w:r>
          </w:p>
        </w:tc>
        <w:tc>
          <w:tcPr>
            <w:tcW w:type="dxa" w:w="1600"/>
            <w:vAlign w:val="center"/>
          </w:tcPr>
          <w:p>
            <w:pPr>
              <w:spacing w:after="0" w:line="252" w:lineRule="auto"/>
            </w:pPr>
            <w:r>
              <w:rPr>
                <w:sz w:val="16"/>
              </w:rPr>
              <w:t>Yang et al. (2025)</w:t>
            </w:r>
          </w:p>
        </w:tc>
        <w:tc>
          <w:tcPr>
            <w:tcW w:type="dxa" w:w="3650"/>
            <w:vAlign w:val="center"/>
          </w:tcPr>
          <w:p>
            <w:pPr>
              <w:spacing w:after="0" w:line="252" w:lineRule="auto"/>
            </w:pPr>
            <w:r>
              <w:rPr>
                <w:sz w:val="16"/>
              </w:rPr>
              <w:t>The impact of digital literacy in enhancing individuals' health in China</w:t>
            </w:r>
          </w:p>
        </w:tc>
        <w:tc>
          <w:tcPr>
            <w:tcW w:type="dxa" w:w="1850"/>
            <w:vAlign w:val="center"/>
          </w:tcPr>
          <w:p>
            <w:pPr>
              <w:spacing w:after="0" w:line="252" w:lineRule="auto"/>
            </w:pPr>
            <w:r>
              <w:rPr>
                <w:sz w:val="16"/>
              </w:rPr>
              <w:t>Health and wellbeing</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C08</w:t>
            </w:r>
          </w:p>
        </w:tc>
        <w:tc>
          <w:tcPr>
            <w:tcW w:type="dxa" w:w="1600"/>
            <w:vAlign w:val="center"/>
          </w:tcPr>
          <w:p>
            <w:pPr>
              <w:spacing w:after="0" w:line="252" w:lineRule="auto"/>
            </w:pPr>
            <w:r>
              <w:rPr>
                <w:sz w:val="16"/>
              </w:rPr>
              <w:t>Xin et al. (2025)</w:t>
            </w:r>
          </w:p>
        </w:tc>
        <w:tc>
          <w:tcPr>
            <w:tcW w:type="dxa" w:w="3650"/>
            <w:vAlign w:val="center"/>
          </w:tcPr>
          <w:p>
            <w:pPr>
              <w:spacing w:after="0" w:line="252" w:lineRule="auto"/>
            </w:pPr>
            <w:r>
              <w:rPr>
                <w:sz w:val="16"/>
              </w:rPr>
              <w:t>Digital literacy impacts quality of life among older adults through hierarchical mediating mechanisms</w:t>
            </w:r>
          </w:p>
        </w:tc>
        <w:tc>
          <w:tcPr>
            <w:tcW w:type="dxa" w:w="1850"/>
            <w:vAlign w:val="center"/>
          </w:tcPr>
          <w:p>
            <w:pPr>
              <w:spacing w:after="0" w:line="252" w:lineRule="auto"/>
            </w:pPr>
            <w:r>
              <w:rPr>
                <w:sz w:val="16"/>
              </w:rPr>
              <w:t>Older adults and quality of life</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C09</w:t>
            </w:r>
          </w:p>
        </w:tc>
        <w:tc>
          <w:tcPr>
            <w:tcW w:type="dxa" w:w="1600"/>
            <w:vAlign w:val="center"/>
          </w:tcPr>
          <w:p>
            <w:pPr>
              <w:spacing w:after="0" w:line="252" w:lineRule="auto"/>
            </w:pPr>
            <w:r>
              <w:rPr>
                <w:sz w:val="16"/>
              </w:rPr>
              <w:t>Qin et al. (2024)</w:t>
            </w:r>
          </w:p>
        </w:tc>
        <w:tc>
          <w:tcPr>
            <w:tcW w:type="dxa" w:w="3650"/>
            <w:vAlign w:val="center"/>
          </w:tcPr>
          <w:p>
            <w:pPr>
              <w:spacing w:after="0" w:line="252" w:lineRule="auto"/>
            </w:pPr>
            <w:r>
              <w:rPr>
                <w:sz w:val="16"/>
              </w:rPr>
              <w:t>The impact of digital skills on health: Evidence from the China General Social Survey</w:t>
            </w:r>
          </w:p>
        </w:tc>
        <w:tc>
          <w:tcPr>
            <w:tcW w:type="dxa" w:w="1850"/>
            <w:vAlign w:val="center"/>
          </w:tcPr>
          <w:p>
            <w:pPr>
              <w:spacing w:after="0" w:line="252" w:lineRule="auto"/>
            </w:pPr>
            <w:r>
              <w:rPr>
                <w:sz w:val="16"/>
              </w:rPr>
              <w:t>Digital skills as health determinant</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C10</w:t>
            </w:r>
          </w:p>
        </w:tc>
        <w:tc>
          <w:tcPr>
            <w:tcW w:type="dxa" w:w="1600"/>
            <w:vAlign w:val="center"/>
          </w:tcPr>
          <w:p>
            <w:pPr>
              <w:spacing w:after="0" w:line="252" w:lineRule="auto"/>
            </w:pPr>
            <w:r>
              <w:rPr>
                <w:sz w:val="16"/>
              </w:rPr>
              <w:t>Ji et al. (2025)</w:t>
            </w:r>
          </w:p>
        </w:tc>
        <w:tc>
          <w:tcPr>
            <w:tcW w:type="dxa" w:w="3650"/>
            <w:vAlign w:val="center"/>
          </w:tcPr>
          <w:p>
            <w:pPr>
              <w:spacing w:after="0" w:line="252" w:lineRule="auto"/>
            </w:pPr>
            <w:r>
              <w:rPr>
                <w:sz w:val="16"/>
              </w:rPr>
              <w:t>Beyond access: Digital skills as a new social determinant of health among older adults - evidence from a longitudinal panel study</w:t>
            </w:r>
          </w:p>
        </w:tc>
        <w:tc>
          <w:tcPr>
            <w:tcW w:type="dxa" w:w="1850"/>
            <w:vAlign w:val="center"/>
          </w:tcPr>
          <w:p>
            <w:pPr>
              <w:spacing w:after="0" w:line="252" w:lineRule="auto"/>
            </w:pPr>
            <w:r>
              <w:rPr>
                <w:sz w:val="16"/>
              </w:rPr>
              <w:t>Health, ageing, longitudinal evidence</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C11</w:t>
            </w:r>
          </w:p>
        </w:tc>
        <w:tc>
          <w:tcPr>
            <w:tcW w:type="dxa" w:w="1600"/>
            <w:vAlign w:val="center"/>
          </w:tcPr>
          <w:p>
            <w:pPr>
              <w:spacing w:after="0" w:line="252" w:lineRule="auto"/>
            </w:pPr>
            <w:r>
              <w:rPr>
                <w:sz w:val="16"/>
              </w:rPr>
              <w:t>Arias Lopez et al. (2023)</w:t>
            </w:r>
          </w:p>
        </w:tc>
        <w:tc>
          <w:tcPr>
            <w:tcW w:type="dxa" w:w="3650"/>
            <w:vAlign w:val="center"/>
          </w:tcPr>
          <w:p>
            <w:pPr>
              <w:spacing w:after="0" w:line="252" w:lineRule="auto"/>
            </w:pPr>
            <w:r>
              <w:rPr>
                <w:sz w:val="16"/>
              </w:rPr>
              <w:t>Digital literacy as a new determinant of health: A scoping review</w:t>
            </w:r>
          </w:p>
        </w:tc>
        <w:tc>
          <w:tcPr>
            <w:tcW w:type="dxa" w:w="1850"/>
            <w:vAlign w:val="center"/>
          </w:tcPr>
          <w:p>
            <w:pPr>
              <w:spacing w:after="0" w:line="252" w:lineRule="auto"/>
            </w:pPr>
            <w:r>
              <w:rPr>
                <w:sz w:val="16"/>
              </w:rPr>
              <w:t>Health and e-health literacy</w:t>
            </w:r>
          </w:p>
        </w:tc>
        <w:tc>
          <w:tcPr>
            <w:tcW w:type="dxa" w:w="1610"/>
            <w:vAlign w:val="center"/>
          </w:tcPr>
          <w:p>
            <w:pPr>
              <w:spacing w:after="0" w:line="252" w:lineRule="auto"/>
            </w:pPr>
            <w:r>
              <w:rPr>
                <w:sz w:val="16"/>
              </w:rPr>
              <w:t>Priority full-text source; DOI identified, verify extraction</w:t>
            </w:r>
          </w:p>
        </w:tc>
      </w:tr>
      <w:tr>
        <w:tc>
          <w:tcPr>
            <w:tcW w:type="dxa" w:w="650"/>
            <w:vAlign w:val="center"/>
          </w:tcPr>
          <w:p>
            <w:pPr>
              <w:spacing w:after="0" w:line="252" w:lineRule="auto"/>
            </w:pPr>
            <w:r>
              <w:rPr>
                <w:sz w:val="16"/>
              </w:rPr>
              <w:t>C12</w:t>
            </w:r>
          </w:p>
        </w:tc>
        <w:tc>
          <w:tcPr>
            <w:tcW w:type="dxa" w:w="1600"/>
            <w:vAlign w:val="center"/>
          </w:tcPr>
          <w:p>
            <w:pPr>
              <w:spacing w:after="0" w:line="252" w:lineRule="auto"/>
            </w:pPr>
            <w:r>
              <w:rPr>
                <w:sz w:val="16"/>
              </w:rPr>
              <w:t>Mendez-Dominguez et al. (2023)</w:t>
            </w:r>
          </w:p>
        </w:tc>
        <w:tc>
          <w:tcPr>
            <w:tcW w:type="dxa" w:w="3650"/>
            <w:vAlign w:val="center"/>
          </w:tcPr>
          <w:p>
            <w:pPr>
              <w:spacing w:after="0" w:line="252" w:lineRule="auto"/>
            </w:pPr>
            <w:r>
              <w:rPr>
                <w:sz w:val="16"/>
              </w:rPr>
              <w:t>Digital inclusion for social inclusion. Case study on digital literacy</w:t>
            </w:r>
          </w:p>
        </w:tc>
        <w:tc>
          <w:tcPr>
            <w:tcW w:type="dxa" w:w="1850"/>
            <w:vAlign w:val="center"/>
          </w:tcPr>
          <w:p>
            <w:pPr>
              <w:spacing w:after="0" w:line="252" w:lineRule="auto"/>
            </w:pPr>
            <w:r>
              <w:rPr>
                <w:sz w:val="16"/>
              </w:rPr>
              <w:t>Social inclusion and participation</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C13</w:t>
            </w:r>
          </w:p>
        </w:tc>
        <w:tc>
          <w:tcPr>
            <w:tcW w:type="dxa" w:w="1600"/>
            <w:vAlign w:val="center"/>
          </w:tcPr>
          <w:p>
            <w:pPr>
              <w:spacing w:after="0" w:line="252" w:lineRule="auto"/>
            </w:pPr>
            <w:r>
              <w:rPr>
                <w:sz w:val="16"/>
              </w:rPr>
              <w:t>Lybeck et al. (2023)</w:t>
            </w:r>
          </w:p>
        </w:tc>
        <w:tc>
          <w:tcPr>
            <w:tcW w:type="dxa" w:w="3650"/>
            <w:vAlign w:val="center"/>
          </w:tcPr>
          <w:p>
            <w:pPr>
              <w:spacing w:after="0" w:line="252" w:lineRule="auto"/>
            </w:pPr>
            <w:r>
              <w:rPr>
                <w:sz w:val="16"/>
              </w:rPr>
              <w:t>From digital divide to digital capital: the role of education and digital skills in social media participation</w:t>
            </w:r>
          </w:p>
        </w:tc>
        <w:tc>
          <w:tcPr>
            <w:tcW w:type="dxa" w:w="1850"/>
            <w:vAlign w:val="center"/>
          </w:tcPr>
          <w:p>
            <w:pPr>
              <w:spacing w:after="0" w:line="252" w:lineRule="auto"/>
            </w:pPr>
            <w:r>
              <w:rPr>
                <w:sz w:val="16"/>
              </w:rPr>
              <w:t>Digital capital and participation</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C14</w:t>
            </w:r>
          </w:p>
        </w:tc>
        <w:tc>
          <w:tcPr>
            <w:tcW w:type="dxa" w:w="1600"/>
            <w:vAlign w:val="center"/>
          </w:tcPr>
          <w:p>
            <w:pPr>
              <w:spacing w:after="0" w:line="252" w:lineRule="auto"/>
            </w:pPr>
            <w:r>
              <w:rPr>
                <w:sz w:val="16"/>
              </w:rPr>
              <w:t>Judijanto et al. (2024)</w:t>
            </w:r>
          </w:p>
        </w:tc>
        <w:tc>
          <w:tcPr>
            <w:tcW w:type="dxa" w:w="3650"/>
            <w:vAlign w:val="center"/>
          </w:tcPr>
          <w:p>
            <w:pPr>
              <w:spacing w:after="0" w:line="252" w:lineRule="auto"/>
            </w:pPr>
            <w:r>
              <w:rPr>
                <w:sz w:val="16"/>
              </w:rPr>
              <w:t>Impact Analysis of Digitalization, Technology Skills, and Social Inclusion on Social and Economic Change in Indonesia</w:t>
            </w:r>
          </w:p>
        </w:tc>
        <w:tc>
          <w:tcPr>
            <w:tcW w:type="dxa" w:w="1850"/>
            <w:vAlign w:val="center"/>
          </w:tcPr>
          <w:p>
            <w:pPr>
              <w:spacing w:after="0" w:line="252" w:lineRule="auto"/>
            </w:pPr>
            <w:r>
              <w:rPr>
                <w:sz w:val="16"/>
              </w:rPr>
              <w:t>Social/economic change</w:t>
            </w:r>
          </w:p>
        </w:tc>
        <w:tc>
          <w:tcPr>
            <w:tcW w:type="dxa" w:w="1610"/>
            <w:vAlign w:val="center"/>
          </w:tcPr>
          <w:p>
            <w:pPr>
              <w:spacing w:after="0" w:line="252" w:lineRule="auto"/>
            </w:pPr>
            <w:r>
              <w:rPr>
                <w:sz w:val="16"/>
              </w:rPr>
              <w:t>Seed identified through supplementary discovery platform A; verify journal quality and full text before final inclusion</w:t>
            </w:r>
          </w:p>
        </w:tc>
      </w:tr>
      <w:tr>
        <w:tc>
          <w:tcPr>
            <w:tcW w:type="dxa" w:w="650"/>
            <w:vAlign w:val="center"/>
          </w:tcPr>
          <w:p>
            <w:pPr>
              <w:spacing w:after="0" w:line="252" w:lineRule="auto"/>
            </w:pPr>
            <w:r>
              <w:rPr>
                <w:sz w:val="16"/>
              </w:rPr>
              <w:t>C15</w:t>
            </w:r>
          </w:p>
        </w:tc>
        <w:tc>
          <w:tcPr>
            <w:tcW w:type="dxa" w:w="1600"/>
            <w:vAlign w:val="center"/>
          </w:tcPr>
          <w:p>
            <w:pPr>
              <w:spacing w:after="0" w:line="252" w:lineRule="auto"/>
            </w:pPr>
            <w:r>
              <w:rPr>
                <w:sz w:val="16"/>
              </w:rPr>
              <w:t>Sieck et al. (2021)</w:t>
            </w:r>
          </w:p>
        </w:tc>
        <w:tc>
          <w:tcPr>
            <w:tcW w:type="dxa" w:w="3650"/>
            <w:vAlign w:val="center"/>
          </w:tcPr>
          <w:p>
            <w:pPr>
              <w:spacing w:after="0" w:line="252" w:lineRule="auto"/>
            </w:pPr>
            <w:r>
              <w:rPr>
                <w:sz w:val="16"/>
              </w:rPr>
              <w:t>Digital inclusion as a social determinant of health</w:t>
            </w:r>
          </w:p>
        </w:tc>
        <w:tc>
          <w:tcPr>
            <w:tcW w:type="dxa" w:w="1850"/>
            <w:vAlign w:val="center"/>
          </w:tcPr>
          <w:p>
            <w:pPr>
              <w:spacing w:after="0" w:line="252" w:lineRule="auto"/>
            </w:pPr>
            <w:r>
              <w:rPr>
                <w:sz w:val="16"/>
              </w:rPr>
              <w:t>Digital inclusion and health equity</w:t>
            </w:r>
          </w:p>
        </w:tc>
        <w:tc>
          <w:tcPr>
            <w:tcW w:type="dxa" w:w="1610"/>
            <w:vAlign w:val="center"/>
          </w:tcPr>
          <w:p>
            <w:pPr>
              <w:spacing w:after="0" w:line="252" w:lineRule="auto"/>
            </w:pPr>
            <w:r>
              <w:rPr>
                <w:sz w:val="16"/>
              </w:rPr>
              <w:t>Priority conceptual source; verify extraction</w:t>
            </w:r>
          </w:p>
        </w:tc>
      </w:tr>
      <w:tr>
        <w:tc>
          <w:tcPr>
            <w:tcW w:type="dxa" w:w="650"/>
            <w:vAlign w:val="center"/>
          </w:tcPr>
          <w:p>
            <w:pPr>
              <w:spacing w:after="0" w:line="252" w:lineRule="auto"/>
            </w:pPr>
            <w:r>
              <w:rPr>
                <w:sz w:val="16"/>
              </w:rPr>
              <w:t>C16</w:t>
            </w:r>
          </w:p>
        </w:tc>
        <w:tc>
          <w:tcPr>
            <w:tcW w:type="dxa" w:w="1600"/>
            <w:vAlign w:val="center"/>
          </w:tcPr>
          <w:p>
            <w:pPr>
              <w:spacing w:after="0" w:line="252" w:lineRule="auto"/>
            </w:pPr>
            <w:r>
              <w:rPr>
                <w:sz w:val="16"/>
              </w:rPr>
              <w:t>Irwani et al. (2024)</w:t>
            </w:r>
          </w:p>
        </w:tc>
        <w:tc>
          <w:tcPr>
            <w:tcW w:type="dxa" w:w="3650"/>
            <w:vAlign w:val="center"/>
          </w:tcPr>
          <w:p>
            <w:pPr>
              <w:spacing w:after="0" w:line="252" w:lineRule="auto"/>
            </w:pPr>
            <w:r>
              <w:rPr>
                <w:sz w:val="16"/>
              </w:rPr>
              <w:t>Digital Exclusion and Social Inequity: A Global Narrative Review of Access to Education, Healthcare, and the Digital Economy</w:t>
            </w:r>
          </w:p>
        </w:tc>
        <w:tc>
          <w:tcPr>
            <w:tcW w:type="dxa" w:w="1850"/>
            <w:vAlign w:val="center"/>
          </w:tcPr>
          <w:p>
            <w:pPr>
              <w:spacing w:after="0" w:line="252" w:lineRule="auto"/>
            </w:pPr>
            <w:r>
              <w:rPr>
                <w:sz w:val="16"/>
              </w:rPr>
              <w:t>Digital exclusion and inequality</w:t>
            </w:r>
          </w:p>
        </w:tc>
        <w:tc>
          <w:tcPr>
            <w:tcW w:type="dxa" w:w="1610"/>
            <w:vAlign w:val="center"/>
          </w:tcPr>
          <w:p>
            <w:pPr>
              <w:spacing w:after="0" w:line="252" w:lineRule="auto"/>
            </w:pPr>
            <w:r>
              <w:rPr>
                <w:sz w:val="16"/>
              </w:rPr>
              <w:t>Seed identified through supplementary discovery platform A; verify quality before final inclusion</w:t>
            </w:r>
          </w:p>
        </w:tc>
      </w:tr>
      <w:tr>
        <w:tc>
          <w:tcPr>
            <w:tcW w:type="dxa" w:w="650"/>
            <w:vAlign w:val="center"/>
          </w:tcPr>
          <w:p>
            <w:pPr>
              <w:spacing w:after="0" w:line="252" w:lineRule="auto"/>
            </w:pPr>
            <w:r>
              <w:rPr>
                <w:sz w:val="16"/>
              </w:rPr>
              <w:t>C17</w:t>
            </w:r>
          </w:p>
        </w:tc>
        <w:tc>
          <w:tcPr>
            <w:tcW w:type="dxa" w:w="1600"/>
            <w:vAlign w:val="center"/>
          </w:tcPr>
          <w:p>
            <w:pPr>
              <w:spacing w:after="0" w:line="252" w:lineRule="auto"/>
            </w:pPr>
            <w:r>
              <w:rPr>
                <w:sz w:val="16"/>
              </w:rPr>
              <w:t>Sharma et al. (2023)</w:t>
            </w:r>
          </w:p>
        </w:tc>
        <w:tc>
          <w:tcPr>
            <w:tcW w:type="dxa" w:w="3650"/>
            <w:vAlign w:val="center"/>
          </w:tcPr>
          <w:p>
            <w:pPr>
              <w:spacing w:after="0" w:line="252" w:lineRule="auto"/>
            </w:pPr>
            <w:r>
              <w:rPr>
                <w:sz w:val="16"/>
              </w:rPr>
              <w:t>Digital literacies as policy catalysts of social innovation and socio-economic transformation: Interpretive analysis from Singapore and the UAE</w:t>
            </w:r>
          </w:p>
        </w:tc>
        <w:tc>
          <w:tcPr>
            <w:tcW w:type="dxa" w:w="1850"/>
            <w:vAlign w:val="center"/>
          </w:tcPr>
          <w:p>
            <w:pPr>
              <w:spacing w:after="0" w:line="252" w:lineRule="auto"/>
            </w:pPr>
            <w:r>
              <w:rPr>
                <w:sz w:val="16"/>
              </w:rPr>
              <w:t>Policy, digital literacy, socio-economic transformation</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C18</w:t>
            </w:r>
          </w:p>
        </w:tc>
        <w:tc>
          <w:tcPr>
            <w:tcW w:type="dxa" w:w="1600"/>
            <w:vAlign w:val="center"/>
          </w:tcPr>
          <w:p>
            <w:pPr>
              <w:spacing w:after="0" w:line="252" w:lineRule="auto"/>
            </w:pPr>
            <w:r>
              <w:rPr>
                <w:sz w:val="16"/>
              </w:rPr>
              <w:t>Arkan et al. (2025)</w:t>
            </w:r>
          </w:p>
        </w:tc>
        <w:tc>
          <w:tcPr>
            <w:tcW w:type="dxa" w:w="3650"/>
            <w:vAlign w:val="center"/>
          </w:tcPr>
          <w:p>
            <w:pPr>
              <w:spacing w:after="0" w:line="252" w:lineRule="auto"/>
            </w:pPr>
            <w:r>
              <w:rPr>
                <w:sz w:val="16"/>
              </w:rPr>
              <w:t>The relationship between school-age students' literacy skills and digital well-being: a systematic review</w:t>
            </w:r>
          </w:p>
        </w:tc>
        <w:tc>
          <w:tcPr>
            <w:tcW w:type="dxa" w:w="1850"/>
            <w:vAlign w:val="center"/>
          </w:tcPr>
          <w:p>
            <w:pPr>
              <w:spacing w:after="0" w:line="252" w:lineRule="auto"/>
            </w:pPr>
            <w:r>
              <w:rPr>
                <w:sz w:val="16"/>
              </w:rPr>
              <w:t>Digital wellbeing and students</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C19</w:t>
            </w:r>
          </w:p>
        </w:tc>
        <w:tc>
          <w:tcPr>
            <w:tcW w:type="dxa" w:w="1600"/>
            <w:vAlign w:val="center"/>
          </w:tcPr>
          <w:p>
            <w:pPr>
              <w:spacing w:after="0" w:line="252" w:lineRule="auto"/>
            </w:pPr>
            <w:r>
              <w:rPr>
                <w:sz w:val="16"/>
              </w:rPr>
              <w:t>Carrasco-Dajer et al. (2024)</w:t>
            </w:r>
          </w:p>
        </w:tc>
        <w:tc>
          <w:tcPr>
            <w:tcW w:type="dxa" w:w="3650"/>
            <w:vAlign w:val="center"/>
          </w:tcPr>
          <w:p>
            <w:pPr>
              <w:spacing w:after="0" w:line="252" w:lineRule="auto"/>
            </w:pPr>
            <w:r>
              <w:rPr>
                <w:sz w:val="16"/>
              </w:rPr>
              <w:t>Impact of a culturally adapted digital literacy intervention on older people and its relationship with health literacy, quality of life, and well-being</w:t>
            </w:r>
          </w:p>
        </w:tc>
        <w:tc>
          <w:tcPr>
            <w:tcW w:type="dxa" w:w="1850"/>
            <w:vAlign w:val="center"/>
          </w:tcPr>
          <w:p>
            <w:pPr>
              <w:spacing w:after="0" w:line="252" w:lineRule="auto"/>
            </w:pPr>
            <w:r>
              <w:rPr>
                <w:sz w:val="16"/>
              </w:rPr>
              <w:t>Intervention, older adults, health literacy</w:t>
            </w:r>
          </w:p>
        </w:tc>
        <w:tc>
          <w:tcPr>
            <w:tcW w:type="dxa" w:w="1610"/>
            <w:vAlign w:val="center"/>
          </w:tcPr>
          <w:p>
            <w:pPr>
              <w:spacing w:after="0" w:line="252" w:lineRule="auto"/>
            </w:pPr>
            <w:r>
              <w:rPr>
                <w:sz w:val="16"/>
              </w:rPr>
              <w:t>Seed identified through supplementary discovery platform A; verify DOI/full text before final inclusion</w:t>
            </w:r>
          </w:p>
        </w:tc>
      </w:tr>
      <w:tr>
        <w:tc>
          <w:tcPr>
            <w:tcW w:type="dxa" w:w="650"/>
            <w:vAlign w:val="center"/>
          </w:tcPr>
          <w:p>
            <w:pPr>
              <w:spacing w:after="0" w:line="252" w:lineRule="auto"/>
            </w:pPr>
            <w:r>
              <w:rPr>
                <w:sz w:val="16"/>
              </w:rPr>
              <w:t>C20</w:t>
            </w:r>
          </w:p>
        </w:tc>
        <w:tc>
          <w:tcPr>
            <w:tcW w:type="dxa" w:w="1600"/>
            <w:vAlign w:val="center"/>
          </w:tcPr>
          <w:p>
            <w:pPr>
              <w:spacing w:after="0" w:line="252" w:lineRule="auto"/>
            </w:pPr>
            <w:r>
              <w:rPr>
                <w:sz w:val="16"/>
              </w:rPr>
              <w:t>Ngiam et al. (2022)</w:t>
            </w:r>
          </w:p>
        </w:tc>
        <w:tc>
          <w:tcPr>
            <w:tcW w:type="dxa" w:w="3650"/>
            <w:vAlign w:val="center"/>
          </w:tcPr>
          <w:p>
            <w:pPr>
              <w:spacing w:after="0" w:line="252" w:lineRule="auto"/>
            </w:pPr>
            <w:r>
              <w:rPr>
                <w:sz w:val="16"/>
              </w:rPr>
              <w:t>Building Digital Literacy in Older Adults of Low Socioeconomic Status in Singapore (Project Wire Up): Nonrandomized Controlled Trial</w:t>
            </w:r>
          </w:p>
        </w:tc>
        <w:tc>
          <w:tcPr>
            <w:tcW w:type="dxa" w:w="1850"/>
            <w:vAlign w:val="center"/>
          </w:tcPr>
          <w:p>
            <w:pPr>
              <w:spacing w:after="0" w:line="252" w:lineRule="auto"/>
            </w:pPr>
            <w:r>
              <w:rPr>
                <w:sz w:val="16"/>
              </w:rPr>
              <w:t>Intervention, digital literacy, older adults</w:t>
            </w:r>
          </w:p>
        </w:tc>
        <w:tc>
          <w:tcPr>
            <w:tcW w:type="dxa" w:w="1610"/>
            <w:vAlign w:val="center"/>
          </w:tcPr>
          <w:p>
            <w:pPr>
              <w:spacing w:after="0" w:line="252" w:lineRule="auto"/>
            </w:pPr>
            <w:r>
              <w:rPr>
                <w:sz w:val="16"/>
              </w:rPr>
              <w:t>Priority intervention source; verify DOI/full text and extract outcomes</w:t>
            </w:r>
          </w:p>
        </w:tc>
      </w:tr>
      <w:tr>
        <w:tc>
          <w:tcPr>
            <w:tcW w:type="dxa" w:w="650"/>
            <w:vAlign w:val="center"/>
          </w:tcPr>
          <w:p>
            <w:pPr>
              <w:spacing w:after="0" w:line="252" w:lineRule="auto"/>
            </w:pPr>
            <w:r>
              <w:rPr>
                <w:sz w:val="16"/>
              </w:rPr>
              <w:t>S01</w:t>
            </w:r>
          </w:p>
        </w:tc>
        <w:tc>
          <w:tcPr>
            <w:tcW w:type="dxa" w:w="1600"/>
            <w:vAlign w:val="center"/>
          </w:tcPr>
          <w:p>
            <w:pPr>
              <w:spacing w:after="0" w:line="252" w:lineRule="auto"/>
            </w:pPr>
            <w:r>
              <w:rPr>
                <w:sz w:val="16"/>
              </w:rPr>
              <w:t>Bahcekapili, Neagu and Berigel (2025)</w:t>
            </w:r>
          </w:p>
        </w:tc>
        <w:tc>
          <w:tcPr>
            <w:tcW w:type="dxa" w:w="3650"/>
            <w:vAlign w:val="center"/>
          </w:tcPr>
          <w:p>
            <w:pPr>
              <w:spacing w:after="0" w:line="252" w:lineRule="auto"/>
            </w:pPr>
            <w:r>
              <w:rPr>
                <w:sz w:val="16"/>
              </w:rPr>
              <w:t>Bridging NEET Status and Employability Through Digital Literacy: Implications for TVET Policies in the Digital Age</w:t>
            </w:r>
          </w:p>
        </w:tc>
        <w:tc>
          <w:tcPr>
            <w:tcW w:type="dxa" w:w="1850"/>
            <w:vAlign w:val="center"/>
          </w:tcPr>
          <w:p>
            <w:pPr>
              <w:spacing w:after="0" w:line="252" w:lineRule="auto"/>
            </w:pPr>
            <w:r>
              <w:rPr>
                <w:sz w:val="16"/>
              </w:rPr>
              <w:t>Digital literacy, employability, NEET youth</w:t>
            </w:r>
          </w:p>
        </w:tc>
        <w:tc>
          <w:tcPr>
            <w:tcW w:type="dxa" w:w="1610"/>
            <w:vAlign w:val="center"/>
          </w:tcPr>
          <w:p>
            <w:pPr>
              <w:spacing w:after="0" w:line="252" w:lineRule="auto"/>
            </w:pPr>
            <w:r>
              <w:rPr>
                <w:sz w:val="16"/>
              </w:rPr>
              <w:t>Supplementary discovery seed; verify journal quality, DOI, methods, and relevance before final inclusion</w:t>
            </w:r>
          </w:p>
        </w:tc>
      </w:tr>
      <w:tr>
        <w:tc>
          <w:tcPr>
            <w:tcW w:type="dxa" w:w="650"/>
            <w:vAlign w:val="center"/>
          </w:tcPr>
          <w:p>
            <w:pPr>
              <w:spacing w:after="0" w:line="252" w:lineRule="auto"/>
            </w:pPr>
            <w:r>
              <w:rPr>
                <w:sz w:val="16"/>
              </w:rPr>
              <w:t>S02</w:t>
            </w:r>
          </w:p>
        </w:tc>
        <w:tc>
          <w:tcPr>
            <w:tcW w:type="dxa" w:w="1600"/>
            <w:vAlign w:val="center"/>
          </w:tcPr>
          <w:p>
            <w:pPr>
              <w:spacing w:after="0" w:line="252" w:lineRule="auto"/>
            </w:pPr>
            <w:r>
              <w:rPr>
                <w:sz w:val="16"/>
              </w:rPr>
              <w:t>Barone, Loviglio and Tommasi (2025)</w:t>
            </w:r>
          </w:p>
        </w:tc>
        <w:tc>
          <w:tcPr>
            <w:tcW w:type="dxa" w:w="3650"/>
            <w:vAlign w:val="center"/>
          </w:tcPr>
          <w:p>
            <w:pPr>
              <w:spacing w:after="0" w:line="252" w:lineRule="auto"/>
            </w:pPr>
            <w:r>
              <w:rPr>
                <w:sz w:val="16"/>
              </w:rPr>
              <w:t>Reducing the digital divide for marginalized households</w:t>
            </w:r>
          </w:p>
        </w:tc>
        <w:tc>
          <w:tcPr>
            <w:tcW w:type="dxa" w:w="1850"/>
            <w:vAlign w:val="center"/>
          </w:tcPr>
          <w:p>
            <w:pPr>
              <w:spacing w:after="0" w:line="252" w:lineRule="auto"/>
            </w:pPr>
            <w:r>
              <w:rPr>
                <w:sz w:val="16"/>
              </w:rPr>
              <w:t>Digital divide, marginalized households, social inclusion</w:t>
            </w:r>
          </w:p>
        </w:tc>
        <w:tc>
          <w:tcPr>
            <w:tcW w:type="dxa" w:w="1610"/>
            <w:vAlign w:val="center"/>
          </w:tcPr>
          <w:p>
            <w:pPr>
              <w:spacing w:after="0" w:line="252" w:lineRule="auto"/>
            </w:pPr>
            <w:r>
              <w:rPr>
                <w:sz w:val="16"/>
              </w:rPr>
              <w:t>Supplementary discovery seed; verify full text and publication status before final inclusion</w:t>
            </w:r>
          </w:p>
        </w:tc>
      </w:tr>
      <w:tr>
        <w:tc>
          <w:tcPr>
            <w:tcW w:type="dxa" w:w="650"/>
            <w:vAlign w:val="center"/>
          </w:tcPr>
          <w:p>
            <w:pPr>
              <w:spacing w:after="0" w:line="252" w:lineRule="auto"/>
            </w:pPr>
            <w:r>
              <w:rPr>
                <w:sz w:val="16"/>
              </w:rPr>
              <w:t>S03</w:t>
            </w:r>
          </w:p>
        </w:tc>
        <w:tc>
          <w:tcPr>
            <w:tcW w:type="dxa" w:w="1600"/>
            <w:vAlign w:val="center"/>
          </w:tcPr>
          <w:p>
            <w:pPr>
              <w:spacing w:after="0" w:line="252" w:lineRule="auto"/>
            </w:pPr>
            <w:r>
              <w:rPr>
                <w:sz w:val="16"/>
              </w:rPr>
              <w:t>Johnson, Lee and Brooks (2024)</w:t>
            </w:r>
          </w:p>
        </w:tc>
        <w:tc>
          <w:tcPr>
            <w:tcW w:type="dxa" w:w="3650"/>
            <w:vAlign w:val="center"/>
          </w:tcPr>
          <w:p>
            <w:pPr>
              <w:spacing w:after="0" w:line="252" w:lineRule="auto"/>
            </w:pPr>
            <w:r>
              <w:rPr>
                <w:sz w:val="16"/>
              </w:rPr>
              <w:t>Role of digital literacy in promoting social inclusion within marginalized communities</w:t>
            </w:r>
          </w:p>
        </w:tc>
        <w:tc>
          <w:tcPr>
            <w:tcW w:type="dxa" w:w="1850"/>
            <w:vAlign w:val="center"/>
          </w:tcPr>
          <w:p>
            <w:pPr>
              <w:spacing w:after="0" w:line="252" w:lineRule="auto"/>
            </w:pPr>
            <w:r>
              <w:rPr>
                <w:sz w:val="16"/>
              </w:rPr>
              <w:t>Social inclusion and digital literacy</w:t>
            </w:r>
          </w:p>
        </w:tc>
        <w:tc>
          <w:tcPr>
            <w:tcW w:type="dxa" w:w="1610"/>
            <w:vAlign w:val="center"/>
          </w:tcPr>
          <w:p>
            <w:pPr>
              <w:spacing w:after="0" w:line="252" w:lineRule="auto"/>
            </w:pPr>
            <w:r>
              <w:rPr>
                <w:sz w:val="16"/>
              </w:rPr>
              <w:t>Supplementary discovery seed; title appeared truncated/generic in supplementary discovery platform B, verify bibliographic record carefully</w:t>
            </w:r>
          </w:p>
        </w:tc>
      </w:tr>
      <w:tr>
        <w:tc>
          <w:tcPr>
            <w:tcW w:type="dxa" w:w="650"/>
            <w:vAlign w:val="center"/>
          </w:tcPr>
          <w:p>
            <w:pPr>
              <w:spacing w:after="0" w:line="252" w:lineRule="auto"/>
            </w:pPr>
            <w:r>
              <w:rPr>
                <w:sz w:val="16"/>
              </w:rPr>
              <w:t>S04</w:t>
            </w:r>
          </w:p>
        </w:tc>
        <w:tc>
          <w:tcPr>
            <w:tcW w:type="dxa" w:w="1600"/>
            <w:vAlign w:val="center"/>
          </w:tcPr>
          <w:p>
            <w:pPr>
              <w:spacing w:after="0" w:line="252" w:lineRule="auto"/>
            </w:pPr>
            <w:r>
              <w:rPr>
                <w:sz w:val="16"/>
              </w:rPr>
              <w:t>Adekoya (2025)</w:t>
            </w:r>
          </w:p>
        </w:tc>
        <w:tc>
          <w:tcPr>
            <w:tcW w:type="dxa" w:w="3650"/>
            <w:vAlign w:val="center"/>
          </w:tcPr>
          <w:p>
            <w:pPr>
              <w:spacing w:after="0" w:line="252" w:lineRule="auto"/>
            </w:pPr>
            <w:r>
              <w:rPr>
                <w:sz w:val="16"/>
              </w:rPr>
              <w:t>Reframing Human Capital: The Strategic Role of Digital Literacy in 21st Century Workforce Development</w:t>
            </w:r>
          </w:p>
        </w:tc>
        <w:tc>
          <w:tcPr>
            <w:tcW w:type="dxa" w:w="1850"/>
            <w:vAlign w:val="center"/>
          </w:tcPr>
          <w:p>
            <w:pPr>
              <w:spacing w:after="0" w:line="252" w:lineRule="auto"/>
            </w:pPr>
            <w:r>
              <w:rPr>
                <w:sz w:val="16"/>
              </w:rPr>
              <w:t>Workforce development and human capital</w:t>
            </w:r>
          </w:p>
        </w:tc>
        <w:tc>
          <w:tcPr>
            <w:tcW w:type="dxa" w:w="1610"/>
            <w:vAlign w:val="center"/>
          </w:tcPr>
          <w:p>
            <w:pPr>
              <w:spacing w:after="0" w:line="252" w:lineRule="auto"/>
            </w:pPr>
            <w:r>
              <w:rPr>
                <w:sz w:val="16"/>
              </w:rPr>
              <w:t>Supplementary discovery seed; verify quality and contribution before final inclusion</w:t>
            </w:r>
          </w:p>
        </w:tc>
      </w:tr>
      <w:tr>
        <w:tc>
          <w:tcPr>
            <w:tcW w:type="dxa" w:w="650"/>
            <w:vAlign w:val="center"/>
          </w:tcPr>
          <w:p>
            <w:pPr>
              <w:spacing w:after="0" w:line="252" w:lineRule="auto"/>
            </w:pPr>
            <w:r>
              <w:rPr>
                <w:sz w:val="16"/>
              </w:rPr>
              <w:t>S05</w:t>
            </w:r>
          </w:p>
        </w:tc>
        <w:tc>
          <w:tcPr>
            <w:tcW w:type="dxa" w:w="1600"/>
            <w:vAlign w:val="center"/>
          </w:tcPr>
          <w:p>
            <w:pPr>
              <w:spacing w:after="0" w:line="252" w:lineRule="auto"/>
            </w:pPr>
            <w:r>
              <w:rPr>
                <w:sz w:val="16"/>
              </w:rPr>
              <w:t>Unknown/Repository record (2025)</w:t>
            </w:r>
          </w:p>
        </w:tc>
        <w:tc>
          <w:tcPr>
            <w:tcW w:type="dxa" w:w="3650"/>
            <w:vAlign w:val="center"/>
          </w:tcPr>
          <w:p>
            <w:pPr>
              <w:spacing w:after="0" w:line="252" w:lineRule="auto"/>
            </w:pPr>
            <w:r>
              <w:rPr>
                <w:sz w:val="16"/>
              </w:rPr>
              <w:t>Capacity Building, Digital Literacy, and Information Access for Inclusive Development</w:t>
            </w:r>
          </w:p>
        </w:tc>
        <w:tc>
          <w:tcPr>
            <w:tcW w:type="dxa" w:w="1850"/>
            <w:vAlign w:val="center"/>
          </w:tcPr>
          <w:p>
            <w:pPr>
              <w:spacing w:after="0" w:line="252" w:lineRule="auto"/>
            </w:pPr>
            <w:r>
              <w:rPr>
                <w:sz w:val="16"/>
              </w:rPr>
              <w:t>Inclusive development and digital literacy</w:t>
            </w:r>
          </w:p>
        </w:tc>
        <w:tc>
          <w:tcPr>
            <w:tcW w:type="dxa" w:w="1610"/>
            <w:vAlign w:val="center"/>
          </w:tcPr>
          <w:p>
            <w:pPr>
              <w:spacing w:after="0" w:line="252" w:lineRule="auto"/>
            </w:pPr>
            <w:r>
              <w:rPr>
                <w:sz w:val="16"/>
              </w:rPr>
              <w:t>Low-priority seed; appraise with AACODS if used</w:t>
            </w:r>
          </w:p>
        </w:tc>
      </w:tr>
      <w:tr>
        <w:tc>
          <w:tcPr>
            <w:tcW w:type="dxa" w:w="650"/>
            <w:vAlign w:val="center"/>
          </w:tcPr>
          <w:p>
            <w:pPr>
              <w:spacing w:after="0" w:line="252" w:lineRule="auto"/>
            </w:pPr>
            <w:r>
              <w:rPr>
                <w:sz w:val="16"/>
              </w:rPr>
              <w:t>S06</w:t>
            </w:r>
          </w:p>
        </w:tc>
        <w:tc>
          <w:tcPr>
            <w:tcW w:type="dxa" w:w="1600"/>
            <w:vAlign w:val="center"/>
          </w:tcPr>
          <w:p>
            <w:pPr>
              <w:spacing w:after="0" w:line="252" w:lineRule="auto"/>
            </w:pPr>
            <w:r>
              <w:rPr>
                <w:sz w:val="16"/>
              </w:rPr>
              <w:t>Reddy, Ravindra and Sharma (2022)</w:t>
            </w:r>
          </w:p>
        </w:tc>
        <w:tc>
          <w:tcPr>
            <w:tcW w:type="dxa" w:w="3650"/>
            <w:vAlign w:val="center"/>
          </w:tcPr>
          <w:p>
            <w:pPr>
              <w:spacing w:after="0" w:line="252" w:lineRule="auto"/>
            </w:pPr>
            <w:r>
              <w:rPr>
                <w:sz w:val="16"/>
              </w:rPr>
              <w:t>Digital Literacy Initiative for Person with Disability in Fiji</w:t>
            </w:r>
          </w:p>
        </w:tc>
        <w:tc>
          <w:tcPr>
            <w:tcW w:type="dxa" w:w="1850"/>
            <w:vAlign w:val="center"/>
          </w:tcPr>
          <w:p>
            <w:pPr>
              <w:spacing w:after="0" w:line="252" w:lineRule="auto"/>
            </w:pPr>
            <w:r>
              <w:rPr>
                <w:sz w:val="16"/>
              </w:rPr>
              <w:t>Disability inclusion and digital literacy</w:t>
            </w:r>
          </w:p>
        </w:tc>
        <w:tc>
          <w:tcPr>
            <w:tcW w:type="dxa" w:w="1610"/>
            <w:vAlign w:val="center"/>
          </w:tcPr>
          <w:p>
            <w:pPr>
              <w:spacing w:after="0" w:line="252" w:lineRule="auto"/>
            </w:pPr>
            <w:r>
              <w:rPr>
                <w:sz w:val="16"/>
              </w:rPr>
              <w:t>Potentially useful equity case; verify methods and full text</w:t>
            </w:r>
          </w:p>
        </w:tc>
      </w:tr>
      <w:tr>
        <w:tc>
          <w:tcPr>
            <w:tcW w:type="dxa" w:w="650"/>
            <w:vAlign w:val="center"/>
          </w:tcPr>
          <w:p>
            <w:pPr>
              <w:spacing w:after="0" w:line="252" w:lineRule="auto"/>
            </w:pPr>
            <w:r>
              <w:rPr>
                <w:sz w:val="16"/>
              </w:rPr>
              <w:t>S07</w:t>
            </w:r>
          </w:p>
        </w:tc>
        <w:tc>
          <w:tcPr>
            <w:tcW w:type="dxa" w:w="1600"/>
            <w:vAlign w:val="center"/>
          </w:tcPr>
          <w:p>
            <w:pPr>
              <w:spacing w:after="0" w:line="252" w:lineRule="auto"/>
            </w:pPr>
            <w:r>
              <w:rPr>
                <w:sz w:val="16"/>
              </w:rPr>
              <w:t>Rai (2025)</w:t>
            </w:r>
          </w:p>
        </w:tc>
        <w:tc>
          <w:tcPr>
            <w:tcW w:type="dxa" w:w="3650"/>
            <w:vAlign w:val="center"/>
          </w:tcPr>
          <w:p>
            <w:pPr>
              <w:spacing w:after="0" w:line="252" w:lineRule="auto"/>
            </w:pPr>
            <w:r>
              <w:rPr>
                <w:sz w:val="16"/>
              </w:rPr>
              <w:t>From Barriers to Opportunities: The Role of Digital Skills in Empowering Women in Rural Areas</w:t>
            </w:r>
          </w:p>
        </w:tc>
        <w:tc>
          <w:tcPr>
            <w:tcW w:type="dxa" w:w="1850"/>
            <w:vAlign w:val="center"/>
          </w:tcPr>
          <w:p>
            <w:pPr>
              <w:spacing w:after="0" w:line="252" w:lineRule="auto"/>
            </w:pPr>
            <w:r>
              <w:rPr>
                <w:sz w:val="16"/>
              </w:rPr>
              <w:t>Rural women, digital skills, empowerment</w:t>
            </w:r>
          </w:p>
        </w:tc>
        <w:tc>
          <w:tcPr>
            <w:tcW w:type="dxa" w:w="1610"/>
            <w:vAlign w:val="center"/>
          </w:tcPr>
          <w:p>
            <w:pPr>
              <w:spacing w:after="0" w:line="252" w:lineRule="auto"/>
            </w:pPr>
            <w:r>
              <w:rPr>
                <w:sz w:val="16"/>
              </w:rPr>
              <w:t>Supplementary discovery seed; possible duplicate with S08; verify before use</w:t>
            </w:r>
          </w:p>
        </w:tc>
      </w:tr>
      <w:tr>
        <w:tc>
          <w:tcPr>
            <w:tcW w:type="dxa" w:w="650"/>
            <w:vAlign w:val="center"/>
          </w:tcPr>
          <w:p>
            <w:pPr>
              <w:spacing w:after="0" w:line="252" w:lineRule="auto"/>
            </w:pPr>
            <w:r>
              <w:rPr>
                <w:sz w:val="16"/>
              </w:rPr>
              <w:t>S08</w:t>
            </w:r>
          </w:p>
        </w:tc>
        <w:tc>
          <w:tcPr>
            <w:tcW w:type="dxa" w:w="1600"/>
            <w:vAlign w:val="center"/>
          </w:tcPr>
          <w:p>
            <w:pPr>
              <w:spacing w:after="0" w:line="252" w:lineRule="auto"/>
            </w:pPr>
            <w:r>
              <w:rPr>
                <w:sz w:val="16"/>
              </w:rPr>
              <w:t>Rai (2025)</w:t>
            </w:r>
          </w:p>
        </w:tc>
        <w:tc>
          <w:tcPr>
            <w:tcW w:type="dxa" w:w="3650"/>
            <w:vAlign w:val="center"/>
          </w:tcPr>
          <w:p>
            <w:pPr>
              <w:spacing w:after="0" w:line="252" w:lineRule="auto"/>
            </w:pPr>
            <w:r>
              <w:rPr>
                <w:sz w:val="16"/>
              </w:rPr>
              <w:t>From Barriers to Opportunities: The Role of Digital Skills in Empowering Women in Rural Areas</w:t>
            </w:r>
          </w:p>
        </w:tc>
        <w:tc>
          <w:tcPr>
            <w:tcW w:type="dxa" w:w="1850"/>
            <w:vAlign w:val="center"/>
          </w:tcPr>
          <w:p>
            <w:pPr>
              <w:spacing w:after="0" w:line="252" w:lineRule="auto"/>
            </w:pPr>
            <w:r>
              <w:rPr>
                <w:sz w:val="16"/>
              </w:rPr>
              <w:t>Rural women, digital skills, empowerment</w:t>
            </w:r>
          </w:p>
        </w:tc>
        <w:tc>
          <w:tcPr>
            <w:tcW w:type="dxa" w:w="1610"/>
            <w:vAlign w:val="center"/>
          </w:tcPr>
          <w:p>
            <w:pPr>
              <w:spacing w:after="0" w:line="252" w:lineRule="auto"/>
            </w:pPr>
            <w:r>
              <w:rPr>
                <w:sz w:val="16"/>
              </w:rPr>
              <w:t>Likely duplicate or alternate version of S07; deduplicate before final screening</w:t>
            </w:r>
          </w:p>
        </w:tc>
      </w:tr>
      <w:tr>
        <w:tc>
          <w:tcPr>
            <w:tcW w:type="dxa" w:w="650"/>
            <w:vAlign w:val="center"/>
          </w:tcPr>
          <w:p>
            <w:pPr>
              <w:spacing w:after="0" w:line="252" w:lineRule="auto"/>
            </w:pPr>
            <w:r>
              <w:rPr>
                <w:sz w:val="16"/>
              </w:rPr>
              <w:t>S09</w:t>
            </w:r>
          </w:p>
        </w:tc>
        <w:tc>
          <w:tcPr>
            <w:tcW w:type="dxa" w:w="1600"/>
            <w:vAlign w:val="center"/>
          </w:tcPr>
          <w:p>
            <w:pPr>
              <w:spacing w:after="0" w:line="252" w:lineRule="auto"/>
            </w:pPr>
            <w:r>
              <w:rPr>
                <w:sz w:val="16"/>
              </w:rPr>
              <w:t>Fisk et al. (2022)</w:t>
            </w:r>
          </w:p>
        </w:tc>
        <w:tc>
          <w:tcPr>
            <w:tcW w:type="dxa" w:w="3650"/>
            <w:vAlign w:val="center"/>
          </w:tcPr>
          <w:p>
            <w:pPr>
              <w:spacing w:after="0" w:line="252" w:lineRule="auto"/>
            </w:pPr>
            <w:r>
              <w:rPr>
                <w:sz w:val="16"/>
              </w:rPr>
              <w:t>Healing the Digital Divide With Digital Inclusion: Enabling Human Capabilities</w:t>
            </w:r>
          </w:p>
        </w:tc>
        <w:tc>
          <w:tcPr>
            <w:tcW w:type="dxa" w:w="1850"/>
            <w:vAlign w:val="center"/>
          </w:tcPr>
          <w:p>
            <w:pPr>
              <w:spacing w:after="0" w:line="252" w:lineRule="auto"/>
            </w:pPr>
            <w:r>
              <w:rPr>
                <w:sz w:val="16"/>
              </w:rPr>
              <w:t>Digital inclusion, human capabilities, service research</w:t>
            </w:r>
          </w:p>
        </w:tc>
        <w:tc>
          <w:tcPr>
            <w:tcW w:type="dxa" w:w="1610"/>
            <w:vAlign w:val="center"/>
          </w:tcPr>
          <w:p>
            <w:pPr>
              <w:spacing w:after="0" w:line="252" w:lineRule="auto"/>
            </w:pPr>
            <w:r>
              <w:rPr>
                <w:sz w:val="16"/>
              </w:rPr>
              <w:t>High-priority DCLO/capability source; verify full text and extract carefully</w:t>
            </w:r>
          </w:p>
        </w:tc>
      </w:tr>
      <w:tr>
        <w:tc>
          <w:tcPr>
            <w:tcW w:type="dxa" w:w="650"/>
            <w:vAlign w:val="center"/>
          </w:tcPr>
          <w:p>
            <w:pPr>
              <w:spacing w:after="0" w:line="252" w:lineRule="auto"/>
            </w:pPr>
            <w:r>
              <w:rPr>
                <w:sz w:val="16"/>
              </w:rPr>
              <w:t>S10</w:t>
            </w:r>
          </w:p>
        </w:tc>
        <w:tc>
          <w:tcPr>
            <w:tcW w:type="dxa" w:w="1600"/>
            <w:vAlign w:val="center"/>
          </w:tcPr>
          <w:p>
            <w:pPr>
              <w:spacing w:after="0" w:line="252" w:lineRule="auto"/>
            </w:pPr>
            <w:r>
              <w:rPr>
                <w:sz w:val="16"/>
              </w:rPr>
              <w:t>Bhandari, Desruisseaux et al. (2025)</w:t>
            </w:r>
          </w:p>
        </w:tc>
        <w:tc>
          <w:tcPr>
            <w:tcW w:type="dxa" w:w="3650"/>
            <w:vAlign w:val="center"/>
          </w:tcPr>
          <w:p>
            <w:pPr>
              <w:spacing w:after="0" w:line="252" w:lineRule="auto"/>
            </w:pPr>
            <w:r>
              <w:rPr>
                <w:sz w:val="16"/>
              </w:rPr>
              <w:t>Digital literacy and its impact on employment in Nepal</w:t>
            </w:r>
          </w:p>
        </w:tc>
        <w:tc>
          <w:tcPr>
            <w:tcW w:type="dxa" w:w="1850"/>
            <w:vAlign w:val="center"/>
          </w:tcPr>
          <w:p>
            <w:pPr>
              <w:spacing w:after="0" w:line="252" w:lineRule="auto"/>
            </w:pPr>
            <w:r>
              <w:rPr>
                <w:sz w:val="16"/>
              </w:rPr>
              <w:t>Employment and digital literacy</w:t>
            </w:r>
          </w:p>
        </w:tc>
        <w:tc>
          <w:tcPr>
            <w:tcW w:type="dxa" w:w="1610"/>
            <w:vAlign w:val="center"/>
          </w:tcPr>
          <w:p>
            <w:pPr>
              <w:spacing w:after="0" w:line="252" w:lineRule="auto"/>
            </w:pPr>
            <w:r>
              <w:rPr>
                <w:sz w:val="16"/>
              </w:rPr>
              <w:t>Supplementary discovery seed; verify journal quality and methods before final inclusion</w:t>
            </w:r>
          </w:p>
        </w:tc>
      </w:tr>
      <w:tr>
        <w:tc>
          <w:tcPr>
            <w:tcW w:type="dxa" w:w="650"/>
            <w:vAlign w:val="center"/>
          </w:tcPr>
          <w:p>
            <w:pPr>
              <w:spacing w:after="0" w:line="252" w:lineRule="auto"/>
            </w:pPr>
            <w:r>
              <w:rPr>
                <w:sz w:val="16"/>
              </w:rPr>
              <w:t>SC01</w:t>
            </w:r>
          </w:p>
        </w:tc>
        <w:tc>
          <w:tcPr>
            <w:tcW w:type="dxa" w:w="1600"/>
            <w:vAlign w:val="center"/>
          </w:tcPr>
          <w:p>
            <w:pPr>
              <w:spacing w:after="0" w:line="252" w:lineRule="auto"/>
            </w:pPr>
            <w:r>
              <w:rPr>
                <w:sz w:val="16"/>
              </w:rPr>
              <w:t>Frau-Meigs (2024)</w:t>
            </w:r>
          </w:p>
        </w:tc>
        <w:tc>
          <w:tcPr>
            <w:tcW w:type="dxa" w:w="3650"/>
            <w:vAlign w:val="center"/>
          </w:tcPr>
          <w:p>
            <w:pPr>
              <w:spacing w:after="0" w:line="252" w:lineRule="auto"/>
            </w:pPr>
            <w:r>
              <w:rPr>
                <w:sz w:val="16"/>
              </w:rPr>
              <w:t>Benefit-oriented digital skills and digital resilience: A model for countering online risks</w:t>
            </w:r>
          </w:p>
        </w:tc>
        <w:tc>
          <w:tcPr>
            <w:tcW w:type="dxa" w:w="1850"/>
            <w:vAlign w:val="center"/>
          </w:tcPr>
          <w:p>
            <w:pPr>
              <w:spacing w:after="0" w:line="252" w:lineRule="auto"/>
            </w:pPr>
            <w:r>
              <w:rPr>
                <w:sz w:val="16"/>
              </w:rPr>
              <w:t>Digital skills, resilience, online risk</w:t>
            </w:r>
          </w:p>
        </w:tc>
        <w:tc>
          <w:tcPr>
            <w:tcW w:type="dxa" w:w="1610"/>
            <w:vAlign w:val="center"/>
          </w:tcPr>
          <w:p>
            <w:pPr>
              <w:spacing w:after="0" w:line="252" w:lineRule="auto"/>
            </w:pPr>
            <w:r>
              <w:rPr>
                <w:sz w:val="16"/>
              </w:rPr>
              <w:t>Scopus seed from raw export; high-priority for safety/risk dimension of DCLO</w:t>
            </w:r>
          </w:p>
        </w:tc>
      </w:tr>
      <w:tr>
        <w:tc>
          <w:tcPr>
            <w:tcW w:type="dxa" w:w="650"/>
            <w:vAlign w:val="center"/>
          </w:tcPr>
          <w:p>
            <w:pPr>
              <w:spacing w:after="0" w:line="252" w:lineRule="auto"/>
            </w:pPr>
            <w:r>
              <w:rPr>
                <w:sz w:val="16"/>
              </w:rPr>
              <w:t>SC02</w:t>
            </w:r>
          </w:p>
        </w:tc>
        <w:tc>
          <w:tcPr>
            <w:tcW w:type="dxa" w:w="1600"/>
            <w:vAlign w:val="center"/>
          </w:tcPr>
          <w:p>
            <w:pPr>
              <w:spacing w:after="0" w:line="252" w:lineRule="auto"/>
            </w:pPr>
            <w:r>
              <w:rPr>
                <w:sz w:val="16"/>
              </w:rPr>
              <w:t>Wilson et al. (2024)</w:t>
            </w:r>
          </w:p>
        </w:tc>
        <w:tc>
          <w:tcPr>
            <w:tcW w:type="dxa" w:w="3650"/>
            <w:vAlign w:val="center"/>
          </w:tcPr>
          <w:p>
            <w:pPr>
              <w:spacing w:after="0" w:line="252" w:lineRule="auto"/>
            </w:pPr>
            <w:r>
              <w:rPr>
                <w:sz w:val="16"/>
              </w:rPr>
              <w:t>Digital technologies and the early childhood sector: are we fostering digital capabilities and agency in young children?</w:t>
            </w:r>
          </w:p>
        </w:tc>
        <w:tc>
          <w:tcPr>
            <w:tcW w:type="dxa" w:w="1850"/>
            <w:vAlign w:val="center"/>
          </w:tcPr>
          <w:p>
            <w:pPr>
              <w:spacing w:after="0" w:line="252" w:lineRule="auto"/>
            </w:pPr>
            <w:r>
              <w:rPr>
                <w:sz w:val="16"/>
              </w:rPr>
              <w:t>Digital capabilities, agency, education</w:t>
            </w:r>
          </w:p>
        </w:tc>
        <w:tc>
          <w:tcPr>
            <w:tcW w:type="dxa" w:w="1610"/>
            <w:vAlign w:val="center"/>
          </w:tcPr>
          <w:p>
            <w:pPr>
              <w:spacing w:after="0" w:line="252" w:lineRule="auto"/>
            </w:pPr>
            <w:r>
              <w:rPr>
                <w:sz w:val="16"/>
              </w:rPr>
              <w:t>Scopus seed from raw export; useful for agency/outcome framing</w:t>
            </w:r>
          </w:p>
        </w:tc>
      </w:tr>
      <w:tr>
        <w:tc>
          <w:tcPr>
            <w:tcW w:type="dxa" w:w="650"/>
            <w:vAlign w:val="center"/>
          </w:tcPr>
          <w:p>
            <w:pPr>
              <w:spacing w:after="0" w:line="252" w:lineRule="auto"/>
            </w:pPr>
            <w:r>
              <w:rPr>
                <w:sz w:val="16"/>
              </w:rPr>
              <w:t>SC03</w:t>
            </w:r>
          </w:p>
        </w:tc>
        <w:tc>
          <w:tcPr>
            <w:tcW w:type="dxa" w:w="1600"/>
            <w:vAlign w:val="center"/>
          </w:tcPr>
          <w:p>
            <w:pPr>
              <w:spacing w:after="0" w:line="252" w:lineRule="auto"/>
            </w:pPr>
            <w:r>
              <w:rPr>
                <w:sz w:val="16"/>
              </w:rPr>
              <w:t>Fang, Qiu and Wang (2026)</w:t>
            </w:r>
          </w:p>
        </w:tc>
        <w:tc>
          <w:tcPr>
            <w:tcW w:type="dxa" w:w="3650"/>
            <w:vAlign w:val="center"/>
          </w:tcPr>
          <w:p>
            <w:pPr>
              <w:spacing w:after="0" w:line="252" w:lineRule="auto"/>
            </w:pPr>
            <w:r>
              <w:rPr>
                <w:sz w:val="16"/>
              </w:rPr>
              <w:t>From digital access to digital capability: Implications for physical and mental health among older adults in China</w:t>
            </w:r>
          </w:p>
        </w:tc>
        <w:tc>
          <w:tcPr>
            <w:tcW w:type="dxa" w:w="1850"/>
            <w:vAlign w:val="center"/>
          </w:tcPr>
          <w:p>
            <w:pPr>
              <w:spacing w:after="0" w:line="252" w:lineRule="auto"/>
            </w:pPr>
            <w:r>
              <w:rPr>
                <w:sz w:val="16"/>
              </w:rPr>
              <w:t>Digital capability, health, older adults</w:t>
            </w:r>
          </w:p>
        </w:tc>
        <w:tc>
          <w:tcPr>
            <w:tcW w:type="dxa" w:w="1610"/>
            <w:vAlign w:val="center"/>
          </w:tcPr>
          <w:p>
            <w:pPr>
              <w:spacing w:after="0" w:line="252" w:lineRule="auto"/>
            </w:pPr>
            <w:r>
              <w:rPr>
                <w:sz w:val="16"/>
              </w:rPr>
              <w:t>Scopus seed from relevance-ranked results; high-priority for access-to-capability health pathway</w:t>
            </w:r>
          </w:p>
        </w:tc>
      </w:tr>
      <w:tr>
        <w:tc>
          <w:tcPr>
            <w:tcW w:type="dxa" w:w="650"/>
            <w:vAlign w:val="center"/>
          </w:tcPr>
          <w:p>
            <w:pPr>
              <w:spacing w:after="0" w:line="252" w:lineRule="auto"/>
            </w:pPr>
            <w:r>
              <w:rPr>
                <w:sz w:val="16"/>
              </w:rPr>
              <w:t>SC04</w:t>
            </w:r>
          </w:p>
        </w:tc>
        <w:tc>
          <w:tcPr>
            <w:tcW w:type="dxa" w:w="1600"/>
            <w:vAlign w:val="center"/>
          </w:tcPr>
          <w:p>
            <w:pPr>
              <w:spacing w:after="0" w:line="252" w:lineRule="auto"/>
            </w:pPr>
            <w:r>
              <w:rPr>
                <w:sz w:val="16"/>
              </w:rPr>
              <w:t>Liu et al. (2023)</w:t>
            </w:r>
          </w:p>
        </w:tc>
        <w:tc>
          <w:tcPr>
            <w:tcW w:type="dxa" w:w="3650"/>
            <w:vAlign w:val="center"/>
          </w:tcPr>
          <w:p>
            <w:pPr>
              <w:spacing w:after="0" w:line="252" w:lineRule="auto"/>
            </w:pPr>
            <w:r>
              <w:rPr>
                <w:sz w:val="16"/>
              </w:rPr>
              <w:t>Digital capability, digital learning, and sustainable behaviour among university students in Taiwan: A comparison design of integrated mediation-moderation models</w:t>
            </w:r>
          </w:p>
        </w:tc>
        <w:tc>
          <w:tcPr>
            <w:tcW w:type="dxa" w:w="1850"/>
            <w:vAlign w:val="center"/>
          </w:tcPr>
          <w:p>
            <w:pPr>
              <w:spacing w:after="0" w:line="252" w:lineRule="auto"/>
            </w:pPr>
            <w:r>
              <w:rPr>
                <w:sz w:val="16"/>
              </w:rPr>
              <w:t>Digital capability, learning, behaviour</w:t>
            </w:r>
          </w:p>
        </w:tc>
        <w:tc>
          <w:tcPr>
            <w:tcW w:type="dxa" w:w="1610"/>
            <w:vAlign w:val="center"/>
          </w:tcPr>
          <w:p>
            <w:pPr>
              <w:spacing w:after="0" w:line="252" w:lineRule="auto"/>
            </w:pPr>
            <w:r>
              <w:rPr>
                <w:sz w:val="16"/>
              </w:rPr>
              <w:t>Scopus seed from raw export; extract mediation/moderation model if retained</w:t>
            </w:r>
          </w:p>
        </w:tc>
      </w:tr>
      <w:tr>
        <w:tc>
          <w:tcPr>
            <w:tcW w:type="dxa" w:w="650"/>
            <w:vAlign w:val="center"/>
          </w:tcPr>
          <w:p>
            <w:pPr>
              <w:spacing w:after="0" w:line="252" w:lineRule="auto"/>
            </w:pPr>
            <w:r>
              <w:rPr>
                <w:sz w:val="16"/>
              </w:rPr>
              <w:t>SC05</w:t>
            </w:r>
          </w:p>
        </w:tc>
        <w:tc>
          <w:tcPr>
            <w:tcW w:type="dxa" w:w="1600"/>
            <w:vAlign w:val="center"/>
          </w:tcPr>
          <w:p>
            <w:pPr>
              <w:spacing w:after="0" w:line="252" w:lineRule="auto"/>
            </w:pPr>
            <w:r>
              <w:rPr>
                <w:sz w:val="16"/>
              </w:rPr>
              <w:t>Taylor-Beswick (2023)</w:t>
            </w:r>
          </w:p>
        </w:tc>
        <w:tc>
          <w:tcPr>
            <w:tcW w:type="dxa" w:w="3650"/>
            <w:vAlign w:val="center"/>
          </w:tcPr>
          <w:p>
            <w:pPr>
              <w:spacing w:after="0" w:line="252" w:lineRule="auto"/>
            </w:pPr>
            <w:r>
              <w:rPr>
                <w:sz w:val="16"/>
              </w:rPr>
              <w:t>Digitalizing social work education: preparing students to engage with twenty-first century practice need</w:t>
            </w:r>
          </w:p>
        </w:tc>
        <w:tc>
          <w:tcPr>
            <w:tcW w:type="dxa" w:w="1850"/>
            <w:vAlign w:val="center"/>
          </w:tcPr>
          <w:p>
            <w:pPr>
              <w:spacing w:after="0" w:line="252" w:lineRule="auto"/>
            </w:pPr>
            <w:r>
              <w:rPr>
                <w:sz w:val="16"/>
              </w:rPr>
              <w:t>Digital capabilities, professional education, rights/safety</w:t>
            </w:r>
          </w:p>
        </w:tc>
        <w:tc>
          <w:tcPr>
            <w:tcW w:type="dxa" w:w="1610"/>
            <w:vAlign w:val="center"/>
          </w:tcPr>
          <w:p>
            <w:pPr>
              <w:spacing w:after="0" w:line="252" w:lineRule="auto"/>
            </w:pPr>
            <w:r>
              <w:rPr>
                <w:sz w:val="16"/>
              </w:rPr>
              <w:t>Scopus seed from raw export; useful for professional capability and sociotechnical risk framing</w:t>
            </w:r>
          </w:p>
        </w:tc>
      </w:tr>
      <w:tr>
        <w:tc>
          <w:tcPr>
            <w:tcW w:type="dxa" w:w="650"/>
            <w:vAlign w:val="center"/>
          </w:tcPr>
          <w:p>
            <w:pPr>
              <w:spacing w:after="0" w:line="252" w:lineRule="auto"/>
            </w:pPr>
            <w:r>
              <w:rPr>
                <w:sz w:val="16"/>
              </w:rPr>
              <w:t>SC06</w:t>
            </w:r>
          </w:p>
        </w:tc>
        <w:tc>
          <w:tcPr>
            <w:tcW w:type="dxa" w:w="1600"/>
            <w:vAlign w:val="center"/>
          </w:tcPr>
          <w:p>
            <w:pPr>
              <w:spacing w:after="0" w:line="252" w:lineRule="auto"/>
            </w:pPr>
            <w:r>
              <w:rPr>
                <w:sz w:val="16"/>
              </w:rPr>
              <w:t>Woods et al. (2021)</w:t>
            </w:r>
          </w:p>
        </w:tc>
        <w:tc>
          <w:tcPr>
            <w:tcW w:type="dxa" w:w="3650"/>
            <w:vAlign w:val="center"/>
          </w:tcPr>
          <w:p>
            <w:pPr>
              <w:spacing w:after="0" w:line="252" w:lineRule="auto"/>
            </w:pPr>
            <w:r>
              <w:rPr>
                <w:sz w:val="16"/>
              </w:rPr>
              <w:t>Improving the digital capabilities of Australia's health workforce: The national digital health workforce and education roadmap</w:t>
            </w:r>
          </w:p>
        </w:tc>
        <w:tc>
          <w:tcPr>
            <w:tcW w:type="dxa" w:w="1850"/>
            <w:vAlign w:val="center"/>
          </w:tcPr>
          <w:p>
            <w:pPr>
              <w:spacing w:after="0" w:line="252" w:lineRule="auto"/>
            </w:pPr>
            <w:r>
              <w:rPr>
                <w:sz w:val="16"/>
              </w:rPr>
              <w:t>Digital health workforce capability</w:t>
            </w:r>
          </w:p>
        </w:tc>
        <w:tc>
          <w:tcPr>
            <w:tcW w:type="dxa" w:w="1610"/>
            <w:vAlign w:val="center"/>
          </w:tcPr>
          <w:p>
            <w:pPr>
              <w:spacing w:after="0" w:line="252" w:lineRule="auto"/>
            </w:pPr>
            <w:r>
              <w:rPr>
                <w:sz w:val="16"/>
              </w:rPr>
              <w:t>Scopus seed; policy/workforce roadmap relevance, verify DOI/full text if used</w:t>
            </w:r>
          </w:p>
        </w:tc>
      </w:tr>
      <w:tr>
        <w:tc>
          <w:tcPr>
            <w:tcW w:type="dxa" w:w="650"/>
            <w:vAlign w:val="center"/>
          </w:tcPr>
          <w:p>
            <w:pPr>
              <w:spacing w:after="0" w:line="252" w:lineRule="auto"/>
            </w:pPr>
            <w:r>
              <w:rPr>
                <w:sz w:val="16"/>
              </w:rPr>
              <w:t>SC07</w:t>
            </w:r>
          </w:p>
        </w:tc>
        <w:tc>
          <w:tcPr>
            <w:tcW w:type="dxa" w:w="1600"/>
            <w:vAlign w:val="center"/>
          </w:tcPr>
          <w:p>
            <w:pPr>
              <w:spacing w:after="0" w:line="252" w:lineRule="auto"/>
            </w:pPr>
            <w:r>
              <w:rPr>
                <w:sz w:val="16"/>
              </w:rPr>
              <w:t>Palapa, Handoko and Wanto (2026)</w:t>
            </w:r>
          </w:p>
        </w:tc>
        <w:tc>
          <w:tcPr>
            <w:tcW w:type="dxa" w:w="3650"/>
            <w:vAlign w:val="center"/>
          </w:tcPr>
          <w:p>
            <w:pPr>
              <w:spacing w:after="0" w:line="252" w:lineRule="auto"/>
            </w:pPr>
            <w:r>
              <w:rPr>
                <w:sz w:val="16"/>
              </w:rPr>
              <w:t>The impact of digital learning and digital capability on digital engagement and performance in TVET higher education: A mediation analysis</w:t>
            </w:r>
          </w:p>
        </w:tc>
        <w:tc>
          <w:tcPr>
            <w:tcW w:type="dxa" w:w="1850"/>
            <w:vAlign w:val="center"/>
          </w:tcPr>
          <w:p>
            <w:pPr>
              <w:spacing w:after="0" w:line="252" w:lineRule="auto"/>
            </w:pPr>
            <w:r>
              <w:rPr>
                <w:sz w:val="16"/>
              </w:rPr>
              <w:t>Digital capability, engagement, educational performance</w:t>
            </w:r>
          </w:p>
        </w:tc>
        <w:tc>
          <w:tcPr>
            <w:tcW w:type="dxa" w:w="1610"/>
            <w:vAlign w:val="center"/>
          </w:tcPr>
          <w:p>
            <w:pPr>
              <w:spacing w:after="0" w:line="252" w:lineRule="auto"/>
            </w:pPr>
            <w:r>
              <w:rPr>
                <w:sz w:val="16"/>
              </w:rPr>
              <w:t>Scopus seed; verify journal quality and methods before final inclusion</w:t>
            </w:r>
          </w:p>
        </w:tc>
      </w:tr>
      <w:tr>
        <w:tc>
          <w:tcPr>
            <w:tcW w:type="dxa" w:w="650"/>
            <w:vAlign w:val="center"/>
          </w:tcPr>
          <w:p>
            <w:pPr>
              <w:spacing w:after="0" w:line="252" w:lineRule="auto"/>
            </w:pPr>
            <w:r>
              <w:rPr>
                <w:sz w:val="16"/>
              </w:rPr>
              <w:t>SC08</w:t>
            </w:r>
          </w:p>
        </w:tc>
        <w:tc>
          <w:tcPr>
            <w:tcW w:type="dxa" w:w="1600"/>
            <w:vAlign w:val="center"/>
          </w:tcPr>
          <w:p>
            <w:pPr>
              <w:spacing w:after="0" w:line="252" w:lineRule="auto"/>
            </w:pPr>
            <w:r>
              <w:rPr>
                <w:sz w:val="16"/>
              </w:rPr>
              <w:t>Li and Zhang (2025)</w:t>
            </w:r>
          </w:p>
        </w:tc>
        <w:tc>
          <w:tcPr>
            <w:tcW w:type="dxa" w:w="3650"/>
            <w:vAlign w:val="center"/>
          </w:tcPr>
          <w:p>
            <w:pPr>
              <w:spacing w:after="0" w:line="252" w:lineRule="auto"/>
            </w:pPr>
            <w:r>
              <w:rPr>
                <w:sz w:val="16"/>
              </w:rPr>
              <w:t>Does residents' digital capability affect households' financial health? Evidence from the CFPS</w:t>
            </w:r>
          </w:p>
        </w:tc>
        <w:tc>
          <w:tcPr>
            <w:tcW w:type="dxa" w:w="1850"/>
            <w:vAlign w:val="center"/>
          </w:tcPr>
          <w:p>
            <w:pPr>
              <w:spacing w:after="0" w:line="252" w:lineRule="auto"/>
            </w:pPr>
            <w:r>
              <w:rPr>
                <w:sz w:val="16"/>
              </w:rPr>
              <w:t>Digital capability, household financial health</w:t>
            </w:r>
          </w:p>
        </w:tc>
        <w:tc>
          <w:tcPr>
            <w:tcW w:type="dxa" w:w="1610"/>
            <w:vAlign w:val="center"/>
          </w:tcPr>
          <w:p>
            <w:pPr>
              <w:spacing w:after="0" w:line="252" w:lineRule="auto"/>
            </w:pPr>
            <w:r>
              <w:rPr>
                <w:sz w:val="16"/>
              </w:rPr>
              <w:t>Scopus seed; high-priority for economic/financial-health life-outcome pathway</w:t>
            </w:r>
          </w:p>
        </w:tc>
      </w:tr>
      <w:tr>
        <w:tc>
          <w:tcPr>
            <w:tcW w:type="dxa" w:w="650"/>
            <w:vAlign w:val="center"/>
          </w:tcPr>
          <w:p>
            <w:pPr>
              <w:spacing w:after="0" w:line="252" w:lineRule="auto"/>
            </w:pPr>
            <w:r>
              <w:rPr>
                <w:sz w:val="16"/>
              </w:rPr>
              <w:t>SC09</w:t>
            </w:r>
          </w:p>
        </w:tc>
        <w:tc>
          <w:tcPr>
            <w:tcW w:type="dxa" w:w="1600"/>
            <w:vAlign w:val="center"/>
          </w:tcPr>
          <w:p>
            <w:pPr>
              <w:spacing w:after="0" w:line="252" w:lineRule="auto"/>
            </w:pPr>
            <w:r>
              <w:rPr>
                <w:sz w:val="16"/>
              </w:rPr>
              <w:t>Turner (2021)</w:t>
            </w:r>
          </w:p>
        </w:tc>
        <w:tc>
          <w:tcPr>
            <w:tcW w:type="dxa" w:w="3650"/>
            <w:vAlign w:val="center"/>
          </w:tcPr>
          <w:p>
            <w:pPr>
              <w:spacing w:after="0" w:line="252" w:lineRule="auto"/>
            </w:pPr>
            <w:r>
              <w:rPr>
                <w:sz w:val="16"/>
              </w:rPr>
              <w:t>Mutual 'App'reciation: Co-production as a model for delivering digital capability within social work education</w:t>
            </w:r>
          </w:p>
        </w:tc>
        <w:tc>
          <w:tcPr>
            <w:tcW w:type="dxa" w:w="1850"/>
            <w:vAlign w:val="center"/>
          </w:tcPr>
          <w:p>
            <w:pPr>
              <w:spacing w:after="0" w:line="252" w:lineRule="auto"/>
            </w:pPr>
            <w:r>
              <w:rPr>
                <w:sz w:val="16"/>
              </w:rPr>
              <w:t>Co-production, digital capability, social work education</w:t>
            </w:r>
          </w:p>
        </w:tc>
        <w:tc>
          <w:tcPr>
            <w:tcW w:type="dxa" w:w="1610"/>
            <w:vAlign w:val="center"/>
          </w:tcPr>
          <w:p>
            <w:pPr>
              <w:spacing w:after="0" w:line="252" w:lineRule="auto"/>
            </w:pPr>
            <w:r>
              <w:rPr>
                <w:sz w:val="16"/>
              </w:rPr>
              <w:t>Scopus seed; useful for participatory/capability-building design</w:t>
            </w:r>
          </w:p>
        </w:tc>
      </w:tr>
      <w:tr>
        <w:tc>
          <w:tcPr>
            <w:tcW w:type="dxa" w:w="650"/>
            <w:vAlign w:val="center"/>
          </w:tcPr>
          <w:p>
            <w:pPr>
              <w:spacing w:after="0" w:line="252" w:lineRule="auto"/>
            </w:pPr>
            <w:r>
              <w:rPr>
                <w:sz w:val="16"/>
              </w:rPr>
              <w:t>SC10</w:t>
            </w:r>
          </w:p>
        </w:tc>
        <w:tc>
          <w:tcPr>
            <w:tcW w:type="dxa" w:w="1600"/>
            <w:vAlign w:val="center"/>
          </w:tcPr>
          <w:p>
            <w:pPr>
              <w:spacing w:after="0" w:line="252" w:lineRule="auto"/>
            </w:pPr>
            <w:r>
              <w:rPr>
                <w:sz w:val="16"/>
              </w:rPr>
              <w:t>Chee, Gallagher and Loe (2026)</w:t>
            </w:r>
          </w:p>
        </w:tc>
        <w:tc>
          <w:tcPr>
            <w:tcW w:type="dxa" w:w="3650"/>
            <w:vAlign w:val="center"/>
          </w:tcPr>
          <w:p>
            <w:pPr>
              <w:spacing w:after="0" w:line="252" w:lineRule="auto"/>
            </w:pPr>
            <w:r>
              <w:rPr>
                <w:sz w:val="16"/>
              </w:rPr>
              <w:t>Digital health capability and confidence among mental health and general healthcare nurses</w:t>
            </w:r>
          </w:p>
        </w:tc>
        <w:tc>
          <w:tcPr>
            <w:tcW w:type="dxa" w:w="1850"/>
            <w:vAlign w:val="center"/>
          </w:tcPr>
          <w:p>
            <w:pPr>
              <w:spacing w:after="0" w:line="252" w:lineRule="auto"/>
            </w:pPr>
            <w:r>
              <w:rPr>
                <w:sz w:val="16"/>
              </w:rPr>
              <w:t>Digital health capability, confidence, mental healthcare</w:t>
            </w:r>
          </w:p>
        </w:tc>
        <w:tc>
          <w:tcPr>
            <w:tcW w:type="dxa" w:w="1610"/>
            <w:vAlign w:val="center"/>
          </w:tcPr>
          <w:p>
            <w:pPr>
              <w:spacing w:after="0" w:line="252" w:lineRule="auto"/>
            </w:pPr>
            <w:r>
              <w:rPr>
                <w:sz w:val="16"/>
              </w:rPr>
              <w:t>Scopus seed; relevant to health capability and mental-health service context</w:t>
            </w:r>
          </w:p>
        </w:tc>
      </w:tr>
      <w:tr>
        <w:tc>
          <w:tcPr>
            <w:tcW w:type="dxa" w:w="650"/>
            <w:vAlign w:val="center"/>
          </w:tcPr>
          <w:p>
            <w:pPr>
              <w:spacing w:after="0" w:line="252" w:lineRule="auto"/>
            </w:pPr>
            <w:r>
              <w:rPr>
                <w:sz w:val="16"/>
              </w:rPr>
              <w:t>M01</w:t>
            </w:r>
          </w:p>
        </w:tc>
        <w:tc>
          <w:tcPr>
            <w:tcW w:type="dxa" w:w="1600"/>
            <w:vAlign w:val="center"/>
          </w:tcPr>
          <w:p>
            <w:pPr>
              <w:spacing w:after="0" w:line="252" w:lineRule="auto"/>
            </w:pPr>
            <w:r>
              <w:rPr>
                <w:sz w:val="16"/>
              </w:rPr>
              <w:t>Page et al. (2021)</w:t>
            </w:r>
          </w:p>
        </w:tc>
        <w:tc>
          <w:tcPr>
            <w:tcW w:type="dxa" w:w="3650"/>
            <w:vAlign w:val="center"/>
          </w:tcPr>
          <w:p>
            <w:pPr>
              <w:spacing w:after="0" w:line="252" w:lineRule="auto"/>
            </w:pPr>
            <w:r>
              <w:rPr>
                <w:sz w:val="16"/>
              </w:rPr>
              <w:t>The PRISMA 2020 statement: an updated guideline for reporting systematic reviews</w:t>
            </w:r>
          </w:p>
        </w:tc>
        <w:tc>
          <w:tcPr>
            <w:tcW w:type="dxa" w:w="1850"/>
            <w:vAlign w:val="center"/>
          </w:tcPr>
          <w:p>
            <w:pPr>
              <w:spacing w:after="0" w:line="252" w:lineRule="auto"/>
            </w:pPr>
            <w:r>
              <w:rPr>
                <w:sz w:val="16"/>
              </w:rPr>
              <w:t>Review method</w:t>
            </w:r>
          </w:p>
        </w:tc>
        <w:tc>
          <w:tcPr>
            <w:tcW w:type="dxa" w:w="1610"/>
            <w:vAlign w:val="center"/>
          </w:tcPr>
          <w:p>
            <w:pPr>
              <w:spacing w:after="0" w:line="252" w:lineRule="auto"/>
            </w:pPr>
            <w:r>
              <w:rPr>
                <w:sz w:val="16"/>
              </w:rPr>
              <w:t>Verified method anchor; use checklist and flow diagram in final SLR</w:t>
            </w:r>
          </w:p>
        </w:tc>
      </w:tr>
      <w:tr>
        <w:tc>
          <w:tcPr>
            <w:tcW w:type="dxa" w:w="650"/>
            <w:vAlign w:val="center"/>
          </w:tcPr>
          <w:p>
            <w:pPr>
              <w:spacing w:after="0" w:line="252" w:lineRule="auto"/>
            </w:pPr>
            <w:r>
              <w:rPr>
                <w:sz w:val="16"/>
              </w:rPr>
              <w:t>M02</w:t>
            </w:r>
          </w:p>
        </w:tc>
        <w:tc>
          <w:tcPr>
            <w:tcW w:type="dxa" w:w="1600"/>
            <w:vAlign w:val="center"/>
          </w:tcPr>
          <w:p>
            <w:pPr>
              <w:spacing w:after="0" w:line="252" w:lineRule="auto"/>
            </w:pPr>
            <w:r>
              <w:rPr>
                <w:sz w:val="16"/>
              </w:rPr>
              <w:t>Rethlefsen et al. (2021)</w:t>
            </w:r>
          </w:p>
        </w:tc>
        <w:tc>
          <w:tcPr>
            <w:tcW w:type="dxa" w:w="3650"/>
            <w:vAlign w:val="center"/>
          </w:tcPr>
          <w:p>
            <w:pPr>
              <w:spacing w:after="0" w:line="252" w:lineRule="auto"/>
            </w:pPr>
            <w:r>
              <w:rPr>
                <w:sz w:val="16"/>
              </w:rPr>
              <w:t>PRISMA-S: an extension to the PRISMA Statement for Reporting Literature Searches in Systematic Reviews</w:t>
            </w:r>
          </w:p>
        </w:tc>
        <w:tc>
          <w:tcPr>
            <w:tcW w:type="dxa" w:w="1850"/>
            <w:vAlign w:val="center"/>
          </w:tcPr>
          <w:p>
            <w:pPr>
              <w:spacing w:after="0" w:line="252" w:lineRule="auto"/>
            </w:pPr>
            <w:r>
              <w:rPr>
                <w:sz w:val="16"/>
              </w:rPr>
              <w:t>Search reporting</w:t>
            </w:r>
          </w:p>
        </w:tc>
        <w:tc>
          <w:tcPr>
            <w:tcW w:type="dxa" w:w="1610"/>
            <w:vAlign w:val="center"/>
          </w:tcPr>
          <w:p>
            <w:pPr>
              <w:spacing w:after="0" w:line="252" w:lineRule="auto"/>
            </w:pPr>
            <w:r>
              <w:rPr>
                <w:sz w:val="16"/>
              </w:rPr>
              <w:t>Verified method anchor; use for database/platform search log</w:t>
            </w:r>
          </w:p>
        </w:tc>
      </w:tr>
      <w:tr>
        <w:tc>
          <w:tcPr>
            <w:tcW w:type="dxa" w:w="650"/>
            <w:vAlign w:val="center"/>
          </w:tcPr>
          <w:p>
            <w:pPr>
              <w:spacing w:after="0" w:line="252" w:lineRule="auto"/>
            </w:pPr>
            <w:r>
              <w:rPr>
                <w:sz w:val="16"/>
              </w:rPr>
              <w:t>T01</w:t>
            </w:r>
          </w:p>
        </w:tc>
        <w:tc>
          <w:tcPr>
            <w:tcW w:type="dxa" w:w="1600"/>
            <w:vAlign w:val="center"/>
          </w:tcPr>
          <w:p>
            <w:pPr>
              <w:spacing w:after="0" w:line="252" w:lineRule="auto"/>
            </w:pPr>
            <w:r>
              <w:rPr>
                <w:sz w:val="16"/>
              </w:rPr>
              <w:t>Sen (1999)</w:t>
            </w:r>
          </w:p>
        </w:tc>
        <w:tc>
          <w:tcPr>
            <w:tcW w:type="dxa" w:w="3650"/>
            <w:vAlign w:val="center"/>
          </w:tcPr>
          <w:p>
            <w:pPr>
              <w:spacing w:after="0" w:line="252" w:lineRule="auto"/>
            </w:pPr>
            <w:r>
              <w:rPr>
                <w:sz w:val="16"/>
              </w:rPr>
              <w:t>Development as Freedom</w:t>
            </w:r>
          </w:p>
        </w:tc>
        <w:tc>
          <w:tcPr>
            <w:tcW w:type="dxa" w:w="1850"/>
            <w:vAlign w:val="center"/>
          </w:tcPr>
          <w:p>
            <w:pPr>
              <w:spacing w:after="0" w:line="252" w:lineRule="auto"/>
            </w:pPr>
            <w:r>
              <w:rPr>
                <w:sz w:val="16"/>
              </w:rPr>
              <w:t>Capability approach</w:t>
            </w:r>
          </w:p>
        </w:tc>
        <w:tc>
          <w:tcPr>
            <w:tcW w:type="dxa" w:w="1610"/>
            <w:vAlign w:val="center"/>
          </w:tcPr>
          <w:p>
            <w:pPr>
              <w:spacing w:after="0" w:line="252" w:lineRule="auto"/>
            </w:pPr>
            <w:r>
              <w:rPr>
                <w:sz w:val="16"/>
              </w:rPr>
              <w:t>Classic theory source; verify edition used in final references</w:t>
            </w:r>
          </w:p>
        </w:tc>
      </w:tr>
      <w:tr>
        <w:tc>
          <w:tcPr>
            <w:tcW w:type="dxa" w:w="650"/>
            <w:vAlign w:val="center"/>
          </w:tcPr>
          <w:p>
            <w:pPr>
              <w:spacing w:after="0" w:line="252" w:lineRule="auto"/>
            </w:pPr>
            <w:r>
              <w:rPr>
                <w:sz w:val="16"/>
              </w:rPr>
              <w:t>T02</w:t>
            </w:r>
          </w:p>
        </w:tc>
        <w:tc>
          <w:tcPr>
            <w:tcW w:type="dxa" w:w="1600"/>
            <w:vAlign w:val="center"/>
          </w:tcPr>
          <w:p>
            <w:pPr>
              <w:spacing w:after="0" w:line="252" w:lineRule="auto"/>
            </w:pPr>
            <w:r>
              <w:rPr>
                <w:sz w:val="16"/>
              </w:rPr>
              <w:t>Robeyns (2005)</w:t>
            </w:r>
          </w:p>
        </w:tc>
        <w:tc>
          <w:tcPr>
            <w:tcW w:type="dxa" w:w="3650"/>
            <w:vAlign w:val="center"/>
          </w:tcPr>
          <w:p>
            <w:pPr>
              <w:spacing w:after="0" w:line="252" w:lineRule="auto"/>
            </w:pPr>
            <w:r>
              <w:rPr>
                <w:sz w:val="16"/>
              </w:rPr>
              <w:t>The Capability Approach: a theoretical survey</w:t>
            </w:r>
          </w:p>
        </w:tc>
        <w:tc>
          <w:tcPr>
            <w:tcW w:type="dxa" w:w="1850"/>
            <w:vAlign w:val="center"/>
          </w:tcPr>
          <w:p>
            <w:pPr>
              <w:spacing w:after="0" w:line="252" w:lineRule="auto"/>
            </w:pPr>
            <w:r>
              <w:rPr>
                <w:sz w:val="16"/>
              </w:rPr>
              <w:t>Capability approach</w:t>
            </w:r>
          </w:p>
        </w:tc>
        <w:tc>
          <w:tcPr>
            <w:tcW w:type="dxa" w:w="1610"/>
            <w:vAlign w:val="center"/>
          </w:tcPr>
          <w:p>
            <w:pPr>
              <w:spacing w:after="0" w:line="252" w:lineRule="auto"/>
            </w:pPr>
            <w:r>
              <w:rPr>
                <w:sz w:val="16"/>
              </w:rPr>
              <w:t>Theory anchor; verify final citation format</w:t>
            </w:r>
          </w:p>
        </w:tc>
      </w:tr>
      <w:tr>
        <w:tc>
          <w:tcPr>
            <w:tcW w:type="dxa" w:w="650"/>
            <w:vAlign w:val="center"/>
          </w:tcPr>
          <w:p>
            <w:pPr>
              <w:spacing w:after="0" w:line="252" w:lineRule="auto"/>
            </w:pPr>
            <w:r>
              <w:rPr>
                <w:sz w:val="16"/>
              </w:rPr>
              <w:t>T03</w:t>
            </w:r>
          </w:p>
        </w:tc>
        <w:tc>
          <w:tcPr>
            <w:tcW w:type="dxa" w:w="1600"/>
            <w:vAlign w:val="center"/>
          </w:tcPr>
          <w:p>
            <w:pPr>
              <w:spacing w:after="0" w:line="252" w:lineRule="auto"/>
            </w:pPr>
            <w:r>
              <w:rPr>
                <w:sz w:val="16"/>
              </w:rPr>
              <w:t>Raworth (2012)</w:t>
            </w:r>
          </w:p>
        </w:tc>
        <w:tc>
          <w:tcPr>
            <w:tcW w:type="dxa" w:w="3650"/>
            <w:vAlign w:val="center"/>
          </w:tcPr>
          <w:p>
            <w:pPr>
              <w:spacing w:after="0" w:line="252" w:lineRule="auto"/>
            </w:pPr>
            <w:r>
              <w:rPr>
                <w:sz w:val="16"/>
              </w:rPr>
              <w:t>A Safe and Just Space for Humanity: Can We Live within the Doughnut?</w:t>
            </w:r>
          </w:p>
        </w:tc>
        <w:tc>
          <w:tcPr>
            <w:tcW w:type="dxa" w:w="1850"/>
            <w:vAlign w:val="center"/>
          </w:tcPr>
          <w:p>
            <w:pPr>
              <w:spacing w:after="0" w:line="252" w:lineRule="auto"/>
            </w:pPr>
            <w:r>
              <w:rPr>
                <w:sz w:val="16"/>
              </w:rPr>
              <w:t>Doughnut economics and safe-and-just outcomes</w:t>
            </w:r>
          </w:p>
        </w:tc>
        <w:tc>
          <w:tcPr>
            <w:tcW w:type="dxa" w:w="1610"/>
            <w:vAlign w:val="center"/>
          </w:tcPr>
          <w:p>
            <w:pPr>
              <w:spacing w:after="0" w:line="252" w:lineRule="auto"/>
            </w:pPr>
            <w:r>
              <w:rPr>
                <w:sz w:val="16"/>
              </w:rPr>
              <w:t>Theory anchor for social foundation plus ecological ceiling; verify final citation and PDF metadata</w:t>
            </w:r>
          </w:p>
        </w:tc>
      </w:tr>
      <w:tr>
        <w:tc>
          <w:tcPr>
            <w:tcW w:type="dxa" w:w="650"/>
            <w:vAlign w:val="center"/>
          </w:tcPr>
          <w:p>
            <w:pPr>
              <w:spacing w:after="0" w:line="252" w:lineRule="auto"/>
            </w:pPr>
            <w:r>
              <w:rPr>
                <w:sz w:val="16"/>
              </w:rPr>
              <w:t>T04</w:t>
            </w:r>
          </w:p>
        </w:tc>
        <w:tc>
          <w:tcPr>
            <w:tcW w:type="dxa" w:w="1600"/>
            <w:vAlign w:val="center"/>
          </w:tcPr>
          <w:p>
            <w:pPr>
              <w:spacing w:after="0" w:line="252" w:lineRule="auto"/>
            </w:pPr>
            <w:r>
              <w:rPr>
                <w:sz w:val="16"/>
              </w:rPr>
              <w:t>Raworth (2017)</w:t>
            </w:r>
          </w:p>
        </w:tc>
        <w:tc>
          <w:tcPr>
            <w:tcW w:type="dxa" w:w="3650"/>
            <w:vAlign w:val="center"/>
          </w:tcPr>
          <w:p>
            <w:pPr>
              <w:spacing w:after="0" w:line="252" w:lineRule="auto"/>
            </w:pPr>
            <w:r>
              <w:rPr>
                <w:sz w:val="16"/>
              </w:rPr>
              <w:t>Doughnut Economics: Seven Ways to Think Like a 21st-Century Economist</w:t>
            </w:r>
          </w:p>
        </w:tc>
        <w:tc>
          <w:tcPr>
            <w:tcW w:type="dxa" w:w="1850"/>
            <w:vAlign w:val="center"/>
          </w:tcPr>
          <w:p>
            <w:pPr>
              <w:spacing w:after="0" w:line="252" w:lineRule="auto"/>
            </w:pPr>
            <w:r>
              <w:rPr>
                <w:sz w:val="16"/>
              </w:rPr>
              <w:t>Doughnut economics and outcomes framework</w:t>
            </w:r>
          </w:p>
        </w:tc>
        <w:tc>
          <w:tcPr>
            <w:tcW w:type="dxa" w:w="1610"/>
            <w:vAlign w:val="center"/>
          </w:tcPr>
          <w:p>
            <w:pPr>
              <w:spacing w:after="0" w:line="252" w:lineRule="auto"/>
            </w:pPr>
            <w:r>
              <w:rPr>
                <w:sz w:val="16"/>
              </w:rPr>
              <w:t>Theory anchor for interpreting life outcomes as a social foundation constrained by planetary boundaries</w:t>
            </w:r>
          </w:p>
        </w:tc>
      </w:tr>
      <w:tr>
        <w:tc>
          <w:tcPr>
            <w:tcW w:type="dxa" w:w="650"/>
            <w:vAlign w:val="center"/>
          </w:tcPr>
          <w:p>
            <w:pPr>
              <w:spacing w:after="0" w:line="252" w:lineRule="auto"/>
            </w:pPr>
            <w:r>
              <w:rPr>
                <w:sz w:val="16"/>
              </w:rPr>
              <w:t>T05</w:t>
            </w:r>
          </w:p>
        </w:tc>
        <w:tc>
          <w:tcPr>
            <w:tcW w:type="dxa" w:w="1600"/>
            <w:vAlign w:val="center"/>
          </w:tcPr>
          <w:p>
            <w:pPr>
              <w:spacing w:after="0" w:line="252" w:lineRule="auto"/>
            </w:pPr>
            <w:r>
              <w:rPr>
                <w:sz w:val="16"/>
              </w:rPr>
              <w:t>Rockstrom et al. (2009); Steffen et al. (2015)</w:t>
            </w:r>
          </w:p>
        </w:tc>
        <w:tc>
          <w:tcPr>
            <w:tcW w:type="dxa" w:w="3650"/>
            <w:vAlign w:val="center"/>
          </w:tcPr>
          <w:p>
            <w:pPr>
              <w:spacing w:after="0" w:line="252" w:lineRule="auto"/>
            </w:pPr>
            <w:r>
              <w:rPr>
                <w:sz w:val="16"/>
              </w:rPr>
              <w:t>Planetary boundaries and the safe operating space for humanity</w:t>
            </w:r>
          </w:p>
        </w:tc>
        <w:tc>
          <w:tcPr>
            <w:tcW w:type="dxa" w:w="1850"/>
            <w:vAlign w:val="center"/>
          </w:tcPr>
          <w:p>
            <w:pPr>
              <w:spacing w:after="0" w:line="252" w:lineRule="auto"/>
            </w:pPr>
            <w:r>
              <w:rPr>
                <w:sz w:val="16"/>
              </w:rPr>
              <w:t>Planetary boundaries</w:t>
            </w:r>
          </w:p>
        </w:tc>
        <w:tc>
          <w:tcPr>
            <w:tcW w:type="dxa" w:w="1610"/>
            <w:vAlign w:val="center"/>
          </w:tcPr>
          <w:p>
            <w:pPr>
              <w:spacing w:after="0" w:line="252" w:lineRule="auto"/>
            </w:pPr>
            <w:r>
              <w:rPr>
                <w:sz w:val="16"/>
              </w:rPr>
              <w:t>Use to substantiate the ecological-ceiling side of the DCLO/Doughnut synthesis; Rockstrom DOI verified</w:t>
            </w:r>
          </w:p>
        </w:tc>
      </w:tr>
      <w:tr>
        <w:tc>
          <w:tcPr>
            <w:tcW w:type="dxa" w:w="650"/>
            <w:vAlign w:val="center"/>
          </w:tcPr>
          <w:p>
            <w:pPr>
              <w:spacing w:after="0" w:line="252" w:lineRule="auto"/>
            </w:pPr>
            <w:r>
              <w:rPr>
                <w:sz w:val="16"/>
              </w:rPr>
              <w:t>D01</w:t>
            </w:r>
          </w:p>
        </w:tc>
        <w:tc>
          <w:tcPr>
            <w:tcW w:type="dxa" w:w="1600"/>
            <w:vAlign w:val="center"/>
          </w:tcPr>
          <w:p>
            <w:pPr>
              <w:spacing w:after="0" w:line="252" w:lineRule="auto"/>
            </w:pPr>
            <w:r>
              <w:rPr>
                <w:sz w:val="16"/>
              </w:rPr>
              <w:t>Jisc (n.d.)</w:t>
            </w:r>
          </w:p>
        </w:tc>
        <w:tc>
          <w:tcPr>
            <w:tcW w:type="dxa" w:w="3650"/>
            <w:vAlign w:val="center"/>
          </w:tcPr>
          <w:p>
            <w:pPr>
              <w:spacing w:after="0" w:line="252" w:lineRule="auto"/>
            </w:pPr>
            <w:r>
              <w:rPr>
                <w:sz w:val="16"/>
              </w:rPr>
              <w:t>Individual digital capabilities</w:t>
            </w:r>
          </w:p>
        </w:tc>
        <w:tc>
          <w:tcPr>
            <w:tcW w:type="dxa" w:w="1850"/>
            <w:vAlign w:val="center"/>
          </w:tcPr>
          <w:p>
            <w:pPr>
              <w:spacing w:after="0" w:line="252" w:lineRule="auto"/>
            </w:pPr>
            <w:r>
              <w:rPr>
                <w:sz w:val="16"/>
              </w:rPr>
              <w:t>Digital capability framework</w:t>
            </w:r>
          </w:p>
        </w:tc>
        <w:tc>
          <w:tcPr>
            <w:tcW w:type="dxa" w:w="1610"/>
            <w:vAlign w:val="center"/>
          </w:tcPr>
          <w:p>
            <w:pPr>
              <w:spacing w:after="0" w:line="252" w:lineRule="auto"/>
            </w:pPr>
            <w:r>
              <w:rPr>
                <w:sz w:val="16"/>
              </w:rPr>
              <w:t>Official framework source; already used in PhD strategy</w:t>
            </w:r>
          </w:p>
        </w:tc>
      </w:tr>
      <w:tr>
        <w:tc>
          <w:tcPr>
            <w:tcW w:type="dxa" w:w="650"/>
            <w:vAlign w:val="center"/>
          </w:tcPr>
          <w:p>
            <w:pPr>
              <w:spacing w:after="0" w:line="252" w:lineRule="auto"/>
            </w:pPr>
            <w:r>
              <w:rPr>
                <w:sz w:val="16"/>
              </w:rPr>
              <w:t>D02</w:t>
            </w:r>
          </w:p>
        </w:tc>
        <w:tc>
          <w:tcPr>
            <w:tcW w:type="dxa" w:w="1600"/>
            <w:vAlign w:val="center"/>
          </w:tcPr>
          <w:p>
            <w:pPr>
              <w:spacing w:after="0" w:line="252" w:lineRule="auto"/>
            </w:pPr>
            <w:r>
              <w:rPr>
                <w:sz w:val="16"/>
              </w:rPr>
              <w:t>European Commission/JRC (2022)</w:t>
            </w:r>
          </w:p>
        </w:tc>
        <w:tc>
          <w:tcPr>
            <w:tcW w:type="dxa" w:w="3650"/>
            <w:vAlign w:val="center"/>
          </w:tcPr>
          <w:p>
            <w:pPr>
              <w:spacing w:after="0" w:line="252" w:lineRule="auto"/>
            </w:pPr>
            <w:r>
              <w:rPr>
                <w:sz w:val="16"/>
              </w:rPr>
              <w:t>DigComp 2.2: The Digital Competence Framework for Citizens</w:t>
            </w:r>
          </w:p>
        </w:tc>
        <w:tc>
          <w:tcPr>
            <w:tcW w:type="dxa" w:w="1850"/>
            <w:vAlign w:val="center"/>
          </w:tcPr>
          <w:p>
            <w:pPr>
              <w:spacing w:after="0" w:line="252" w:lineRule="auto"/>
            </w:pPr>
            <w:r>
              <w:rPr>
                <w:sz w:val="16"/>
              </w:rPr>
              <w:t>Digital competence framework</w:t>
            </w:r>
          </w:p>
        </w:tc>
        <w:tc>
          <w:tcPr>
            <w:tcW w:type="dxa" w:w="1610"/>
            <w:vAlign w:val="center"/>
          </w:tcPr>
          <w:p>
            <w:pPr>
              <w:spacing w:after="0" w:line="252" w:lineRule="auto"/>
            </w:pPr>
            <w:r>
              <w:rPr>
                <w:sz w:val="16"/>
              </w:rPr>
              <w:t>Official framework source; verify PDF metadata in final citation</w:t>
            </w:r>
          </w:p>
        </w:tc>
      </w:tr>
      <w:tr>
        <w:tc>
          <w:tcPr>
            <w:tcW w:type="dxa" w:w="650"/>
            <w:vAlign w:val="center"/>
          </w:tcPr>
          <w:p>
            <w:pPr>
              <w:spacing w:after="0" w:line="252" w:lineRule="auto"/>
            </w:pPr>
            <w:r>
              <w:rPr>
                <w:sz w:val="16"/>
              </w:rPr>
              <w:t>D03</w:t>
            </w:r>
          </w:p>
        </w:tc>
        <w:tc>
          <w:tcPr>
            <w:tcW w:type="dxa" w:w="1600"/>
            <w:vAlign w:val="center"/>
          </w:tcPr>
          <w:p>
            <w:pPr>
              <w:spacing w:after="0" w:line="252" w:lineRule="auto"/>
            </w:pPr>
            <w:r>
              <w:rPr>
                <w:sz w:val="16"/>
              </w:rPr>
              <w:t>Australian Government DEWR (n.d.)</w:t>
            </w:r>
          </w:p>
        </w:tc>
        <w:tc>
          <w:tcPr>
            <w:tcW w:type="dxa" w:w="3650"/>
            <w:vAlign w:val="center"/>
          </w:tcPr>
          <w:p>
            <w:pPr>
              <w:spacing w:after="0" w:line="252" w:lineRule="auto"/>
            </w:pPr>
            <w:r>
              <w:rPr>
                <w:sz w:val="16"/>
              </w:rPr>
              <w:t>Digital Capability Framework</w:t>
            </w:r>
          </w:p>
        </w:tc>
        <w:tc>
          <w:tcPr>
            <w:tcW w:type="dxa" w:w="1850"/>
            <w:vAlign w:val="center"/>
          </w:tcPr>
          <w:p>
            <w:pPr>
              <w:spacing w:after="0" w:line="252" w:lineRule="auto"/>
            </w:pPr>
            <w:r>
              <w:rPr>
                <w:sz w:val="16"/>
              </w:rPr>
              <w:t>Digital capability framework</w:t>
            </w:r>
          </w:p>
        </w:tc>
        <w:tc>
          <w:tcPr>
            <w:tcW w:type="dxa" w:w="1610"/>
            <w:vAlign w:val="center"/>
          </w:tcPr>
          <w:p>
            <w:pPr>
              <w:spacing w:after="0" w:line="252" w:lineRule="auto"/>
            </w:pPr>
            <w:r>
              <w:rPr>
                <w:sz w:val="16"/>
              </w:rPr>
              <w:t>Official framework source; already used in PhD strategy</w:t>
            </w:r>
          </w:p>
        </w:tc>
      </w:tr>
      <w:tr>
        <w:tc>
          <w:tcPr>
            <w:tcW w:type="dxa" w:w="650"/>
            <w:vAlign w:val="center"/>
          </w:tcPr>
          <w:p>
            <w:pPr>
              <w:spacing w:after="0" w:line="252" w:lineRule="auto"/>
            </w:pPr>
            <w:r>
              <w:rPr>
                <w:sz w:val="16"/>
              </w:rPr>
              <w:t>D04</w:t>
            </w:r>
          </w:p>
        </w:tc>
        <w:tc>
          <w:tcPr>
            <w:tcW w:type="dxa" w:w="1600"/>
            <w:vAlign w:val="center"/>
          </w:tcPr>
          <w:p>
            <w:pPr>
              <w:spacing w:after="0" w:line="252" w:lineRule="auto"/>
            </w:pPr>
            <w:r>
              <w:rPr>
                <w:sz w:val="16"/>
              </w:rPr>
              <w:t>Digital Poverty Alliance (2024)</w:t>
            </w:r>
          </w:p>
        </w:tc>
        <w:tc>
          <w:tcPr>
            <w:tcW w:type="dxa" w:w="3650"/>
            <w:vAlign w:val="center"/>
          </w:tcPr>
          <w:p>
            <w:pPr>
              <w:spacing w:after="0" w:line="252" w:lineRule="auto"/>
            </w:pPr>
            <w:r>
              <w:rPr>
                <w:sz w:val="16"/>
              </w:rPr>
              <w:t>UK Digital Poverty Evidence Review / Digital Poverty Alliance 2024 resources</w:t>
            </w:r>
          </w:p>
        </w:tc>
        <w:tc>
          <w:tcPr>
            <w:tcW w:type="dxa" w:w="1850"/>
            <w:vAlign w:val="center"/>
          </w:tcPr>
          <w:p>
            <w:pPr>
              <w:spacing w:after="0" w:line="252" w:lineRule="auto"/>
            </w:pPr>
            <w:r>
              <w:rPr>
                <w:sz w:val="16"/>
              </w:rPr>
              <w:t>Digital poverty and exclusion</w:t>
            </w:r>
          </w:p>
        </w:tc>
        <w:tc>
          <w:tcPr>
            <w:tcW w:type="dxa" w:w="1610"/>
            <w:vAlign w:val="center"/>
          </w:tcPr>
          <w:p>
            <w:pPr>
              <w:spacing w:after="0" w:line="252" w:lineRule="auto"/>
            </w:pPr>
            <w:r>
              <w:rPr>
                <w:sz w:val="16"/>
              </w:rPr>
              <w:t>Grey-literature source; appraise with AACODS</w:t>
            </w:r>
          </w:p>
        </w:tc>
      </w:tr>
      <w:tr>
        <w:tc>
          <w:tcPr>
            <w:tcW w:type="dxa" w:w="650"/>
            <w:vAlign w:val="center"/>
          </w:tcPr>
          <w:p>
            <w:pPr>
              <w:spacing w:after="0" w:line="252" w:lineRule="auto"/>
            </w:pPr>
            <w:r>
              <w:rPr>
                <w:sz w:val="16"/>
              </w:rPr>
              <w:t>P01</w:t>
            </w:r>
          </w:p>
        </w:tc>
        <w:tc>
          <w:tcPr>
            <w:tcW w:type="dxa" w:w="1600"/>
            <w:vAlign w:val="center"/>
          </w:tcPr>
          <w:p>
            <w:pPr>
              <w:spacing w:after="0" w:line="252" w:lineRule="auto"/>
            </w:pPr>
            <w:r>
              <w:rPr>
                <w:sz w:val="16"/>
              </w:rPr>
              <w:t>Digital Public Goods Alliance (n.d.)</w:t>
            </w:r>
          </w:p>
        </w:tc>
        <w:tc>
          <w:tcPr>
            <w:tcW w:type="dxa" w:w="3650"/>
            <w:vAlign w:val="center"/>
          </w:tcPr>
          <w:p>
            <w:pPr>
              <w:spacing w:after="0" w:line="252" w:lineRule="auto"/>
            </w:pPr>
            <w:r>
              <w:rPr>
                <w:sz w:val="16"/>
              </w:rPr>
              <w:t>Digital Public Goods Standard</w:t>
            </w:r>
          </w:p>
        </w:tc>
        <w:tc>
          <w:tcPr>
            <w:tcW w:type="dxa" w:w="1850"/>
            <w:vAlign w:val="center"/>
          </w:tcPr>
          <w:p>
            <w:pPr>
              <w:spacing w:after="0" w:line="252" w:lineRule="auto"/>
            </w:pPr>
            <w:r>
              <w:rPr>
                <w:sz w:val="16"/>
              </w:rPr>
              <w:t>DPG governance</w:t>
            </w:r>
          </w:p>
        </w:tc>
        <w:tc>
          <w:tcPr>
            <w:tcW w:type="dxa" w:w="1610"/>
            <w:vAlign w:val="center"/>
          </w:tcPr>
          <w:p>
            <w:pPr>
              <w:spacing w:after="0" w:line="252" w:lineRule="auto"/>
            </w:pPr>
            <w:r>
              <w:rPr>
                <w:sz w:val="16"/>
              </w:rPr>
              <w:t>Official standard; extract openness, privacy, standards and governance criteria</w:t>
            </w:r>
          </w:p>
        </w:tc>
      </w:tr>
      <w:tr>
        <w:tc>
          <w:tcPr>
            <w:tcW w:type="dxa" w:w="650"/>
            <w:vAlign w:val="center"/>
          </w:tcPr>
          <w:p>
            <w:pPr>
              <w:spacing w:after="0" w:line="252" w:lineRule="auto"/>
            </w:pPr>
            <w:r>
              <w:rPr>
                <w:sz w:val="16"/>
              </w:rPr>
              <w:t>P02</w:t>
            </w:r>
          </w:p>
        </w:tc>
        <w:tc>
          <w:tcPr>
            <w:tcW w:type="dxa" w:w="1600"/>
            <w:vAlign w:val="center"/>
          </w:tcPr>
          <w:p>
            <w:pPr>
              <w:spacing w:after="0" w:line="252" w:lineRule="auto"/>
            </w:pPr>
            <w:r>
              <w:rPr>
                <w:sz w:val="16"/>
              </w:rPr>
              <w:t>UNDP (n.d.)</w:t>
            </w:r>
          </w:p>
        </w:tc>
        <w:tc>
          <w:tcPr>
            <w:tcW w:type="dxa" w:w="3650"/>
            <w:vAlign w:val="center"/>
          </w:tcPr>
          <w:p>
            <w:pPr>
              <w:spacing w:after="0" w:line="252" w:lineRule="auto"/>
            </w:pPr>
            <w:r>
              <w:rPr>
                <w:sz w:val="16"/>
              </w:rPr>
              <w:t>Digital Public Infrastructure resources and governance framing</w:t>
            </w:r>
          </w:p>
        </w:tc>
        <w:tc>
          <w:tcPr>
            <w:tcW w:type="dxa" w:w="1850"/>
            <w:vAlign w:val="center"/>
          </w:tcPr>
          <w:p>
            <w:pPr>
              <w:spacing w:after="0" w:line="252" w:lineRule="auto"/>
            </w:pPr>
            <w:r>
              <w:rPr>
                <w:sz w:val="16"/>
              </w:rPr>
              <w:t>DPI governance</w:t>
            </w:r>
          </w:p>
        </w:tc>
        <w:tc>
          <w:tcPr>
            <w:tcW w:type="dxa" w:w="1610"/>
            <w:vAlign w:val="center"/>
          </w:tcPr>
          <w:p>
            <w:pPr>
              <w:spacing w:after="0" w:line="252" w:lineRule="auto"/>
            </w:pPr>
            <w:r>
              <w:rPr>
                <w:sz w:val="16"/>
              </w:rPr>
              <w:t>Official policy source; verify latest page content before final citation</w:t>
            </w:r>
          </w:p>
        </w:tc>
      </w:tr>
      <w:tr>
        <w:tc>
          <w:tcPr>
            <w:tcW w:type="dxa" w:w="650"/>
            <w:vAlign w:val="center"/>
          </w:tcPr>
          <w:p>
            <w:pPr>
              <w:spacing w:after="0" w:line="252" w:lineRule="auto"/>
            </w:pPr>
            <w:r>
              <w:rPr>
                <w:sz w:val="16"/>
              </w:rPr>
              <w:t>P03</w:t>
            </w:r>
          </w:p>
        </w:tc>
        <w:tc>
          <w:tcPr>
            <w:tcW w:type="dxa" w:w="1600"/>
            <w:vAlign w:val="center"/>
          </w:tcPr>
          <w:p>
            <w:pPr>
              <w:spacing w:after="0" w:line="252" w:lineRule="auto"/>
            </w:pPr>
            <w:r>
              <w:rPr>
                <w:sz w:val="16"/>
              </w:rPr>
              <w:t>World Bank (n.d.)</w:t>
            </w:r>
          </w:p>
        </w:tc>
        <w:tc>
          <w:tcPr>
            <w:tcW w:type="dxa" w:w="3650"/>
            <w:vAlign w:val="center"/>
          </w:tcPr>
          <w:p>
            <w:pPr>
              <w:spacing w:after="0" w:line="252" w:lineRule="auto"/>
            </w:pPr>
            <w:r>
              <w:rPr>
                <w:sz w:val="16"/>
              </w:rPr>
              <w:t>Digital public infrastructure and digital development resources</w:t>
            </w:r>
          </w:p>
        </w:tc>
        <w:tc>
          <w:tcPr>
            <w:tcW w:type="dxa" w:w="1850"/>
            <w:vAlign w:val="center"/>
          </w:tcPr>
          <w:p>
            <w:pPr>
              <w:spacing w:after="0" w:line="252" w:lineRule="auto"/>
            </w:pPr>
            <w:r>
              <w:rPr>
                <w:sz w:val="16"/>
              </w:rPr>
              <w:t>DPI and development</w:t>
            </w:r>
          </w:p>
        </w:tc>
        <w:tc>
          <w:tcPr>
            <w:tcW w:type="dxa" w:w="1610"/>
            <w:vAlign w:val="center"/>
          </w:tcPr>
          <w:p>
            <w:pPr>
              <w:spacing w:after="0" w:line="252" w:lineRule="auto"/>
            </w:pPr>
            <w:r>
              <w:rPr>
                <w:sz w:val="16"/>
              </w:rPr>
              <w:t>Policy source; use for DPI background only after specific report selection</w:t>
            </w:r>
          </w:p>
        </w:tc>
      </w:tr>
      <w:tr>
        <w:tc>
          <w:tcPr>
            <w:tcW w:type="dxa" w:w="650"/>
            <w:vAlign w:val="center"/>
          </w:tcPr>
          <w:p>
            <w:pPr>
              <w:spacing w:after="0" w:line="252" w:lineRule="auto"/>
            </w:pPr>
            <w:r>
              <w:rPr>
                <w:sz w:val="16"/>
              </w:rPr>
              <w:t>A01</w:t>
            </w:r>
          </w:p>
        </w:tc>
        <w:tc>
          <w:tcPr>
            <w:tcW w:type="dxa" w:w="1600"/>
            <w:vAlign w:val="center"/>
          </w:tcPr>
          <w:p>
            <w:pPr>
              <w:spacing w:after="0" w:line="252" w:lineRule="auto"/>
            </w:pPr>
            <w:r>
              <w:rPr>
                <w:sz w:val="16"/>
              </w:rPr>
              <w:t>Yeung, Ng and Abi-Jaoude (2022)</w:t>
            </w:r>
          </w:p>
        </w:tc>
        <w:tc>
          <w:tcPr>
            <w:tcW w:type="dxa" w:w="3650"/>
            <w:vAlign w:val="center"/>
          </w:tcPr>
          <w:p>
            <w:pPr>
              <w:spacing w:after="0" w:line="252" w:lineRule="auto"/>
            </w:pPr>
            <w:r>
              <w:rPr>
                <w:sz w:val="16"/>
              </w:rPr>
              <w:t>TikTok and Attention-Deficit/Hyperactivity Disorder: A Cross-Sectional Study of Social Media Content Quality</w:t>
            </w:r>
          </w:p>
        </w:tc>
        <w:tc>
          <w:tcPr>
            <w:tcW w:type="dxa" w:w="1850"/>
            <w:vAlign w:val="center"/>
          </w:tcPr>
          <w:p>
            <w:pPr>
              <w:spacing w:after="0" w:line="252" w:lineRule="auto"/>
            </w:pPr>
            <w:r>
              <w:rPr>
                <w:sz w:val="16"/>
              </w:rPr>
              <w:t>ADHD, social media, misinformation</w:t>
            </w:r>
          </w:p>
        </w:tc>
        <w:tc>
          <w:tcPr>
            <w:tcW w:type="dxa" w:w="1610"/>
            <w:vAlign w:val="center"/>
          </w:tcPr>
          <w:p>
            <w:pPr>
              <w:spacing w:after="0" w:line="252" w:lineRule="auto"/>
            </w:pPr>
            <w:r>
              <w:rPr>
                <w:sz w:val="16"/>
              </w:rPr>
              <w:t>Priority ADHD/platform source; verify extraction and avoid diagnostic claims</w:t>
            </w:r>
          </w:p>
        </w:tc>
      </w:tr>
      <w:tr>
        <w:tc>
          <w:tcPr>
            <w:tcW w:type="dxa" w:w="650"/>
            <w:vAlign w:val="center"/>
          </w:tcPr>
          <w:p>
            <w:pPr>
              <w:spacing w:after="0" w:line="252" w:lineRule="auto"/>
            </w:pPr>
            <w:r>
              <w:rPr>
                <w:sz w:val="16"/>
              </w:rPr>
              <w:t>A02</w:t>
            </w:r>
          </w:p>
        </w:tc>
        <w:tc>
          <w:tcPr>
            <w:tcW w:type="dxa" w:w="1600"/>
            <w:vAlign w:val="center"/>
          </w:tcPr>
          <w:p>
            <w:pPr>
              <w:spacing w:after="0" w:line="252" w:lineRule="auto"/>
            </w:pPr>
            <w:r>
              <w:rPr>
                <w:sz w:val="16"/>
              </w:rPr>
              <w:t>Lupton and Southerton (2024)</w:t>
            </w:r>
          </w:p>
        </w:tc>
        <w:tc>
          <w:tcPr>
            <w:tcW w:type="dxa" w:w="3650"/>
            <w:vAlign w:val="center"/>
          </w:tcPr>
          <w:p>
            <w:pPr>
              <w:spacing w:after="0" w:line="252" w:lineRule="auto"/>
            </w:pPr>
            <w:r>
              <w:rPr>
                <w:sz w:val="16"/>
              </w:rPr>
              <w:t>Neurodivergence, TikTok, and self-understanding / self-diagnosis literature</w:t>
            </w:r>
          </w:p>
        </w:tc>
        <w:tc>
          <w:tcPr>
            <w:tcW w:type="dxa" w:w="1850"/>
            <w:vAlign w:val="center"/>
          </w:tcPr>
          <w:p>
            <w:pPr>
              <w:spacing w:after="0" w:line="252" w:lineRule="auto"/>
            </w:pPr>
            <w:r>
              <w:rPr>
                <w:sz w:val="16"/>
              </w:rPr>
              <w:t>Platform-mediated self-understanding</w:t>
            </w:r>
          </w:p>
        </w:tc>
        <w:tc>
          <w:tcPr>
            <w:tcW w:type="dxa" w:w="1610"/>
            <w:vAlign w:val="center"/>
          </w:tcPr>
          <w:p>
            <w:pPr>
              <w:spacing w:after="0" w:line="252" w:lineRule="auto"/>
            </w:pPr>
            <w:r>
              <w:rPr>
                <w:sz w:val="16"/>
              </w:rPr>
              <w:t>Needs exact bibliographic verification before final inclusion</w:t>
            </w:r>
          </w:p>
        </w:tc>
      </w:tr>
      <w:tr>
        <w:tc>
          <w:tcPr>
            <w:tcW w:type="dxa" w:w="650"/>
            <w:vAlign w:val="center"/>
          </w:tcPr>
          <w:p>
            <w:pPr>
              <w:spacing w:after="0" w:line="252" w:lineRule="auto"/>
            </w:pPr>
            <w:r>
              <w:rPr>
                <w:sz w:val="16"/>
              </w:rPr>
              <w:t>A03</w:t>
            </w:r>
          </w:p>
        </w:tc>
        <w:tc>
          <w:tcPr>
            <w:tcW w:type="dxa" w:w="1600"/>
            <w:vAlign w:val="center"/>
          </w:tcPr>
          <w:p>
            <w:pPr>
              <w:spacing w:after="0" w:line="252" w:lineRule="auto"/>
            </w:pPr>
            <w:r>
              <w:rPr>
                <w:sz w:val="16"/>
              </w:rPr>
              <w:t>Pretorius et al. (2019)</w:t>
            </w:r>
          </w:p>
        </w:tc>
        <w:tc>
          <w:tcPr>
            <w:tcW w:type="dxa" w:w="3650"/>
            <w:vAlign w:val="center"/>
          </w:tcPr>
          <w:p>
            <w:pPr>
              <w:spacing w:after="0" w:line="252" w:lineRule="auto"/>
            </w:pPr>
            <w:r>
              <w:rPr>
                <w:sz w:val="16"/>
              </w:rPr>
              <w:t>Young people seeking and sharing mental health information online: digital mental health review literature</w:t>
            </w:r>
          </w:p>
        </w:tc>
        <w:tc>
          <w:tcPr>
            <w:tcW w:type="dxa" w:w="1850"/>
            <w:vAlign w:val="center"/>
          </w:tcPr>
          <w:p>
            <w:pPr>
              <w:spacing w:after="0" w:line="252" w:lineRule="auto"/>
            </w:pPr>
            <w:r>
              <w:rPr>
                <w:sz w:val="16"/>
              </w:rPr>
              <w:t>Online health information seeking</w:t>
            </w:r>
          </w:p>
        </w:tc>
        <w:tc>
          <w:tcPr>
            <w:tcW w:type="dxa" w:w="1610"/>
            <w:vAlign w:val="center"/>
          </w:tcPr>
          <w:p>
            <w:pPr>
              <w:spacing w:after="0" w:line="252" w:lineRule="auto"/>
            </w:pPr>
            <w:r>
              <w:rPr>
                <w:sz w:val="16"/>
              </w:rPr>
              <w:t>Needs exact bibliographic verification before final inclusion</w:t>
            </w:r>
          </w:p>
        </w:tc>
      </w:tr>
      <w:tr>
        <w:tc>
          <w:tcPr>
            <w:tcW w:type="dxa" w:w="650"/>
            <w:vAlign w:val="center"/>
          </w:tcPr>
          <w:p>
            <w:pPr>
              <w:spacing w:after="0" w:line="252" w:lineRule="auto"/>
            </w:pPr>
            <w:r>
              <w:rPr>
                <w:sz w:val="16"/>
              </w:rPr>
              <w:t>F01</w:t>
            </w:r>
          </w:p>
        </w:tc>
        <w:tc>
          <w:tcPr>
            <w:tcW w:type="dxa" w:w="1600"/>
            <w:vAlign w:val="center"/>
          </w:tcPr>
          <w:p>
            <w:pPr>
              <w:spacing w:after="0" w:line="252" w:lineRule="auto"/>
            </w:pPr>
            <w:r>
              <w:rPr>
                <w:sz w:val="16"/>
              </w:rPr>
              <w:t>Hacking (1995/1999)</w:t>
            </w:r>
          </w:p>
        </w:tc>
        <w:tc>
          <w:tcPr>
            <w:tcW w:type="dxa" w:w="3650"/>
            <w:vAlign w:val="center"/>
          </w:tcPr>
          <w:p>
            <w:pPr>
              <w:spacing w:after="0" w:line="252" w:lineRule="auto"/>
            </w:pPr>
            <w:r>
              <w:rPr>
                <w:sz w:val="16"/>
              </w:rPr>
              <w:t>Looping effects / making up people</w:t>
            </w:r>
          </w:p>
        </w:tc>
        <w:tc>
          <w:tcPr>
            <w:tcW w:type="dxa" w:w="1850"/>
            <w:vAlign w:val="center"/>
          </w:tcPr>
          <w:p>
            <w:pPr>
              <w:spacing w:after="0" w:line="252" w:lineRule="auto"/>
            </w:pPr>
            <w:r>
              <w:rPr>
                <w:sz w:val="16"/>
              </w:rPr>
              <w:t>Social construction of diagnostic categories</w:t>
            </w:r>
          </w:p>
        </w:tc>
        <w:tc>
          <w:tcPr>
            <w:tcW w:type="dxa" w:w="1610"/>
            <w:vAlign w:val="center"/>
          </w:tcPr>
          <w:p>
            <w:pPr>
              <w:spacing w:after="0" w:line="252" w:lineRule="auto"/>
            </w:pPr>
            <w:r>
              <w:rPr>
                <w:sz w:val="16"/>
              </w:rPr>
              <w:t>Use in podcast/discourse paper; verify exact chapter/article citation</w:t>
            </w:r>
          </w:p>
        </w:tc>
      </w:tr>
      <w:tr>
        <w:tc>
          <w:tcPr>
            <w:tcW w:type="dxa" w:w="650"/>
            <w:vAlign w:val="center"/>
          </w:tcPr>
          <w:p>
            <w:pPr>
              <w:spacing w:after="0" w:line="252" w:lineRule="auto"/>
            </w:pPr>
            <w:r>
              <w:rPr>
                <w:sz w:val="16"/>
              </w:rPr>
              <w:t>F02</w:t>
            </w:r>
          </w:p>
        </w:tc>
        <w:tc>
          <w:tcPr>
            <w:tcW w:type="dxa" w:w="1600"/>
            <w:vAlign w:val="center"/>
          </w:tcPr>
          <w:p>
            <w:pPr>
              <w:spacing w:after="0" w:line="252" w:lineRule="auto"/>
            </w:pPr>
            <w:r>
              <w:rPr>
                <w:sz w:val="16"/>
              </w:rPr>
              <w:t>Conrad (2007)</w:t>
            </w:r>
          </w:p>
        </w:tc>
        <w:tc>
          <w:tcPr>
            <w:tcW w:type="dxa" w:w="3650"/>
            <w:vAlign w:val="center"/>
          </w:tcPr>
          <w:p>
            <w:pPr>
              <w:spacing w:after="0" w:line="252" w:lineRule="auto"/>
            </w:pPr>
            <w:r>
              <w:rPr>
                <w:sz w:val="16"/>
              </w:rPr>
              <w:t>The Medicalization of Society</w:t>
            </w:r>
          </w:p>
        </w:tc>
        <w:tc>
          <w:tcPr>
            <w:tcW w:type="dxa" w:w="1850"/>
            <w:vAlign w:val="center"/>
          </w:tcPr>
          <w:p>
            <w:pPr>
              <w:spacing w:after="0" w:line="252" w:lineRule="auto"/>
            </w:pPr>
            <w:r>
              <w:rPr>
                <w:sz w:val="16"/>
              </w:rPr>
              <w:t>Medicalisation</w:t>
            </w:r>
          </w:p>
        </w:tc>
        <w:tc>
          <w:tcPr>
            <w:tcW w:type="dxa" w:w="1610"/>
            <w:vAlign w:val="center"/>
          </w:tcPr>
          <w:p>
            <w:pPr>
              <w:spacing w:after="0" w:line="252" w:lineRule="auto"/>
            </w:pPr>
            <w:r>
              <w:rPr>
                <w:sz w:val="16"/>
              </w:rPr>
              <w:t>Use in podcast/discourse paper; verify edition used</w:t>
            </w:r>
          </w:p>
        </w:tc>
      </w:tr>
      <w:tr>
        <w:tc>
          <w:tcPr>
            <w:tcW w:type="dxa" w:w="650"/>
            <w:vAlign w:val="center"/>
          </w:tcPr>
          <w:p>
            <w:pPr>
              <w:spacing w:after="0" w:line="252" w:lineRule="auto"/>
            </w:pPr>
            <w:r>
              <w:rPr>
                <w:sz w:val="16"/>
              </w:rPr>
              <w:t>F03</w:t>
            </w:r>
          </w:p>
        </w:tc>
        <w:tc>
          <w:tcPr>
            <w:tcW w:type="dxa" w:w="1600"/>
            <w:vAlign w:val="center"/>
          </w:tcPr>
          <w:p>
            <w:pPr>
              <w:spacing w:after="0" w:line="252" w:lineRule="auto"/>
            </w:pPr>
            <w:r>
              <w:rPr>
                <w:sz w:val="16"/>
              </w:rPr>
              <w:t>Foucault (1991)</w:t>
            </w:r>
          </w:p>
        </w:tc>
        <w:tc>
          <w:tcPr>
            <w:tcW w:type="dxa" w:w="3650"/>
            <w:vAlign w:val="center"/>
          </w:tcPr>
          <w:p>
            <w:pPr>
              <w:spacing w:after="0" w:line="252" w:lineRule="auto"/>
            </w:pPr>
            <w:r>
              <w:rPr>
                <w:sz w:val="16"/>
              </w:rPr>
              <w:t>Governmentality</w:t>
            </w:r>
          </w:p>
        </w:tc>
        <w:tc>
          <w:tcPr>
            <w:tcW w:type="dxa" w:w="1850"/>
            <w:vAlign w:val="center"/>
          </w:tcPr>
          <w:p>
            <w:pPr>
              <w:spacing w:after="0" w:line="252" w:lineRule="auto"/>
            </w:pPr>
            <w:r>
              <w:rPr>
                <w:sz w:val="16"/>
              </w:rPr>
              <w:t>Governmentality and subject formation</w:t>
            </w:r>
          </w:p>
        </w:tc>
        <w:tc>
          <w:tcPr>
            <w:tcW w:type="dxa" w:w="1610"/>
            <w:vAlign w:val="center"/>
          </w:tcPr>
          <w:p>
            <w:pPr>
              <w:spacing w:after="0" w:line="252" w:lineRule="auto"/>
            </w:pPr>
            <w:r>
              <w:rPr>
                <w:sz w:val="16"/>
              </w:rPr>
              <w:t>Use for optimisation/responsibilisation analysis; verify chapter pagination</w:t>
            </w:r>
          </w:p>
        </w:tc>
      </w:tr>
      <w:tr>
        <w:tc>
          <w:tcPr>
            <w:tcW w:type="dxa" w:w="650"/>
            <w:vAlign w:val="center"/>
          </w:tcPr>
          <w:p>
            <w:pPr>
              <w:spacing w:after="0" w:line="252" w:lineRule="auto"/>
            </w:pPr>
            <w:r>
              <w:rPr>
                <w:sz w:val="16"/>
              </w:rPr>
              <w:t>F04</w:t>
            </w:r>
          </w:p>
        </w:tc>
        <w:tc>
          <w:tcPr>
            <w:tcW w:type="dxa" w:w="1600"/>
            <w:vAlign w:val="center"/>
          </w:tcPr>
          <w:p>
            <w:pPr>
              <w:spacing w:after="0" w:line="252" w:lineRule="auto"/>
            </w:pPr>
            <w:r>
              <w:rPr>
                <w:sz w:val="16"/>
              </w:rPr>
              <w:t>Entman (1993)</w:t>
            </w:r>
          </w:p>
        </w:tc>
        <w:tc>
          <w:tcPr>
            <w:tcW w:type="dxa" w:w="3650"/>
            <w:vAlign w:val="center"/>
          </w:tcPr>
          <w:p>
            <w:pPr>
              <w:spacing w:after="0" w:line="252" w:lineRule="auto"/>
            </w:pPr>
            <w:r>
              <w:rPr>
                <w:sz w:val="16"/>
              </w:rPr>
              <w:t>Framing: Toward clarification of a fractured paradigm</w:t>
            </w:r>
          </w:p>
        </w:tc>
        <w:tc>
          <w:tcPr>
            <w:tcW w:type="dxa" w:w="1850"/>
            <w:vAlign w:val="center"/>
          </w:tcPr>
          <w:p>
            <w:pPr>
              <w:spacing w:after="0" w:line="252" w:lineRule="auto"/>
            </w:pPr>
            <w:r>
              <w:rPr>
                <w:sz w:val="16"/>
              </w:rPr>
              <w:t>Framing method</w:t>
            </w:r>
          </w:p>
        </w:tc>
        <w:tc>
          <w:tcPr>
            <w:tcW w:type="dxa" w:w="1610"/>
            <w:vAlign w:val="center"/>
          </w:tcPr>
          <w:p>
            <w:pPr>
              <w:spacing w:after="0" w:line="252" w:lineRule="auto"/>
            </w:pPr>
            <w:r>
              <w:rPr>
                <w:sz w:val="16"/>
              </w:rPr>
              <w:t>Use in discourse/coding framework; verify extraction</w:t>
            </w:r>
          </w:p>
        </w:tc>
      </w:tr>
      <w:tr>
        <w:tc>
          <w:tcPr>
            <w:tcW w:type="dxa" w:w="650"/>
            <w:vAlign w:val="center"/>
          </w:tcPr>
          <w:p>
            <w:pPr>
              <w:spacing w:after="0" w:line="252" w:lineRule="auto"/>
            </w:pPr>
            <w:r>
              <w:rPr>
                <w:sz w:val="16"/>
              </w:rPr>
              <w:t>L01</w:t>
            </w:r>
          </w:p>
        </w:tc>
        <w:tc>
          <w:tcPr>
            <w:tcW w:type="dxa" w:w="1600"/>
            <w:vAlign w:val="center"/>
          </w:tcPr>
          <w:p>
            <w:pPr>
              <w:spacing w:after="0" w:line="252" w:lineRule="auto"/>
            </w:pPr>
            <w:r>
              <w:rPr>
                <w:sz w:val="16"/>
              </w:rPr>
              <w:t>Local DCLO project (2026)</w:t>
            </w:r>
          </w:p>
        </w:tc>
        <w:tc>
          <w:tcPr>
            <w:tcW w:type="dxa" w:w="3650"/>
            <w:vAlign w:val="center"/>
          </w:tcPr>
          <w:p>
            <w:pPr>
              <w:spacing w:after="0" w:line="252" w:lineRule="auto"/>
            </w:pPr>
            <w:r>
              <w:rPr>
                <w:sz w:val="16"/>
              </w:rPr>
              <w:t>India open-data / PowerBI DCLO indicator mapping, governance notes, and secondary-data causal panel work</w:t>
            </w:r>
          </w:p>
        </w:tc>
        <w:tc>
          <w:tcPr>
            <w:tcW w:type="dxa" w:w="1850"/>
            <w:vAlign w:val="center"/>
          </w:tcPr>
          <w:p>
            <w:pPr>
              <w:spacing w:after="0" w:line="252" w:lineRule="auto"/>
            </w:pPr>
            <w:r>
              <w:rPr>
                <w:sz w:val="16"/>
              </w:rPr>
              <w:t>Local PhD evidence base</w:t>
            </w:r>
          </w:p>
        </w:tc>
        <w:tc>
          <w:tcPr>
            <w:tcW w:type="dxa" w:w="1610"/>
            <w:vAlign w:val="center"/>
          </w:tcPr>
          <w:p>
            <w:pPr>
              <w:spacing w:after="0" w:line="252" w:lineRule="auto"/>
            </w:pPr>
            <w:r>
              <w:rPr>
                <w:sz w:val="16"/>
              </w:rPr>
              <w:t>Use as local empirical backbone; needs leakage-safe re-estimation before thesis chapter</w:t>
            </w:r>
          </w:p>
        </w:tc>
      </w:tr>
      <w:tr>
        <w:tc>
          <w:tcPr>
            <w:tcW w:type="dxa" w:w="650"/>
            <w:vAlign w:val="center"/>
          </w:tcPr>
          <w:p>
            <w:pPr>
              <w:spacing w:after="0" w:line="252" w:lineRule="auto"/>
            </w:pPr>
            <w:r>
              <w:rPr>
                <w:sz w:val="16"/>
              </w:rPr>
              <w:t>L02</w:t>
            </w:r>
          </w:p>
        </w:tc>
        <w:tc>
          <w:tcPr>
            <w:tcW w:type="dxa" w:w="1600"/>
            <w:vAlign w:val="center"/>
          </w:tcPr>
          <w:p>
            <w:pPr>
              <w:spacing w:after="0" w:line="252" w:lineRule="auto"/>
            </w:pPr>
            <w:r>
              <w:rPr>
                <w:sz w:val="16"/>
              </w:rPr>
              <w:t>Local podcast-discourse-lab (2026)</w:t>
            </w:r>
          </w:p>
        </w:tc>
        <w:tc>
          <w:tcPr>
            <w:tcW w:type="dxa" w:w="3650"/>
            <w:vAlign w:val="center"/>
          </w:tcPr>
          <w:p>
            <w:pPr>
              <w:spacing w:after="0" w:line="252" w:lineRule="auto"/>
            </w:pPr>
            <w:r>
              <w:rPr>
                <w:sz w:val="16"/>
              </w:rPr>
              <w:t>ADHD podcast discourse corpus: 704 shows, 96,306 episodes, 448 transcripts, 7,367 segments, 284 coded segments, 852 codings</w:t>
            </w:r>
          </w:p>
        </w:tc>
        <w:tc>
          <w:tcPr>
            <w:tcW w:type="dxa" w:w="1850"/>
            <w:vAlign w:val="center"/>
          </w:tcPr>
          <w:p>
            <w:pPr>
              <w:spacing w:after="0" w:line="252" w:lineRule="auto"/>
            </w:pPr>
            <w:r>
              <w:rPr>
                <w:sz w:val="16"/>
              </w:rPr>
              <w:t>Platform-mediated self-understanding</w:t>
            </w:r>
          </w:p>
        </w:tc>
        <w:tc>
          <w:tcPr>
            <w:tcW w:type="dxa" w:w="1610"/>
            <w:vAlign w:val="center"/>
          </w:tcPr>
          <w:p>
            <w:pPr>
              <w:spacing w:after="0" w:line="252" w:lineRule="auto"/>
            </w:pPr>
            <w:r>
              <w:rPr>
                <w:sz w:val="16"/>
              </w:rPr>
              <w:t>Use as podcast-first empirical chapter; add transcript-stratum sensitivity and human co-coding</w:t>
            </w:r>
          </w:p>
        </w:tc>
      </w:tr>
      <w:tr>
        <w:tc>
          <w:tcPr>
            <w:tcW w:type="dxa" w:w="650"/>
            <w:vAlign w:val="center"/>
          </w:tcPr>
          <w:p>
            <w:pPr>
              <w:spacing w:after="0" w:line="252" w:lineRule="auto"/>
            </w:pPr>
            <w:r>
              <w:rPr>
                <w:sz w:val="16"/>
              </w:rPr>
              <w:t>L03</w:t>
            </w:r>
          </w:p>
        </w:tc>
        <w:tc>
          <w:tcPr>
            <w:tcW w:type="dxa" w:w="1600"/>
            <w:vAlign w:val="center"/>
          </w:tcPr>
          <w:p>
            <w:pPr>
              <w:spacing w:after="0" w:line="252" w:lineRule="auto"/>
            </w:pPr>
            <w:r>
              <w:rPr>
                <w:sz w:val="16"/>
              </w:rPr>
              <w:t>Local UN80/ITU mandate-overlap project (2026)</w:t>
            </w:r>
          </w:p>
        </w:tc>
        <w:tc>
          <w:tcPr>
            <w:tcW w:type="dxa" w:w="3650"/>
            <w:vAlign w:val="center"/>
          </w:tcPr>
          <w:p>
            <w:pPr>
              <w:spacing w:after="0" w:line="252" w:lineRule="auto"/>
            </w:pPr>
            <w:r>
              <w:rPr>
                <w:sz w:val="16"/>
              </w:rPr>
              <w:t>Top-30 YouTube video transcript work across UN agency channels and mandate-overlap analysis for digital language-conferencing and Action 61/62 governance evidence</w:t>
            </w:r>
          </w:p>
        </w:tc>
        <w:tc>
          <w:tcPr>
            <w:tcW w:type="dxa" w:w="1850"/>
            <w:vAlign w:val="center"/>
          </w:tcPr>
          <w:p>
            <w:pPr>
              <w:spacing w:after="0" w:line="252" w:lineRule="auto"/>
            </w:pPr>
            <w:r>
              <w:rPr>
                <w:sz w:val="16"/>
              </w:rPr>
              <w:t>DPI/DPG governance and institutional coordination</w:t>
            </w:r>
          </w:p>
        </w:tc>
        <w:tc>
          <w:tcPr>
            <w:tcW w:type="dxa" w:w="1610"/>
            <w:vAlign w:val="center"/>
          </w:tcPr>
          <w:p>
            <w:pPr>
              <w:spacing w:after="0" w:line="252" w:lineRule="auto"/>
            </w:pPr>
            <w:r>
              <w:rPr>
                <w:sz w:val="16"/>
              </w:rPr>
              <w:t>Use as Paper 3 governance evidence; recover or rebuild the all-agency top-30 YouTube transcript dataset if missing</w:t>
            </w:r>
          </w:p>
        </w:tc>
      </w:tr>
      <w:tr>
        <w:tc>
          <w:tcPr>
            <w:tcW w:type="dxa" w:w="650"/>
            <w:vAlign w:val="center"/>
          </w:tcPr>
          <w:p>
            <w:pPr>
              <w:spacing w:after="0" w:line="252" w:lineRule="auto"/>
            </w:pPr>
            <w:r>
              <w:rPr>
                <w:sz w:val="16"/>
              </w:rPr>
              <w:t>L04</w:t>
            </w:r>
          </w:p>
        </w:tc>
        <w:tc>
          <w:tcPr>
            <w:tcW w:type="dxa" w:w="1600"/>
            <w:vAlign w:val="center"/>
          </w:tcPr>
          <w:p>
            <w:pPr>
              <w:spacing w:after="0" w:line="252" w:lineRule="auto"/>
            </w:pPr>
            <w:r>
              <w:rPr>
                <w:sz w:val="16"/>
              </w:rPr>
              <w:t>Local DPI PhD strategy note (2026)</w:t>
            </w:r>
          </w:p>
        </w:tc>
        <w:tc>
          <w:tcPr>
            <w:tcW w:type="dxa" w:w="3650"/>
            <w:vAlign w:val="center"/>
          </w:tcPr>
          <w:p>
            <w:pPr>
              <w:spacing w:after="0" w:line="252" w:lineRule="auto"/>
            </w:pPr>
            <w:r>
              <w:rPr>
                <w:sz w:val="16"/>
              </w:rPr>
              <w:t>DPI readiness framework with access, affordability, trust, sustainability, adoption, impact, Doughnut scores, and social/ecological outcome diagnostics</w:t>
            </w:r>
          </w:p>
        </w:tc>
        <w:tc>
          <w:tcPr>
            <w:tcW w:type="dxa" w:w="1850"/>
            <w:vAlign w:val="center"/>
          </w:tcPr>
          <w:p>
            <w:pPr>
              <w:spacing w:after="0" w:line="252" w:lineRule="auto"/>
            </w:pPr>
            <w:r>
              <w:rPr>
                <w:sz w:val="16"/>
              </w:rPr>
              <w:t>Local DCLO/DPI/Doughnut evidence base</w:t>
            </w:r>
          </w:p>
        </w:tc>
        <w:tc>
          <w:tcPr>
            <w:tcW w:type="dxa" w:w="1610"/>
            <w:vAlign w:val="center"/>
          </w:tcPr>
          <w:p>
            <w:pPr>
              <w:spacing w:after="0" w:line="252" w:lineRule="auto"/>
            </w:pPr>
            <w:r>
              <w:rPr>
                <w:sz w:val="16"/>
              </w:rPr>
              <w:t>Use as prior-work evidence that Doughnut-linked social/ecological outcomes were already part of the DPI diagnostics agenda</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36363"/>
        <w:sz w:val="18"/>
      </w:rPr>
      <w:t>DCLO PRISMA-aligned SLR package | Prepared 28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