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300"/>
        <w:jc w:val="center"/>
      </w:pPr>
      <w:r>
        <w:rPr>
          <w:b/>
          <w:bCs/>
          <w:color w:val="6B7280"/>
          <w:spacing w:val="40"/>
          <w:sz w:val="24"/>
          <w:szCs w:val="24"/>
        </w:rPr>
        <w:t xml:space="preserve">CONTENTOS</w:t>
      </w:r>
    </w:p>
    <w:p>
      <w:pPr>
        <w:spacing w:after="200"/>
        <w:jc w:val="center"/>
      </w:pPr>
      <w:r>
        <w:rPr>
          <w:b/>
          <w:bCs/>
          <w:color w:val="1B2A4A"/>
          <w:sz w:val="64"/>
          <w:szCs w:val="64"/>
        </w:rPr>
        <w:t xml:space="preserve">Autopilot Initiative</w:t>
      </w:r>
    </w:p>
    <w:p>
      <w:pPr>
        <w:spacing w:after="60"/>
        <w:jc w:val="center"/>
      </w:pPr>
      <w:r>
        <w:rPr>
          <w:color w:val="374151"/>
          <w:sz w:val="26"/>
          <w:szCs w:val="26"/>
        </w:rPr>
        <w:t xml:space="preserve">Competitive Intelligence on Native.no, Market Viability Assessment</w:t>
      </w:r>
    </w:p>
    <w:p>
      <w:pPr>
        <w:spacing w:after="900"/>
        <w:jc w:val="center"/>
      </w:pPr>
      <w:r>
        <w:rPr>
          <w:color w:val="374151"/>
          <w:sz w:val="26"/>
          <w:szCs w:val="26"/>
        </w:rPr>
        <w:t xml:space="preserve">&amp; Feature Innovation Brief</w:t>
      </w:r>
    </w:p>
    <w:p>
      <w:pPr>
        <w:pBdr>
          <w:top w:val="single" w:color="C7CDD6" w:sz="6" w:space="10"/>
        </w:pBdr>
        <w:spacing w:after="300"/>
        <w:jc w:val="center"/>
      </w:pPr>
      <w:r>
        <w:t xml:space="preserve"/>
      </w:r>
    </w:p>
    <w:p>
      <w:pPr>
        <w:spacing w:after="100"/>
        <w:jc w:val="center"/>
      </w:pPr>
      <w:r>
        <w:rPr>
          <w:b/>
          <w:bCs/>
          <w:color w:val="374151"/>
          <w:sz w:val="22"/>
          <w:szCs w:val="22"/>
        </w:rPr>
        <w:t xml:space="preserve">Prepared for TechPotato Software LLP — ContentOS</w:t>
      </w:r>
    </w:p>
    <w:p>
      <w:pPr>
        <w:spacing w:after="60"/>
        <w:jc w:val="center"/>
      </w:pPr>
      <w:r>
        <w:rPr>
          <w:color w:val="6B7280"/>
          <w:sz w:val="20"/>
          <w:szCs w:val="20"/>
        </w:rPr>
        <w:t xml:space="preserve">Strategic Research Brief · Version 1.0 · September 7, 2026</w:t>
      </w:r>
    </w:p>
    <w:p>
      <w:pPr>
        <w:jc w:val="center"/>
      </w:pPr>
      <w:r>
        <w:rPr>
          <w:i/>
          <w:iCs/>
          <w:color w:val="6B7280"/>
          <w:sz w:val="18"/>
          <w:szCs w:val="18"/>
        </w:rPr>
        <w:t xml:space="preserve">Classification: Internal — Founder Reference</w:t>
      </w:r>
    </w:p>
    <w:p>
      <w:r>
        <w:br w:type="page"/>
      </w:r>
    </w:p>
    <w:p>
      <w:pPr>
        <w:pStyle w:val="Heading1"/>
      </w:pPr>
      <w:r>
        <w:t xml:space="preserve">Contents</w:t>
      </w:r>
    </w:p>
    <w:p>
      <w:pPr>
        <w:spacing w:after="140"/>
      </w:pPr>
      <w:r>
        <w:rPr>
          <w:color w:val="1B2A4A"/>
          <w:sz w:val="23"/>
          <w:szCs w:val="23"/>
        </w:rPr>
        <w:t xml:space="preserve">1. Executive Summary</w:t>
      </w:r>
    </w:p>
    <w:p>
      <w:pPr>
        <w:spacing w:after="140"/>
      </w:pPr>
      <w:r>
        <w:rPr>
          <w:color w:val="1B2A4A"/>
          <w:sz w:val="23"/>
          <w:szCs w:val="23"/>
        </w:rPr>
        <w:t xml:space="preserve">2. Native.no — Company &amp; Product Deep Dive</w:t>
      </w:r>
    </w:p>
    <w:p>
      <w:pPr>
        <w:spacing w:after="140"/>
      </w:pPr>
      <w:r>
        <w:rPr>
          <w:color w:val="1B2A4A"/>
          <w:sz w:val="23"/>
          <w:szCs w:val="23"/>
        </w:rPr>
        <w:t xml:space="preserve">3. Market Viability Assessment (TAM / SAM / Valuation)</w:t>
      </w:r>
    </w:p>
    <w:p>
      <w:pPr>
        <w:spacing w:after="140"/>
      </w:pPr>
      <w:r>
        <w:rPr>
          <w:color w:val="1B2A4A"/>
          <w:sz w:val="23"/>
          <w:szCs w:val="23"/>
        </w:rPr>
        <w:t xml:space="preserve">4. Competitive Landscape</w:t>
      </w:r>
    </w:p>
    <w:p>
      <w:pPr>
        <w:spacing w:after="140"/>
      </w:pPr>
      <w:r>
        <w:rPr>
          <w:color w:val="1B2A4A"/>
          <w:sz w:val="23"/>
          <w:szCs w:val="23"/>
        </w:rPr>
        <w:t xml:space="preserve">5. Strategic Fit Analysis for ContentOS</w:t>
      </w:r>
    </w:p>
    <w:p>
      <w:pPr>
        <w:spacing w:after="140"/>
      </w:pPr>
      <w:r>
        <w:rPr>
          <w:color w:val="1B2A4A"/>
          <w:sz w:val="23"/>
          <w:szCs w:val="23"/>
        </w:rPr>
        <w:t xml:space="preserve">6. Recommended Feature Set — "ContentOS Autopilot"</w:t>
      </w:r>
    </w:p>
    <w:p>
      <w:pPr>
        <w:spacing w:after="140"/>
      </w:pPr>
      <w:r>
        <w:rPr>
          <w:color w:val="1B2A4A"/>
          <w:sz w:val="23"/>
          <w:szCs w:val="23"/>
        </w:rPr>
        <w:t xml:space="preserve">7. Moat Analysis — What to Adopt vs. What to Build Fresh</w:t>
      </w:r>
    </w:p>
    <w:p>
      <w:pPr>
        <w:spacing w:after="140"/>
      </w:pPr>
      <w:r>
        <w:rPr>
          <w:color w:val="1B2A4A"/>
          <w:sz w:val="23"/>
          <w:szCs w:val="23"/>
        </w:rPr>
        <w:t xml:space="preserve">8. Risks &amp; Considerations</w:t>
      </w:r>
    </w:p>
    <w:p>
      <w:pPr>
        <w:spacing w:after="140"/>
      </w:pPr>
      <w:r>
        <w:rPr>
          <w:color w:val="1B2A4A"/>
          <w:sz w:val="23"/>
          <w:szCs w:val="23"/>
        </w:rPr>
        <w:t xml:space="preserve">9. Recommendation &amp; Roadmap Placement</w:t>
      </w:r>
    </w:p>
    <w:p>
      <w:pPr>
        <w:spacing w:after="140"/>
      </w:pPr>
      <w:r>
        <w:rPr>
          <w:color w:val="1B2A4A"/>
          <w:sz w:val="23"/>
          <w:szCs w:val="23"/>
        </w:rPr>
        <w:t xml:space="preserve">10. Sources</w:t>
      </w:r>
    </w:p>
    <w:p>
      <w:pPr>
        <w:spacing w:after="300"/>
      </w:pPr>
    </w:p>
    <w:p>
      <w:pPr>
        <w:spacing w:after="200"/>
      </w:pPr>
      <w:r>
        <w:rPr>
          <w:i/>
          <w:iCs/>
          <w:color w:val="6B7280"/>
          <w:sz w:val="17"/>
          <w:szCs w:val="17"/>
        </w:rPr>
        <w:t xml:space="preserve">Research conducted September 7, 2026. All Native.no figures are drawn from the company's public website, careers page, terms of service, and third-party financial databases (PitchBook) as of that date; product details or pricing may change. Market-size figures are drawn from multiple independent research firms and are presented as ranges, not single-point facts, per standard practice for TAM estimates. Full source list in Section 10.</w:t>
      </w:r>
    </w:p>
    <w:p>
      <w:r>
        <w:br w:type="page"/>
      </w:r>
    </w:p>
    <w:p>
      <w:pPr>
        <w:pStyle w:val="Heading1"/>
      </w:pPr>
      <w:r>
        <w:t xml:space="preserve">1. Executive Summary</w:t>
      </w:r>
    </w:p>
    <w:p>
      <w:pPr>
        <w:spacing w:after="160" w:line="300"/>
      </w:pPr>
      <w:r>
        <w:rPr>
          <w:color w:val="374151"/>
          <w:sz w:val="21"/>
          <w:szCs w:val="21"/>
        </w:rPr>
        <w:t xml:space="preserve">Native.no is a Norway-based, venture-backed startup that publicly launched in January 2026, positioning itself as "the first autonomous AI for social media." A business connects its website and channels; Native's system researches the business, its industry and its competitors, drafts a content plan, generates platform-specific posts, and — after a swipe-to-approve step or on full autopilot — publishes them, with an ads module now layered on top. It is a narrow, well-executed product: organic content plus paid social for solo operators and small businesses, priced at $79–$499 per month.</w:t>
      </w:r>
    </w:p>
    <w:p>
      <w:pPr>
        <w:spacing w:after="160" w:line="300"/>
      </w:pPr>
      <w:r>
        <w:rPr>
          <w:b/>
          <w:bCs/>
          <w:color w:val="374151"/>
          <w:sz w:val="21"/>
          <w:szCs w:val="21"/>
        </w:rPr>
        <w:t xml:space="preserve">Bottom line: </w:t>
      </w:r>
      <w:r>
        <w:rPr>
          <w:color w:val="374151"/>
          <w:sz w:val="21"/>
          <w:szCs w:val="21"/>
        </w:rPr>
        <w:t xml:space="preserve">Native.no validates that this category is fundable and that small businesses will pay for it, but it does not introduce technology ContentOS lacks access to. Its content is generated by the same class of frontier models ContentOS already plans to use, and its actual moat is a behavioral-data flywheel that is only a few months old. This is a closable gap, not a walled garden.</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106"/>
      </w:tblGrid>
      <w:tr>
        <w:tc>
          <w:tcPr>
            <w:tcW w:type="dxa" w:w="10106"/>
            <w:tcBorders>
              <w:top w:val="single" w:color="EEF2F6" w:sz="2"/>
              <w:left w:val="single" w:color="0F766E" w:sz="24"/>
              <w:bottom w:val="single" w:color="EEF2F6" w:sz="2"/>
              <w:right w:val="single" w:color="EEF2F6" w:sz="2"/>
            </w:tcBorders>
            <w:shd w:fill="EEF2F6" w:color="auto" w:val="clear"/>
            <w:tcMar>
              <w:top w:type="dxa" w:w="160"/>
              <w:left w:type="dxa" w:w="240"/>
              <w:bottom w:type="dxa" w:w="160"/>
              <w:right w:type="dxa" w:w="240"/>
            </w:tcMar>
          </w:tcPr>
          <w:p>
            <w:pPr>
              <w:spacing w:after="60"/>
            </w:pPr>
            <w:r>
              <w:rPr>
                <w:b/>
                <w:bCs/>
                <w:color w:val="0F766E"/>
                <w:sz w:val="17"/>
                <w:szCs w:val="17"/>
              </w:rPr>
              <w:t xml:space="preserve">VERDICT</w:t>
            </w:r>
          </w:p>
          <w:p>
            <w:r>
              <w:rPr>
                <w:i/>
                <w:iCs/>
                <w:color w:val="1B2A4A"/>
                <w:sz w:val="21"/>
                <w:szCs w:val="21"/>
              </w:rPr>
              <w:t xml:space="preserve">Recommendation: build a lightweight, self-serve "ContentOS Autopilot" tier that reuses existing content-generation and publishing infrastructure, aimed at the India MSME / solo-operator segment Native.no's model targets globally — as an addition to the enterprise governance roadmap already in motion, not a replacement for it.</w:t>
            </w:r>
          </w:p>
        </w:tc>
      </w:tr>
    </w:tbl>
    <w:p>
      <w:pPr>
        <w:spacing w:after="120"/>
      </w:pPr>
    </w:p>
    <w:p>
      <w:pPr>
        <w:pStyle w:val="Heading2"/>
      </w:pPr>
      <w:r>
        <w:t xml:space="preserve">Top takeaways</w:t>
      </w:r>
    </w:p>
    <w:p>
      <w:pPr>
        <w:pStyle w:val="ListParagraph"/>
        <w:numPr>
          <w:ilvl w:val="0"/>
          <w:numId w:val="2"/>
        </w:numPr>
        <w:spacing w:after="90" w:line="290"/>
      </w:pPr>
      <w:r>
        <w:rPr>
          <w:color w:val="374151"/>
          <w:sz w:val="21"/>
          <w:szCs w:val="21"/>
        </w:rPr>
        <w:t xml:space="preserve">Native.no's real defensibility is a proprietary prediction layer ("Norn") trained on accept/edit/reject behaviour, brand archetype, social performance and trending data — not the generative AI itself, which it openly rents from Claude, Gemini and Google's image models.</w:t>
      </w:r>
    </w:p>
    <w:p>
      <w:pPr>
        <w:pStyle w:val="ListParagraph"/>
        <w:numPr>
          <w:ilvl w:val="0"/>
          <w:numId w:val="2"/>
        </w:numPr>
        <w:spacing w:after="90" w:line="290"/>
      </w:pPr>
      <w:r>
        <w:rPr>
          <w:color w:val="374151"/>
          <w:sz w:val="21"/>
          <w:szCs w:val="21"/>
        </w:rPr>
        <w:t xml:space="preserve">ContentOS's planned lifecycle (Research → Create → Publish → Distribute → Analyze) and its 10-Lambda AWS architecture already cover most of what a Native-style feature needs; this is closer to a new packaging tier than a new product.</w:t>
      </w:r>
    </w:p>
    <w:p>
      <w:pPr>
        <w:pStyle w:val="ListParagraph"/>
        <w:numPr>
          <w:ilvl w:val="0"/>
          <w:numId w:val="2"/>
        </w:numPr>
        <w:spacing w:after="90" w:line="290"/>
      </w:pPr>
      <w:r>
        <w:rPr>
          <w:color w:val="374151"/>
          <w:sz w:val="21"/>
          <w:szCs w:val="21"/>
        </w:rPr>
        <w:t xml:space="preserve">Native.no's buyer is a solo operator who wants zero-touch autopilot; ContentOS's current roadmap is built for B2B/enterprise governance buyers who want approval workflows and audit trails. These are adjacent, not overlapping, ICPs — building this expands TAM rather than diluting focus.</w:t>
      </w:r>
    </w:p>
    <w:p>
      <w:pPr>
        <w:pStyle w:val="ListParagraph"/>
        <w:numPr>
          <w:ilvl w:val="0"/>
          <w:numId w:val="2"/>
        </w:numPr>
        <w:spacing w:after="90" w:line="290"/>
      </w:pPr>
      <w:r>
        <w:rPr>
          <w:color w:val="374151"/>
          <w:sz w:val="21"/>
          <w:szCs w:val="21"/>
        </w:rPr>
        <w:t xml:space="preserve">Native.no itself has no market cap — it is a private, seed-stage company (disclosed seed of $541K in March 2024; a self-reported pre-launch valuation of roughly NOK 35 million, about USD 3.2–3.3 million, in January 2026). The number worth planning against is category TAM, not competitor size.</w:t>
      </w:r>
    </w:p>
    <w:p>
      <w:pPr>
        <w:pStyle w:val="ListParagraph"/>
        <w:numPr>
          <w:ilvl w:val="0"/>
          <w:numId w:val="2"/>
        </w:numPr>
        <w:spacing w:after="90" w:line="290"/>
      </w:pPr>
      <w:r>
        <w:rPr>
          <w:color w:val="374151"/>
          <w:sz w:val="21"/>
          <w:szCs w:val="21"/>
        </w:rPr>
        <w:t xml:space="preserve">The single biggest whitespace Native.no leaves open is India itself: no visible multilingual content, no festival/regional-calendar awareness, no WhatsApp-first design, no UPI billing — all of which ContentOS is already positioned to own.</w:t>
      </w:r>
    </w:p>
    <w:p>
      <w:r>
        <w:br w:type="page"/>
      </w:r>
    </w:p>
    <w:p>
      <w:pPr>
        <w:pStyle w:val="Heading1"/>
      </w:pPr>
      <w:r>
        <w:t xml:space="preserve">2. Native.no — Company &amp; Product Deep Dive</w:t>
      </w:r>
    </w:p>
    <w:p>
      <w:pPr>
        <w:pStyle w:val="Heading2"/>
      </w:pPr>
      <w:r>
        <w:t xml:space="preserve">2.1 Company Snapshot</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706"/>
      </w:tblGrid>
      <w:tr>
        <w:trPr>
          <w:tblHeader/>
        </w:trPr>
        <w:tc>
          <w:tcPr>
            <w:tcW w:type="dxa" w:w="2400"/>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Field</w:t>
            </w:r>
          </w:p>
        </w:tc>
        <w:tc>
          <w:tcPr>
            <w:tcW w:type="dxa" w:w="7706"/>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Detail</w:t>
            </w:r>
          </w:p>
        </w:tc>
      </w:tr>
      <w:tr>
        <w:tc>
          <w:tcPr>
            <w:tcW w:type="dxa" w:w="24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Legal entity</w:t>
            </w:r>
          </w:p>
        </w:tc>
        <w:tc>
          <w:tcPr>
            <w:tcW w:type="dxa" w:w="7706"/>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Native AS, a Norwegian limited company (VAT NO930324787)</w:t>
            </w:r>
          </w:p>
        </w:tc>
      </w:tr>
      <w:tr>
        <w:tc>
          <w:tcPr>
            <w:tcW w:type="dxa" w:w="24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Headquarters</w:t>
            </w:r>
          </w:p>
        </w:tc>
        <w:tc>
          <w:tcPr>
            <w:tcW w:type="dxa" w:w="7706"/>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Møllergata 6, 0155 Oslo, Norway — plus a San Francisco office (2 Marina Blvd B300, CA 94123)</w:t>
            </w:r>
          </w:p>
        </w:tc>
      </w:tr>
      <w:tr>
        <w:tc>
          <w:tcPr>
            <w:tcW w:type="dxa" w:w="24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Founded / launched</w:t>
            </w:r>
          </w:p>
        </w:tc>
        <w:tc>
          <w:tcPr>
            <w:tcW w:type="dxa" w:w="7706"/>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Founded 2022; product publicly launched January 2026</w:t>
            </w:r>
          </w:p>
        </w:tc>
      </w:tr>
      <w:tr>
        <w:tc>
          <w:tcPr>
            <w:tcW w:type="dxa" w:w="24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Founding team</w:t>
            </w:r>
          </w:p>
        </w:tc>
        <w:tc>
          <w:tcPr>
            <w:tcW w:type="dxa" w:w="7706"/>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Built by the team behind an earlier product, Wepost</w:t>
            </w:r>
          </w:p>
        </w:tc>
      </w:tr>
      <w:tr>
        <w:tc>
          <w:tcPr>
            <w:tcW w:type="dxa" w:w="24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Team size</w:t>
            </w:r>
          </w:p>
        </w:tc>
        <w:tc>
          <w:tcPr>
            <w:tcW w:type="dxa" w:w="7706"/>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Approximately 5 employees at last disclosed count (PitchBook, 2024); actively hiring founding/AI engineering roles as of this research</w:t>
            </w:r>
          </w:p>
        </w:tc>
      </w:tr>
      <w:tr>
        <w:tc>
          <w:tcPr>
            <w:tcW w:type="dxa" w:w="24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Funding</w:t>
            </w:r>
          </w:p>
        </w:tc>
        <w:tc>
          <w:tcPr>
            <w:tcW w:type="dxa" w:w="7706"/>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Seed round of $541K disclosed 8-Mar-2024 (PitchBook); a self-reported pre-launch valuation of roughly NOK 35 million (~USD 3.2–3.3M) as of January 2026</w:t>
            </w:r>
          </w:p>
        </w:tc>
      </w:tr>
      <w:tr>
        <w:tc>
          <w:tcPr>
            <w:tcW w:type="dxa" w:w="24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Backers</w:t>
            </w:r>
          </w:p>
        </w:tc>
        <w:tc>
          <w:tcPr>
            <w:tcW w:type="dxa" w:w="7706"/>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a16z Scout Fund, plus angel investors affiliated with a16z, Anthropic, Microsoft, Amplitude, reMarkable, Cognite, Riff.ai and Strise</w:t>
            </w:r>
          </w:p>
        </w:tc>
      </w:tr>
      <w:tr>
        <w:tc>
          <w:tcPr>
            <w:tcW w:type="dxa" w:w="24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Press coverage</w:t>
            </w:r>
          </w:p>
        </w:tc>
        <w:tc>
          <w:tcPr>
            <w:tcW w:type="dxa" w:w="7706"/>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Dagens Næringsliv (DN), Kampanje and Dine Penger around its January 2026 launch</w:t>
            </w:r>
          </w:p>
        </w:tc>
      </w:tr>
      <w:tr>
        <w:tc>
          <w:tcPr>
            <w:tcW w:type="dxa" w:w="24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Ownership status</w:t>
            </w:r>
          </w:p>
        </w:tc>
        <w:tc>
          <w:tcPr>
            <w:tcW w:type="dxa" w:w="7706"/>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Privately held, venture-backed — no public market capitalisation exists</w:t>
            </w:r>
          </w:p>
        </w:tc>
      </w:tr>
    </w:tbl>
    <w:p>
      <w:pPr>
        <w:spacing w:after="80"/>
      </w:pPr>
    </w:p>
    <w:p>
      <w:pPr>
        <w:pStyle w:val="Heading2"/>
      </w:pPr>
      <w:r>
        <w:t xml:space="preserve">2.2 Core Product Workflow</w:t>
      </w:r>
    </w:p>
    <w:p>
      <w:pPr>
        <w:spacing w:after="160" w:line="300"/>
      </w:pPr>
      <w:r>
        <w:rPr>
          <w:color w:val="374151"/>
          <w:sz w:val="21"/>
          <w:szCs w:val="21"/>
        </w:rPr>
        <w:t xml:space="preserve">The product is built around a four-step loop that is deliberately friction-free at every stage:</w:t>
      </w:r>
    </w:p>
    <w:p>
      <w:pPr>
        <w:pStyle w:val="ListParagraph"/>
        <w:numPr>
          <w:ilvl w:val="0"/>
          <w:numId w:val="2"/>
        </w:numPr>
        <w:spacing w:after="90" w:line="290"/>
      </w:pPr>
      <w:r>
        <w:rPr>
          <w:color w:val="374151"/>
          <w:sz w:val="21"/>
          <w:szCs w:val="21"/>
        </w:rPr>
        <w:t xml:space="preserve">Add your website — the only required input is a URL. There is no onboarding form, questionnaire, or blank canvas.</w:t>
      </w:r>
    </w:p>
    <w:p>
      <w:pPr>
        <w:pStyle w:val="ListParagraph"/>
        <w:numPr>
          <w:ilvl w:val="0"/>
          <w:numId w:val="2"/>
        </w:numPr>
        <w:spacing w:after="90" w:line="290"/>
      </w:pPr>
      <w:r>
        <w:rPr>
          <w:color w:val="374151"/>
          <w:sz w:val="21"/>
          <w:szCs w:val="21"/>
        </w:rPr>
        <w:t xml:space="preserve">Autonomous research &amp; content plan — the system reads the site, maps the industry, identifies named competitors, profiles the likely audience, extracts a "brand DNA" (tone, archetype, visual style) and produces a tailored content calendar, all before the user does anything else.</w:t>
      </w:r>
    </w:p>
    <w:p>
      <w:pPr>
        <w:pStyle w:val="ListParagraph"/>
        <w:numPr>
          <w:ilvl w:val="0"/>
          <w:numId w:val="2"/>
        </w:numPr>
        <w:spacing w:after="90" w:line="290"/>
      </w:pPr>
      <w:r>
        <w:rPr>
          <w:color w:val="374151"/>
          <w:sz w:val="21"/>
          <w:szCs w:val="21"/>
        </w:rPr>
        <w:t xml:space="preserve">Swipe-to-approve publishing — drafted posts appear as cards in a Tinder-style interface: swipe right to approve and queue for auto-publish, swipe left to skip. A separate "full autopilot" toggle removes the review step entirely for users who want it.</w:t>
      </w:r>
    </w:p>
    <w:p>
      <w:pPr>
        <w:pStyle w:val="ListParagraph"/>
        <w:numPr>
          <w:ilvl w:val="0"/>
          <w:numId w:val="2"/>
        </w:numPr>
        <w:spacing w:after="90" w:line="290"/>
      </w:pPr>
      <w:r>
        <w:rPr>
          <w:color w:val="374151"/>
          <w:sz w:val="21"/>
          <w:szCs w:val="21"/>
        </w:rPr>
        <w:t xml:space="preserve">Conversational refinement — instead of hand-editing or re-prompting, a user describes a change in plain language (e.g. "make it warmer") on any drafted post, and the system rewrites the caption and produces new image variations without leaving the flow.</w:t>
      </w:r>
    </w:p>
    <w:p>
      <w:pPr>
        <w:spacing w:after="80"/>
      </w:pPr>
    </w:p>
    <w:p>
      <w:pPr>
        <w:pStyle w:val="Heading2"/>
      </w:pPr>
      <w:r>
        <w:t xml:space="preserve">2.3 Full Feature Inventory</w:t>
      </w:r>
    </w:p>
    <w:p>
      <w:pPr>
        <w:spacing w:after="160" w:line="300"/>
      </w:pPr>
      <w:r>
        <w:rPr>
          <w:b/>
          <w:bCs/>
          <w:color w:val="374151"/>
          <w:sz w:val="21"/>
          <w:szCs w:val="21"/>
        </w:rPr>
        <w:t xml:space="preserve">Norn — the prediction layer. </w:t>
      </w:r>
      <w:r>
        <w:rPr>
          <w:color w:val="374151"/>
          <w:sz w:val="21"/>
          <w:szCs w:val="21"/>
        </w:rPr>
        <w:t xml:space="preserve">Native's one piece of proprietary modelling is not a generative model at all. Norn is described as a prediction model for human behaviour, trained on four signals: what users accept, edit or reject; brand archetype; social performance data; and trending/cultural data. Norn's output is not a finished post — it is "the idea," a structured brief handed to whichever downstream model is best suited to render it. Native's own engineering job listing names Claude Opus 4.5, Gemini 3 Pro and Google's "Nano Banana" image model as the actual renderers.</w:t>
      </w:r>
    </w:p>
    <w:p>
      <w:pPr>
        <w:spacing w:after="160" w:line="300"/>
      </w:pPr>
      <w:r>
        <w:rPr>
          <w:b/>
          <w:bCs/>
          <w:color w:val="374151"/>
          <w:sz w:val="21"/>
          <w:szCs w:val="21"/>
        </w:rPr>
        <w:t xml:space="preserve">Native Designer. </w:t>
      </w:r>
      <w:r>
        <w:rPr>
          <w:color w:val="374151"/>
          <w:sz w:val="21"/>
          <w:szCs w:val="21"/>
        </w:rPr>
        <w:t xml:space="preserve">A recently launched, layer-based post editor — add elements, remove backgrounds, adjust layers, or build a design manually — so a generated post is a starting point rather than a final, unmodifiable output.</w:t>
      </w:r>
    </w:p>
    <w:p>
      <w:pPr>
        <w:spacing w:after="160" w:line="300"/>
      </w:pPr>
      <w:r>
        <w:rPr>
          <w:b/>
          <w:bCs/>
          <w:color w:val="374151"/>
          <w:sz w:val="21"/>
          <w:szCs w:val="21"/>
        </w:rPr>
        <w:t xml:space="preserve">Native Ads. </w:t>
      </w:r>
      <w:r>
        <w:rPr>
          <w:color w:val="374151"/>
          <w:sz w:val="21"/>
          <w:szCs w:val="21"/>
        </w:rPr>
        <w:t xml:space="preserve">A budget-based ad module: the user sets a total spend, the system writes ad variants, launches them on Facebook and Instagram, and reallocates spend toward whichever variants perform best.</w:t>
      </w:r>
    </w:p>
    <w:p>
      <w:pPr>
        <w:spacing w:after="160" w:line="300"/>
      </w:pPr>
      <w:r>
        <w:rPr>
          <w:b/>
          <w:bCs/>
          <w:color w:val="374151"/>
          <w:sz w:val="21"/>
          <w:szCs w:val="21"/>
        </w:rPr>
        <w:t xml:space="preserve">Channel breadth. </w:t>
      </w:r>
      <w:r>
        <w:rPr>
          <w:color w:val="374151"/>
          <w:sz w:val="21"/>
          <w:szCs w:val="21"/>
        </w:rPr>
        <w:t xml:space="preserve">Organic — Facebook, Instagram (incl. Stories), LinkedIn, X, TikTok, YouTube, Threads, Bluesky, Reddit, Pinterest, Snapchat. Messaging — WhatsApp, Telegram, Discord, Slack. Paid — Facebook, Instagram, Google, LinkedIn, TikTok, Pinterest and X Ads, plus an early "ChatGPT Ads" listing that signals a forward bet on AI-answer-engine advertising. Beyond social — Google Business Profile, blog posts, and newsletters. Platform — a public MCP server and API, plus integrations with Canva, Shopify, Google Merchant Center and Google Drive.</w:t>
      </w:r>
    </w:p>
    <w:p>
      <w:pPr>
        <w:spacing w:after="160" w:line="300"/>
      </w:pPr>
      <w:r>
        <w:rPr>
          <w:b/>
          <w:bCs/>
          <w:color w:val="374151"/>
          <w:sz w:val="21"/>
          <w:szCs w:val="21"/>
        </w:rPr>
        <w:t xml:space="preserve">Data &amp; trust posture. </w:t>
      </w:r>
      <w:r>
        <w:rPr>
          <w:color w:val="374151"/>
          <w:sz w:val="21"/>
          <w:szCs w:val="21"/>
        </w:rPr>
        <w:t xml:space="preserve">Native markets its Norway HQ, use of Google Cloud, and an explicit "we do not train on your content" policy as trust signals in its FAQ. The one disclosed exception is aggregated, anonymised, opt-out-able acceptance-signal data used solely to train Norn.</w:t>
      </w:r>
    </w:p>
    <w:p>
      <w:pPr>
        <w:spacing w:after="80"/>
      </w:pPr>
    </w:p>
    <w:p>
      <w:pPr>
        <w:pStyle w:val="Heading2"/>
      </w:pPr>
      <w:r>
        <w:t xml:space="preserve">2.4 Pricing &amp; Packaging</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500"/>
        <w:gridCol w:w="3106"/>
        <w:gridCol w:w="4000"/>
      </w:tblGrid>
      <w:tr>
        <w:trPr>
          <w:tblHeader/>
        </w:trPr>
        <w:tc>
          <w:tcPr>
            <w:tcW w:type="dxa" w:w="1500"/>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Tier</w:t>
            </w:r>
          </w:p>
        </w:tc>
        <w:tc>
          <w:tcPr>
            <w:tcW w:type="dxa" w:w="1500"/>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Price / mo</w:t>
            </w:r>
          </w:p>
        </w:tc>
        <w:tc>
          <w:tcPr>
            <w:tcW w:type="dxa" w:w="3106"/>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Brands / Posts</w:t>
            </w:r>
          </w:p>
        </w:tc>
        <w:tc>
          <w:tcPr>
            <w:tcW w:type="dxa" w:w="4000"/>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Key inclusions</w:t>
            </w:r>
          </w:p>
        </w:tc>
      </w:tr>
      <w:tr>
        <w:tc>
          <w:tcPr>
            <w:tcW w:type="dxa" w:w="15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Pro</w:t>
            </w:r>
          </w:p>
        </w:tc>
        <w:tc>
          <w:tcPr>
            <w:tcW w:type="dxa" w:w="15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$79</w:t>
            </w:r>
          </w:p>
        </w:tc>
        <w:tc>
          <w:tcPr>
            <w:tcW w:type="dxa" w:w="3106"/>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1 brand · 50 posts (+$39/extra brand)</w:t>
            </w:r>
          </w:p>
        </w:tc>
        <w:tc>
          <w:tcPr>
            <w:tcW w:type="dxa" w:w="40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All channels; choice of approval mode or full autopilot; analytics</w:t>
            </w:r>
          </w:p>
        </w:tc>
      </w:tr>
      <w:tr>
        <w:tc>
          <w:tcPr>
            <w:tcW w:type="dxa" w:w="15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Max</w:t>
            </w:r>
          </w:p>
        </w:tc>
        <w:tc>
          <w:tcPr>
            <w:tcW w:type="dxa" w:w="15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$249</w:t>
            </w:r>
          </w:p>
        </w:tc>
        <w:tc>
          <w:tcPr>
            <w:tcW w:type="dxa" w:w="3106"/>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3 brands · 150 posts</w:t>
            </w:r>
          </w:p>
        </w:tc>
        <w:tc>
          <w:tcPr>
            <w:tcW w:type="dxa" w:w="40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5× AI usage; priority support; early access to new features</w:t>
            </w:r>
          </w:p>
        </w:tc>
      </w:tr>
      <w:tr>
        <w:tc>
          <w:tcPr>
            <w:tcW w:type="dxa" w:w="15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Agency</w:t>
            </w:r>
          </w:p>
        </w:tc>
        <w:tc>
          <w:tcPr>
            <w:tcW w:type="dxa" w:w="15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$499</w:t>
            </w:r>
          </w:p>
        </w:tc>
        <w:tc>
          <w:tcPr>
            <w:tcW w:type="dxa" w:w="3106"/>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10 client workspaces · ~500 posts</w:t>
            </w:r>
          </w:p>
        </w:tc>
        <w:tc>
          <w:tcPr>
            <w:tcW w:type="dxa" w:w="40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Each client keeps its own ad account; a named account manager; +$29/extra brand</w:t>
            </w:r>
          </w:p>
        </w:tc>
      </w:tr>
    </w:tbl>
    <w:p>
      <w:pPr>
        <w:spacing w:after="200"/>
      </w:pPr>
      <w:r>
        <w:rPr>
          <w:i/>
          <w:iCs/>
          <w:color w:val="6B7280"/>
          <w:sz w:val="17"/>
          <w:szCs w:val="17"/>
        </w:rPr>
        <w:t xml:space="preserve">A 20% discount applies to annual billing across tiers; custom/enterprise deals are available on request. Norway home-market pricing is quoted as NOK 799/month, consistent with the $79 figure above.</w:t>
      </w:r>
    </w:p>
    <w:p>
      <w:pPr>
        <w:spacing w:after="80"/>
      </w:pPr>
    </w:p>
    <w:p>
      <w:pPr>
        <w:pStyle w:val="Heading2"/>
      </w:pPr>
      <w:r>
        <w:t xml:space="preserve">2.5 Positioning &amp; Go-to-Market Messaging</w:t>
      </w:r>
    </w:p>
    <w:p>
      <w:pPr>
        <w:spacing w:after="160" w:line="300"/>
      </w:pPr>
      <w:r>
        <w:rPr>
          <w:color w:val="374151"/>
          <w:sz w:val="21"/>
          <w:szCs w:val="21"/>
        </w:rPr>
        <w:t xml:space="preserve">Native leads with a category claim — "the first autonomous AI for social media" — and backs it with a direct cost/effort comparison against the two alternatives a small business actually weighs: a retained agency, and an in-house hire.</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100"/>
        <w:gridCol w:w="2100"/>
        <w:gridCol w:w="2100"/>
        <w:gridCol w:w="2006"/>
      </w:tblGrid>
      <w:tr>
        <w:trPr>
          <w:tblHeader/>
        </w:trPr>
        <w:tc>
          <w:tcPr>
            <w:tcW w:type="dxa" w:w="1800"/>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Model</w:t>
            </w:r>
          </w:p>
        </w:tc>
        <w:tc>
          <w:tcPr>
            <w:tcW w:type="dxa" w:w="2100"/>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Monthly cost</w:t>
            </w:r>
          </w:p>
        </w:tc>
        <w:tc>
          <w:tcPr>
            <w:tcW w:type="dxa" w:w="2100"/>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Time to start</w:t>
            </w:r>
          </w:p>
        </w:tc>
        <w:tc>
          <w:tcPr>
            <w:tcW w:type="dxa" w:w="2100"/>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Administration</w:t>
            </w:r>
          </w:p>
        </w:tc>
        <w:tc>
          <w:tcPr>
            <w:tcW w:type="dxa" w:w="2006"/>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Commitment</w:t>
            </w:r>
          </w:p>
        </w:tc>
      </w:tr>
      <w:tr>
        <w:tc>
          <w:tcPr>
            <w:tcW w:type="dxa" w:w="18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Native</w:t>
            </w:r>
          </w:p>
        </w:tc>
        <w:tc>
          <w:tcPr>
            <w:tcW w:type="dxa" w:w="21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$79</w:t>
            </w:r>
          </w:p>
        </w:tc>
        <w:tc>
          <w:tcPr>
            <w:tcW w:type="dxa" w:w="21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2 minutes</w:t>
            </w:r>
          </w:p>
        </w:tc>
        <w:tc>
          <w:tcPr>
            <w:tcW w:type="dxa" w:w="21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None</w:t>
            </w:r>
          </w:p>
        </w:tc>
        <w:tc>
          <w:tcPr>
            <w:tcW w:type="dxa" w:w="2006"/>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Cancel anytime</w:t>
            </w:r>
          </w:p>
        </w:tc>
      </w:tr>
      <w:tr>
        <w:tc>
          <w:tcPr>
            <w:tcW w:type="dxa" w:w="18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Agency</w:t>
            </w:r>
          </w:p>
        </w:tc>
        <w:tc>
          <w:tcPr>
            <w:tcW w:type="dxa" w:w="21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$1,500–5,000+</w:t>
            </w:r>
          </w:p>
        </w:tc>
        <w:tc>
          <w:tcPr>
            <w:tcW w:type="dxa" w:w="21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2–4 weeks</w:t>
            </w:r>
          </w:p>
        </w:tc>
        <w:tc>
          <w:tcPr>
            <w:tcW w:type="dxa" w:w="21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Meetings, emails, approvals</w:t>
            </w:r>
          </w:p>
        </w:tc>
        <w:tc>
          <w:tcPr>
            <w:tcW w:type="dxa" w:w="2006"/>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3–6 month lock-in</w:t>
            </w:r>
          </w:p>
        </w:tc>
      </w:tr>
      <w:tr>
        <w:tc>
          <w:tcPr>
            <w:tcW w:type="dxa" w:w="18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In-house hire</w:t>
            </w:r>
          </w:p>
        </w:tc>
        <w:tc>
          <w:tcPr>
            <w:tcW w:type="dxa" w:w="21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$4,500–6,000+</w:t>
            </w:r>
          </w:p>
        </w:tc>
        <w:tc>
          <w:tcPr>
            <w:tcW w:type="dxa" w:w="21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2–3 months</w:t>
            </w:r>
          </w:p>
        </w:tc>
        <w:tc>
          <w:tcPr>
            <w:tcW w:type="dxa" w:w="21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Follow-ups, 1:1s, HR</w:t>
            </w:r>
          </w:p>
        </w:tc>
        <w:tc>
          <w:tcPr>
            <w:tcW w:type="dxa" w:w="2006"/>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Notice period</w:t>
            </w:r>
          </w:p>
        </w:tc>
      </w:tr>
    </w:tbl>
    <w:p>
      <w:pPr>
        <w:spacing w:after="160" w:line="300"/>
      </w:pPr>
      <w:r>
        <w:rPr>
          <w:color w:val="374151"/>
          <w:sz w:val="21"/>
          <w:szCs w:val="21"/>
        </w:rPr>
        <w:t xml:space="preserve">Its customer proof points reinforce the same positioning: testimonials feature solo operators (a woodworking-workshop owner, a small sea-sauna business) rather than marketing teams or enterprise buyers — confirming this is a prosumer/micro-business product, not a mid-market or enterprise one.</w:t>
      </w:r>
    </w:p>
    <w:p>
      <w:r>
        <w:br w:type="page"/>
      </w:r>
    </w:p>
    <w:p>
      <w:pPr>
        <w:pStyle w:val="Heading1"/>
      </w:pPr>
      <w:r>
        <w:t xml:space="preserve">3. Market Viability Assessment</w:t>
      </w:r>
    </w:p>
    <w:p>
      <w:pPr>
        <w:pStyle w:val="Heading2"/>
      </w:pPr>
      <w:r>
        <w:t xml:space="preserve">3.1 Global TAM — Social Media Management / AI Social Software</w:t>
      </w:r>
    </w:p>
    <w:p>
      <w:pPr>
        <w:spacing w:after="160" w:line="300"/>
      </w:pPr>
      <w:r>
        <w:rPr>
          <w:color w:val="374151"/>
          <w:sz w:val="21"/>
          <w:szCs w:val="21"/>
        </w:rPr>
        <w:t xml:space="preserve">Independent market-research firms diverge meaningfully on the exact size of this category — a normal feature of TAM estimates, which vary by scope (software-only vs. software-plus-services) and by which company sizes are included. Five recent reports, all published in 2026, converge on a 2026 estimate in the $29–43 billion range globally, growing at a 15–25% CAGR:</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400"/>
        <w:gridCol w:w="2900"/>
        <w:gridCol w:w="1806"/>
      </w:tblGrid>
      <w:tr>
        <w:trPr>
          <w:tblHeader/>
        </w:trPr>
        <w:tc>
          <w:tcPr>
            <w:tcW w:type="dxa" w:w="3000"/>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Research firm</w:t>
            </w:r>
          </w:p>
        </w:tc>
        <w:tc>
          <w:tcPr>
            <w:tcW w:type="dxa" w:w="2400"/>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2026 estimate</w:t>
            </w:r>
          </w:p>
        </w:tc>
        <w:tc>
          <w:tcPr>
            <w:tcW w:type="dxa" w:w="2900"/>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Longer-term forecast</w:t>
            </w:r>
          </w:p>
        </w:tc>
        <w:tc>
          <w:tcPr>
            <w:tcW w:type="dxa" w:w="1806"/>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CAGR</w:t>
            </w:r>
          </w:p>
        </w:tc>
      </w:tr>
      <w:tr>
        <w:tc>
          <w:tcPr>
            <w:tcW w:type="dxa" w:w="30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Research and Markets</w:t>
            </w:r>
          </w:p>
        </w:tc>
        <w:tc>
          <w:tcPr>
            <w:tcW w:type="dxa" w:w="24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$33.46B</w:t>
            </w:r>
          </w:p>
        </w:tc>
        <w:tc>
          <w:tcPr>
            <w:tcW w:type="dxa" w:w="29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$62.16B by 2030</w:t>
            </w:r>
          </w:p>
        </w:tc>
        <w:tc>
          <w:tcPr>
            <w:tcW w:type="dxa" w:w="1806"/>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16.7–17.1%</w:t>
            </w:r>
          </w:p>
        </w:tc>
      </w:tr>
      <w:tr>
        <w:tc>
          <w:tcPr>
            <w:tcW w:type="dxa" w:w="30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Fortune Business Insights</w:t>
            </w:r>
          </w:p>
        </w:tc>
        <w:tc>
          <w:tcPr>
            <w:tcW w:type="dxa" w:w="24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$39.14B</w:t>
            </w:r>
          </w:p>
        </w:tc>
        <w:tc>
          <w:tcPr>
            <w:tcW w:type="dxa" w:w="29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$164.52B by 2034</w:t>
            </w:r>
          </w:p>
        </w:tc>
        <w:tc>
          <w:tcPr>
            <w:tcW w:type="dxa" w:w="1806"/>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19.7%</w:t>
            </w:r>
          </w:p>
        </w:tc>
      </w:tr>
      <w:tr>
        <w:tc>
          <w:tcPr>
            <w:tcW w:type="dxa" w:w="30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Grand View Research</w:t>
            </w:r>
          </w:p>
        </w:tc>
        <w:tc>
          <w:tcPr>
            <w:tcW w:type="dxa" w:w="24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$36.4B</w:t>
            </w:r>
          </w:p>
        </w:tc>
        <w:tc>
          <w:tcPr>
            <w:tcW w:type="dxa" w:w="29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$171.6B by 2033</w:t>
            </w:r>
          </w:p>
        </w:tc>
        <w:tc>
          <w:tcPr>
            <w:tcW w:type="dxa" w:w="1806"/>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24.8%</w:t>
            </w:r>
          </w:p>
        </w:tc>
      </w:tr>
      <w:tr>
        <w:tc>
          <w:tcPr>
            <w:tcW w:type="dxa" w:w="30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The Business Research Co.</w:t>
            </w:r>
          </w:p>
        </w:tc>
        <w:tc>
          <w:tcPr>
            <w:tcW w:type="dxa" w:w="24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$43.06B</w:t>
            </w:r>
          </w:p>
        </w:tc>
        <w:tc>
          <w:tcPr>
            <w:tcW w:type="dxa" w:w="29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$106.99B by 2030</w:t>
            </w:r>
          </w:p>
        </w:tc>
        <w:tc>
          <w:tcPr>
            <w:tcW w:type="dxa" w:w="1806"/>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25.1–25.6%</w:t>
            </w:r>
          </w:p>
        </w:tc>
      </w:tr>
      <w:tr>
        <w:tc>
          <w:tcPr>
            <w:tcW w:type="dxa" w:w="30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360iResearch</w:t>
            </w:r>
          </w:p>
        </w:tc>
        <w:tc>
          <w:tcPr>
            <w:tcW w:type="dxa" w:w="24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$28.94B</w:t>
            </w:r>
          </w:p>
        </w:tc>
        <w:tc>
          <w:tcPr>
            <w:tcW w:type="dxa" w:w="29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$65.11B by 2032</w:t>
            </w:r>
          </w:p>
        </w:tc>
        <w:tc>
          <w:tcPr>
            <w:tcW w:type="dxa" w:w="1806"/>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14.33%</w:t>
            </w:r>
          </w:p>
        </w:tc>
      </w:tr>
    </w:tbl>
    <w:p>
      <w:pPr>
        <w:spacing w:after="80"/>
      </w:pPr>
    </w:p>
    <w:p>
      <w:pPr>
        <w:pStyle w:val="Heading2"/>
      </w:pPr>
      <w:r>
        <w:t xml:space="preserve">3.2 Adjacent, Broader Categories</w:t>
      </w:r>
    </w:p>
    <w:p>
      <w:pPr>
        <w:pStyle w:val="ListParagraph"/>
        <w:numPr>
          <w:ilvl w:val="0"/>
          <w:numId w:val="2"/>
        </w:numPr>
        <w:spacing w:after="90" w:line="290"/>
      </w:pPr>
      <w:r>
        <w:rPr>
          <w:color w:val="374151"/>
          <w:sz w:val="21"/>
          <w:szCs w:val="21"/>
        </w:rPr>
        <w:t xml:space="preserve">AI specifically inside marketing: Insight Partners projects the AI-in-marketing market growing roughly 9× from $12.05B (2020) to $107.54B by 2028 — the category ContentOS's full Research-to-Analyze lifecycle actually competes in, of which social-media autopilot is one slice.</w:t>
      </w:r>
    </w:p>
    <w:p>
      <w:pPr>
        <w:pStyle w:val="ListParagraph"/>
        <w:numPr>
          <w:ilvl w:val="0"/>
          <w:numId w:val="2"/>
        </w:numPr>
        <w:spacing w:after="90" w:line="290"/>
      </w:pPr>
      <w:r>
        <w:rPr>
          <w:color w:val="374151"/>
          <w:sz w:val="21"/>
          <w:szCs w:val="21"/>
        </w:rPr>
        <w:t xml:space="preserve">Generative AI overall (all use cases, of which marketing content is a subset): 2026 estimates vary widely across sources, from roughly $67B to $161B, reflecting very different market definitions. Useful only as top-of-funnel context, not as a claimable number for either Native.no or ContentOS.</w:t>
      </w:r>
    </w:p>
    <w:p>
      <w:pPr>
        <w:spacing w:after="80"/>
      </w:pPr>
    </w:p>
    <w:p>
      <w:pPr>
        <w:pStyle w:val="Heading2"/>
      </w:pPr>
      <w:r>
        <w:t xml:space="preserve">3.3 India Market (Serviceable Addressable Market)</w:t>
      </w:r>
    </w:p>
    <w:p>
      <w:pPr>
        <w:pStyle w:val="ListParagraph"/>
        <w:numPr>
          <w:ilvl w:val="0"/>
          <w:numId w:val="2"/>
        </w:numPr>
        <w:spacing w:after="90" w:line="290"/>
      </w:pPr>
      <w:r>
        <w:rPr>
          <w:color w:val="374151"/>
          <w:sz w:val="21"/>
          <w:szCs w:val="21"/>
        </w:rPr>
        <w:t xml:space="preserve">India's digital advertising market was estimated at roughly $6.9 billion in 2025 and is projected to reach approximately $8.15 billion by the end of 2026, growing around 19% year-over-year, per a Dentsu-backed study reported by Campaign Asia.</w:t>
      </w:r>
    </w:p>
    <w:p>
      <w:pPr>
        <w:pStyle w:val="ListParagraph"/>
        <w:numPr>
          <w:ilvl w:val="0"/>
          <w:numId w:val="2"/>
        </w:numPr>
        <w:spacing w:after="90" w:line="290"/>
      </w:pPr>
      <w:r>
        <w:rPr>
          <w:color w:val="374151"/>
          <w:sz w:val="21"/>
          <w:szCs w:val="21"/>
        </w:rPr>
        <w:t xml:space="preserve">India has 900M+ internet users — the world's second-largest online market — and an SaaS sector McKinsey and SaaSBOOMi project could generate $50–70 billion in revenue by 2030, already home to 1,000+ SaaS companies and 10+ unicorns.</w:t>
      </w:r>
    </w:p>
    <w:p>
      <w:pPr>
        <w:pStyle w:val="ListParagraph"/>
        <w:numPr>
          <w:ilvl w:val="0"/>
          <w:numId w:val="2"/>
        </w:numPr>
        <w:spacing w:after="90" w:line="290"/>
      </w:pPr>
      <w:r>
        <w:rPr>
          <w:color w:val="374151"/>
          <w:sz w:val="21"/>
          <w:szCs w:val="21"/>
        </w:rPr>
        <w:t xml:space="preserve">India's MSME base is large and unevenly digitised; the freelancer/agency layer that currently serves these businesses is itself sizeable (industry directories cite 10,000+ social-media-marketing agencies operating in the country), which is as much a channel opportunity as it is a competitive backdrop (see Section 6.8).</w:t>
      </w:r>
    </w:p>
    <w:p>
      <w:pPr>
        <w:spacing w:after="160" w:line="300"/>
      </w:pPr>
      <w:r>
        <w:rPr>
          <w:color w:val="374151"/>
          <w:sz w:val="21"/>
          <w:szCs w:val="21"/>
        </w:rPr>
        <w:t xml:space="preserve">A useful reference point for pricing and positioning is what Indian small businesses already pay for social media help through traditional channels:</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3706"/>
        <w:gridCol w:w="3000"/>
      </w:tblGrid>
      <w:tr>
        <w:trPr>
          <w:tblHeader/>
        </w:trPr>
        <w:tc>
          <w:tcPr>
            <w:tcW w:type="dxa" w:w="3400"/>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Service model</w:t>
            </w:r>
          </w:p>
        </w:tc>
        <w:tc>
          <w:tcPr>
            <w:tcW w:type="dxa" w:w="3706"/>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Typical monthly cost (India)</w:t>
            </w:r>
          </w:p>
        </w:tc>
        <w:tc>
          <w:tcPr>
            <w:tcW w:type="dxa" w:w="3000"/>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Source basis</w:t>
            </w:r>
          </w:p>
        </w:tc>
      </w:tr>
      <w:tr>
        <w:tc>
          <w:tcPr>
            <w:tcW w:type="dxa" w:w="34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Freelancer / solo consultant</w:t>
            </w:r>
          </w:p>
        </w:tc>
        <w:tc>
          <w:tcPr>
            <w:tcW w:type="dxa" w:w="3706"/>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₹15,000 – ₹50,000 (up to ₹1,50,000 for senior consultants)</w:t>
            </w:r>
          </w:p>
        </w:tc>
        <w:tc>
          <w:tcPr>
            <w:tcW w:type="dxa" w:w="30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Industry cost surveys (upGrowth; Transparent Growth Measurement)</w:t>
            </w:r>
          </w:p>
        </w:tc>
      </w:tr>
      <w:tr>
        <w:tc>
          <w:tcPr>
            <w:tcW w:type="dxa" w:w="34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Boutique / full-service agency</w:t>
            </w:r>
          </w:p>
        </w:tc>
        <w:tc>
          <w:tcPr>
            <w:tcW w:type="dxa" w:w="3706"/>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₹30,000 – ₹5,00,000+ depending on scope</w:t>
            </w:r>
          </w:p>
        </w:tc>
        <w:tc>
          <w:tcPr>
            <w:tcW w:type="dxa" w:w="30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Industry cost surveys (upGrowth; Transparent Growth Measurement)</w:t>
            </w:r>
          </w:p>
        </w:tc>
      </w:tr>
      <w:tr>
        <w:tc>
          <w:tcPr>
            <w:tcW w:type="dxa" w:w="34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In-house social media manager (single hire)</w:t>
            </w:r>
          </w:p>
        </w:tc>
        <w:tc>
          <w:tcPr>
            <w:tcW w:type="dxa" w:w="3706"/>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₹33,000 – ₹1,00,000 (₹4–12 LPA)</w:t>
            </w:r>
          </w:p>
        </w:tc>
        <w:tc>
          <w:tcPr>
            <w:tcW w:type="dxa" w:w="30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Transparent Growth Measurement</w:t>
            </w:r>
          </w:p>
        </w:tc>
      </w:tr>
      <w:tr>
        <w:tc>
          <w:tcPr>
            <w:tcW w:type="dxa" w:w="34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Fully staffed in-house team</w:t>
            </w:r>
          </w:p>
        </w:tc>
        <w:tc>
          <w:tcPr>
            <w:tcW w:type="dxa" w:w="3706"/>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₹3,30,000 – ₹10,00,000+ (₹40L–1.2Cr / year)</w:t>
            </w:r>
          </w:p>
        </w:tc>
        <w:tc>
          <w:tcPr>
            <w:tcW w:type="dxa" w:w="30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upGrowth</w:t>
            </w:r>
          </w:p>
        </w:tc>
      </w:tr>
    </w:tbl>
    <w:p>
      <w:pPr>
        <w:spacing w:after="200"/>
      </w:pPr>
      <w:r>
        <w:rPr>
          <w:i/>
          <w:iCs/>
          <w:color w:val="6B7280"/>
          <w:sz w:val="17"/>
          <w:szCs w:val="17"/>
        </w:rPr>
        <w:t xml:space="preserve">These figures are illustrative market benchmarks, not ContentOS pricing decisions — useful as inputs to the comparison-calculator feature proposed in Section 6.12.</w:t>
      </w:r>
    </w:p>
    <w:p>
      <w:pPr>
        <w:spacing w:after="60"/>
      </w:pPr>
    </w:p>
    <w:p>
      <w:pPr>
        <w:spacing w:after="160" w:line="300"/>
      </w:pPr>
      <w:r>
        <w:rPr>
          <w:b/>
          <w:bCs/>
          <w:i/>
          <w:iCs/>
          <w:color w:val="374151"/>
          <w:sz w:val="21"/>
          <w:szCs w:val="21"/>
        </w:rPr>
        <w:t xml:space="preserve">Illustrative, back-of-envelope sizing (not a formal estimate): </w:t>
      </w:r>
      <w:r>
        <w:rPr>
          <w:i/>
          <w:iCs/>
          <w:color w:val="374151"/>
          <w:sz w:val="21"/>
          <w:szCs w:val="21"/>
        </w:rPr>
        <w:t xml:space="preserve">if even 3–5% of India's actively-digitising MSME base adopted a paid AI marketing tool at an average of ₹1,500–2,500/month over the next 3–5 years, that alone implies roughly ₹300–900 crore (~USD 35–110M) of reachable annual recurring revenue for this product line specifically — a meaningful wedge, not the entire category, and a number that should be revisited once ContentOS has its own activation and pricing data.</w:t>
      </w:r>
    </w:p>
    <w:p>
      <w:pPr>
        <w:spacing w:after="80"/>
      </w:pPr>
    </w:p>
    <w:p>
      <w:pPr>
        <w:pStyle w:val="Heading2"/>
      </w:pPr>
      <w:r>
        <w:t xml:space="preserve">3.4 Native.no's Own Valuation — Answering "Market Cap" Directly</w:t>
      </w:r>
    </w:p>
    <w:p>
      <w:pPr>
        <w:spacing w:after="160" w:line="300"/>
      </w:pPr>
      <w:r>
        <w:rPr>
          <w:color w:val="374151"/>
          <w:sz w:val="21"/>
          <w:szCs w:val="21"/>
        </w:rPr>
        <w:t xml:space="preserve">Because Native.no is privately held, it has no market capitalisation — that term applies only to publicly traded companies. The correct comparison is valuation, and the disclosed data points are modest: a $541K seed round (PitchBook, March 2024) and a self-reported pre-launch valuation of about NOK 35 million (~USD 3.2–3.3M) heading into its January 2026 launch, backed by a16z's Scout Fund and a small group of angels. With roughly 5 employees at last disclosed count, this is an early-stage company, not an established competitor with scale.</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106"/>
      </w:tblGrid>
      <w:tr>
        <w:tc>
          <w:tcPr>
            <w:tcW w:type="dxa" w:w="10106"/>
            <w:tcBorders>
              <w:top w:val="single" w:color="EEF2F6" w:sz="2"/>
              <w:left w:val="single" w:color="0F766E" w:sz="24"/>
              <w:bottom w:val="single" w:color="EEF2F6" w:sz="2"/>
              <w:right w:val="single" w:color="EEF2F6" w:sz="2"/>
            </w:tcBorders>
            <w:shd w:fill="EEF2F6" w:color="auto" w:val="clear"/>
            <w:tcMar>
              <w:top w:type="dxa" w:w="160"/>
              <w:left w:type="dxa" w:w="240"/>
              <w:bottom w:type="dxa" w:w="160"/>
              <w:right w:type="dxa" w:w="240"/>
            </w:tcMar>
          </w:tcPr>
          <w:p>
            <w:pPr>
              <w:spacing w:after="60"/>
            </w:pPr>
            <w:r>
              <w:rPr>
                <w:b/>
                <w:bCs/>
                <w:color w:val="0F766E"/>
                <w:sz w:val="17"/>
                <w:szCs w:val="17"/>
              </w:rPr>
              <w:t xml:space="preserve">HOW TO READ THIS</w:t>
            </w:r>
          </w:p>
          <w:p>
            <w:r>
              <w:rPr>
                <w:i/>
                <w:iCs/>
                <w:color w:val="1B2A4A"/>
                <w:sz w:val="21"/>
                <w:szCs w:val="21"/>
              </w:rPr>
              <w:t xml:space="preserve">Read this as an investor-conviction signal for the category — sophisticated early-stage investors think AI-native marketing automation for small business is worth backing — rather than as evidence of a large, entrenched rival. The category TAM in Sections 3.1–3.3 is the number to plan against.</w:t>
            </w:r>
          </w:p>
        </w:tc>
      </w:tr>
    </w:tbl>
    <w:p>
      <w:pPr>
        <w:spacing w:after="60"/>
      </w:pPr>
    </w:p>
    <w:p>
      <w:pPr>
        <w:pStyle w:val="Heading2"/>
      </w:pPr>
      <w:r>
        <w:t xml:space="preserve">3.5 Verdict: Is This Viable for ContentOS?</w:t>
      </w:r>
    </w:p>
    <w:p>
      <w:pPr>
        <w:spacing w:after="160" w:line="300"/>
      </w:pPr>
      <w:r>
        <w:rPr>
          <w:color w:val="374151"/>
          <w:sz w:val="21"/>
          <w:szCs w:val="21"/>
        </w:rPr>
        <w:t xml:space="preserve">Yes, for three compounding reasons:</w:t>
      </w:r>
    </w:p>
    <w:p>
      <w:pPr>
        <w:pStyle w:val="ListParagraph"/>
        <w:numPr>
          <w:ilvl w:val="0"/>
          <w:numId w:val="2"/>
        </w:numPr>
        <w:spacing w:after="90" w:line="290"/>
      </w:pPr>
      <w:r>
        <w:rPr>
          <w:color w:val="374151"/>
          <w:sz w:val="21"/>
          <w:szCs w:val="21"/>
        </w:rPr>
        <w:t xml:space="preserve">Technology reuse — ContentOS's planned architecture (content generation, the hybrid image pipeline, multi-platform publishing APIs, the hallucination-mitigation stack) already covers most of what a Native-style feature needs. This is substantially a new packaging and go-to-market motion, not a new engineering platform.</w:t>
      </w:r>
    </w:p>
    <w:p>
      <w:pPr>
        <w:pStyle w:val="ListParagraph"/>
        <w:numPr>
          <w:ilvl w:val="0"/>
          <w:numId w:val="2"/>
        </w:numPr>
        <w:spacing w:after="90" w:line="290"/>
      </w:pPr>
      <w:r>
        <w:rPr>
          <w:color w:val="374151"/>
          <w:sz w:val="21"/>
          <w:szCs w:val="21"/>
        </w:rPr>
        <w:t xml:space="preserve">Market validation — Native.no's funding, press coverage and live pricing power are evidence that solo/small-business buyers will pay real money for autopilot marketing, de-risking the demand side of the bet.</w:t>
      </w:r>
    </w:p>
    <w:p>
      <w:pPr>
        <w:pStyle w:val="ListParagraph"/>
        <w:numPr>
          <w:ilvl w:val="0"/>
          <w:numId w:val="2"/>
        </w:numPr>
        <w:spacing w:after="90" w:line="290"/>
      </w:pPr>
      <w:r>
        <w:rPr>
          <w:color w:val="374151"/>
          <w:sz w:val="21"/>
          <w:szCs w:val="21"/>
        </w:rPr>
        <w:t xml:space="preserve">Segment complementarity and timing — Native.no's ICP (global, English-first, solo operator) does not overlap with India's underserved, WhatsApp-native, multilingual MSME base the way it would in Native's home markets, giving ContentOS a real localisation window before a global competitor closes it.</w:t>
      </w:r>
    </w:p>
    <w:p>
      <w:r>
        <w:br w:type="page"/>
      </w:r>
    </w:p>
    <w:p>
      <w:pPr>
        <w:pStyle w:val="Heading1"/>
      </w:pPr>
      <w:r>
        <w:t xml:space="preserve">4. Competitive Landscape</w:t>
      </w:r>
    </w:p>
    <w:p>
      <w:pPr>
        <w:spacing w:after="160" w:line="300"/>
      </w:pPr>
      <w:r>
        <w:rPr>
          <w:color w:val="374151"/>
          <w:sz w:val="21"/>
          <w:szCs w:val="21"/>
        </w:rPr>
        <w:t xml:space="preserve">Native.no sits inside a wider field of AI-assisted social/content tools. The table below places it alongside the closest comparables — including Predis.ai, an India-origin competitor (built by EZML Technologies) that is the most directly relevant reference point for India pricing and packaging — plus incumbent schedulers now adding AI, and enterprise-oriented agent platforms.</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900"/>
        <w:gridCol w:w="2306"/>
        <w:gridCol w:w="2800"/>
      </w:tblGrid>
      <w:tr>
        <w:trPr>
          <w:tblHeader/>
        </w:trPr>
        <w:tc>
          <w:tcPr>
            <w:tcW w:type="dxa" w:w="2100"/>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Tool</w:t>
            </w:r>
          </w:p>
        </w:tc>
        <w:tc>
          <w:tcPr>
            <w:tcW w:type="dxa" w:w="2900"/>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Primary ICP</w:t>
            </w:r>
          </w:p>
        </w:tc>
        <w:tc>
          <w:tcPr>
            <w:tcW w:type="dxa" w:w="2306"/>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Entry price</w:t>
            </w:r>
          </w:p>
        </w:tc>
        <w:tc>
          <w:tcPr>
            <w:tcW w:type="dxa" w:w="2800"/>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Geo focus</w:t>
            </w:r>
          </w:p>
        </w:tc>
      </w:tr>
      <w:tr>
        <w:tc>
          <w:tcPr>
            <w:tcW w:type="dxa" w:w="21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Native.no</w:t>
            </w:r>
          </w:p>
        </w:tc>
        <w:tc>
          <w:tcPr>
            <w:tcW w:type="dxa" w:w="29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Solo operator / micro-business</w:t>
            </w:r>
          </w:p>
        </w:tc>
        <w:tc>
          <w:tcPr>
            <w:tcW w:type="dxa" w:w="2306"/>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$79/mo</w:t>
            </w:r>
          </w:p>
        </w:tc>
        <w:tc>
          <w:tcPr>
            <w:tcW w:type="dxa" w:w="28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Global (Norway HQ), English-first</w:t>
            </w:r>
          </w:p>
        </w:tc>
      </w:tr>
      <w:tr>
        <w:tc>
          <w:tcPr>
            <w:tcW w:type="dxa" w:w="21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Predis.ai</w:t>
            </w:r>
          </w:p>
        </w:tc>
        <w:tc>
          <w:tcPr>
            <w:tcW w:type="dxa" w:w="29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SMB / solo marketer / e-commerce</w:t>
            </w:r>
          </w:p>
        </w:tc>
        <w:tc>
          <w:tcPr>
            <w:tcW w:type="dxa" w:w="2306"/>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$32/mo (free tier exists)</w:t>
            </w:r>
          </w:p>
        </w:tc>
        <w:tc>
          <w:tcPr>
            <w:tcW w:type="dxa" w:w="28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Global, India-origin (EZML Technologies)</w:t>
            </w:r>
          </w:p>
        </w:tc>
      </w:tr>
      <w:tr>
        <w:tc>
          <w:tcPr>
            <w:tcW w:type="dxa" w:w="21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Vista Social</w:t>
            </w:r>
          </w:p>
        </w:tc>
        <w:tc>
          <w:tcPr>
            <w:tcW w:type="dxa" w:w="29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SMB teams / agencies</w:t>
            </w:r>
          </w:p>
        </w:tc>
        <w:tc>
          <w:tcPr>
            <w:tcW w:type="dxa" w:w="2306"/>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$79/mo</w:t>
            </w:r>
          </w:p>
        </w:tc>
        <w:tc>
          <w:tcPr>
            <w:tcW w:type="dxa" w:w="28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Global, US-oriented</w:t>
            </w:r>
          </w:p>
        </w:tc>
      </w:tr>
      <w:tr>
        <w:tc>
          <w:tcPr>
            <w:tcW w:type="dxa" w:w="21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Buffer / Hootsuite (+AI)</w:t>
            </w:r>
          </w:p>
        </w:tc>
        <w:tc>
          <w:tcPr>
            <w:tcW w:type="dxa" w:w="29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SMB to mid-market</w:t>
            </w:r>
          </w:p>
        </w:tc>
        <w:tc>
          <w:tcPr>
            <w:tcW w:type="dxa" w:w="2306"/>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$5–99+/mo (AI is a bolt-on)</w:t>
            </w:r>
          </w:p>
        </w:tc>
        <w:tc>
          <w:tcPr>
            <w:tcW w:type="dxa" w:w="28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Global, mature incumbents</w:t>
            </w:r>
          </w:p>
        </w:tc>
      </w:tr>
      <w:tr>
        <w:tc>
          <w:tcPr>
            <w:tcW w:type="dxa" w:w="21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Jasper / HubSpot Breeze / Agentforce-class</w:t>
            </w:r>
          </w:p>
        </w:tc>
        <w:tc>
          <w:tcPr>
            <w:tcW w:type="dxa" w:w="29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Mid-market to enterprise</w:t>
            </w:r>
          </w:p>
        </w:tc>
        <w:tc>
          <w:tcPr>
            <w:tcW w:type="dxa" w:w="2306"/>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$200–800+/mo</w:t>
            </w:r>
          </w:p>
        </w:tc>
        <w:tc>
          <w:tcPr>
            <w:tcW w:type="dxa" w:w="28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Global, CRM/marketing-ops centric</w:t>
            </w:r>
          </w:p>
        </w:tc>
      </w:tr>
      <w:tr>
        <w:tc>
          <w:tcPr>
            <w:tcW w:type="dxa" w:w="21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ContentOS (planned)</w:t>
            </w:r>
          </w:p>
        </w:tc>
        <w:tc>
          <w:tcPr>
            <w:tcW w:type="dxa" w:w="29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B2B enterprise + proposed SMB tier</w:t>
            </w:r>
          </w:p>
        </w:tc>
        <w:tc>
          <w:tcPr>
            <w:tcW w:type="dxa" w:w="2306"/>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INR-priced, India-first</w:t>
            </w:r>
          </w:p>
        </w:tc>
        <w:tc>
          <w:tcPr>
            <w:tcW w:type="dxa" w:w="28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India-first, global-capable</w:t>
            </w:r>
          </w:p>
        </w:tc>
      </w:tr>
    </w:tbl>
    <w:p>
      <w:pPr>
        <w:spacing w:after="80"/>
      </w:pP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00"/>
        <w:gridCol w:w="2606"/>
        <w:gridCol w:w="2800"/>
      </w:tblGrid>
      <w:tr>
        <w:trPr>
          <w:tblHeader/>
        </w:trPr>
        <w:tc>
          <w:tcPr>
            <w:tcW w:type="dxa" w:w="2100"/>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Tool</w:t>
            </w:r>
          </w:p>
        </w:tc>
        <w:tc>
          <w:tcPr>
            <w:tcW w:type="dxa" w:w="2600"/>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Autonomy level</w:t>
            </w:r>
          </w:p>
        </w:tc>
        <w:tc>
          <w:tcPr>
            <w:tcW w:type="dxa" w:w="2606"/>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Enterprise governance</w:t>
            </w:r>
          </w:p>
        </w:tc>
        <w:tc>
          <w:tcPr>
            <w:tcW w:type="dxa" w:w="2800"/>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Notable edge</w:t>
            </w:r>
          </w:p>
        </w:tc>
      </w:tr>
      <w:tr>
        <w:tc>
          <w:tcPr>
            <w:tcW w:type="dxa" w:w="21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Native.no</w:t>
            </w:r>
          </w:p>
        </w:tc>
        <w:tc>
          <w:tcPr>
            <w:tcW w:type="dxa" w:w="26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Approval mode or full autopilot</w:t>
            </w:r>
          </w:p>
        </w:tc>
        <w:tc>
          <w:tcPr>
            <w:tcW w:type="dxa" w:w="2606"/>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None visible</w:t>
            </w:r>
          </w:p>
        </w:tc>
        <w:tc>
          <w:tcPr>
            <w:tcW w:type="dxa" w:w="28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Norn prediction layer; swipe-review UX</w:t>
            </w:r>
          </w:p>
        </w:tc>
      </w:tr>
      <w:tr>
        <w:tc>
          <w:tcPr>
            <w:tcW w:type="dxa" w:w="21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Predis.ai</w:t>
            </w:r>
          </w:p>
        </w:tc>
        <w:tc>
          <w:tcPr>
            <w:tcW w:type="dxa" w:w="26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Generate + schedule (semi-autonomous)</w:t>
            </w:r>
          </w:p>
        </w:tc>
        <w:tc>
          <w:tcPr>
            <w:tcW w:type="dxa" w:w="2606"/>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None visible</w:t>
            </w:r>
          </w:p>
        </w:tc>
        <w:tc>
          <w:tcPr>
            <w:tcW w:type="dxa" w:w="28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Product-catalog-to-video/post generation; built-in competitor analysis</w:t>
            </w:r>
          </w:p>
        </w:tc>
      </w:tr>
      <w:tr>
        <w:tc>
          <w:tcPr>
            <w:tcW w:type="dxa" w:w="21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Vista Social</w:t>
            </w:r>
          </w:p>
        </w:tc>
        <w:tc>
          <w:tcPr>
            <w:tcW w:type="dxa" w:w="26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Human-in-the-loop</w:t>
            </w:r>
          </w:p>
        </w:tc>
        <w:tc>
          <w:tcPr>
            <w:tcW w:type="dxa" w:w="2606"/>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Light collaboration/approval workflow</w:t>
            </w:r>
          </w:p>
        </w:tc>
        <w:tc>
          <w:tcPr>
            <w:tcW w:type="dxa" w:w="28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Strong review ratings (4.9), broad collaboration features</w:t>
            </w:r>
          </w:p>
        </w:tc>
      </w:tr>
      <w:tr>
        <w:tc>
          <w:tcPr>
            <w:tcW w:type="dxa" w:w="21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Buffer / Hootsuite (+AI)</w:t>
            </w:r>
          </w:p>
        </w:tc>
        <w:tc>
          <w:tcPr>
            <w:tcW w:type="dxa" w:w="26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Human-in-the-loop</w:t>
            </w:r>
          </w:p>
        </w:tc>
        <w:tc>
          <w:tcPr>
            <w:tcW w:type="dxa" w:w="2606"/>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Basic team roles</w:t>
            </w:r>
          </w:p>
        </w:tc>
        <w:tc>
          <w:tcPr>
            <w:tcW w:type="dxa" w:w="28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Mature scheduling, large existing user base</w:t>
            </w:r>
          </w:p>
        </w:tc>
      </w:tr>
      <w:tr>
        <w:tc>
          <w:tcPr>
            <w:tcW w:type="dxa" w:w="21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Jasper / HubSpot Breeze / Agentforce-class</w:t>
            </w:r>
          </w:p>
        </w:tc>
        <w:tc>
          <w:tcPr>
            <w:tcW w:type="dxa" w:w="26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Workflow-agent, human-checkpointed</w:t>
            </w:r>
          </w:p>
        </w:tc>
        <w:tc>
          <w:tcPr>
            <w:tcW w:type="dxa" w:w="2606"/>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CRM-native roles and data access</w:t>
            </w:r>
          </w:p>
        </w:tc>
        <w:tc>
          <w:tcPr>
            <w:tcW w:type="dxa" w:w="28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Deep CRM/pipeline integration</w:t>
            </w:r>
          </w:p>
        </w:tc>
      </w:tr>
      <w:tr>
        <w:tc>
          <w:tcPr>
            <w:tcW w:type="dxa" w:w="21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ContentOS (planned)</w:t>
            </w:r>
          </w:p>
        </w:tc>
        <w:tc>
          <w:tcPr>
            <w:tcW w:type="dxa" w:w="26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Progressive: approval by default, autopilot earned</w:t>
            </w:r>
          </w:p>
        </w:tc>
        <w:tc>
          <w:tcPr>
            <w:tcW w:type="dxa" w:w="2606"/>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Draft-review-approve, audit log, brand-kit lock, RBAC (planned)</w:t>
            </w:r>
          </w:p>
        </w:tc>
        <w:tc>
          <w:tcPr>
            <w:tcW w:type="dxa" w:w="28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Hybrid deterministic image-text pipeline; India multilingual + WhatsApp-first design</w:t>
            </w:r>
          </w:p>
        </w:tc>
      </w:tr>
    </w:tbl>
    <w:p>
      <w:pPr>
        <w:spacing w:after="80"/>
      </w:pPr>
    </w:p>
    <w:p>
      <w:pPr>
        <w:spacing w:after="160" w:line="300"/>
      </w:pPr>
      <w:r>
        <w:rPr>
          <w:color w:val="374151"/>
          <w:sz w:val="21"/>
          <w:szCs w:val="21"/>
        </w:rPr>
        <w:t xml:space="preserve">Three patterns fall out of this comparison. First, no competitor here combines genuine autonomy with enterprise-grade governance — the market is split between "autopilot for solo operators" (Native.no, Predis.ai) and "agent with governance" (Breeze/Agentforce-class), and nobody currently serves both from one platform. Second, India-specific localisation is thin across the board — Predis.ai is India-founded but its public feature set is not visibly localised for language or culture either. Third, ContentOS's already-decided hybrid image pipeline is a structural answer to a problem every AI-image competitor in this table still carries: diffusion and frontier image models remain inconsistent at rendering text accurately inside an image.</w:t>
      </w:r>
    </w:p>
    <w:p>
      <w:r>
        <w:br w:type="page"/>
      </w:r>
    </w:p>
    <w:p>
      <w:pPr>
        <w:pStyle w:val="Heading1"/>
      </w:pPr>
      <w:r>
        <w:t xml:space="preserve">5. Strategic Fit Analysis for ContentOS</w:t>
      </w:r>
    </w:p>
    <w:p>
      <w:pPr>
        <w:pStyle w:val="Heading2"/>
      </w:pPr>
      <w:r>
        <w:t xml:space="preserve">5.1 The ICP Segmentation Insight</w:t>
      </w:r>
    </w:p>
    <w:p>
      <w:pPr>
        <w:spacing w:after="160" w:line="300"/>
      </w:pPr>
      <w:r>
        <w:rPr>
          <w:color w:val="374151"/>
          <w:sz w:val="21"/>
          <w:szCs w:val="21"/>
        </w:rPr>
        <w:t xml:space="preserve">Native.no's buyer and ContentOS's currently-planned buyer are not the same person, and that is good news rather than a conflict. Native.no sells to a solo operator who has no marketing skill, no time, and wants a decision made for them — hence full autopilot and a swipe interface. ContentOS's current roadmap — brand-kit controls, draft-review-approve governance, audit logging — is built for a buyer who needs multiple people to sign off before anything goes out. Because both buyers can be served by the same underlying content engine, ContentOS does not have to choose between "be like Native" and "stay enterprise" — it can offer both as two tiers of one platform, using the lighter-weight tier as a self-serve funnel that can, over time, feed the higher-governance tier as a business grows.</w:t>
      </w:r>
    </w:p>
    <w:p>
      <w:pPr>
        <w:pStyle w:val="Heading2"/>
      </w:pPr>
      <w:r>
        <w:t xml:space="preserve">5.2 Overlap With the Existing ContentOS Roadmap</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4106"/>
        <w:gridCol w:w="3100"/>
      </w:tblGrid>
      <w:tr>
        <w:trPr>
          <w:tblHeader/>
        </w:trPr>
        <w:tc>
          <w:tcPr>
            <w:tcW w:type="dxa" w:w="2900"/>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Native.no capability</w:t>
            </w:r>
          </w:p>
        </w:tc>
        <w:tc>
          <w:tcPr>
            <w:tcW w:type="dxa" w:w="4106"/>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Existing / planned ContentOS equivalent</w:t>
            </w:r>
          </w:p>
        </w:tc>
        <w:tc>
          <w:tcPr>
            <w:tcW w:type="dxa" w:w="3100"/>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Reuse vs. gap</w:t>
            </w:r>
          </w:p>
        </w:tc>
      </w:tr>
      <w:tr>
        <w:tc>
          <w:tcPr>
            <w:tcW w:type="dxa" w:w="29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Website-driven business research</w:t>
            </w:r>
          </w:p>
        </w:tc>
        <w:tc>
          <w:tcPr>
            <w:tcW w:type="dxa" w:w="4106"/>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Research phase of the content lifecycle; RAG layer already planned for hallucination mitigation</w:t>
            </w:r>
          </w:p>
        </w:tc>
        <w:tc>
          <w:tcPr>
            <w:tcW w:type="dxa" w:w="31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Largely reusable — mainly needs a lightweight scraping + competitor-identification step</w:t>
            </w:r>
          </w:p>
        </w:tc>
      </w:tr>
      <w:tr>
        <w:tc>
          <w:tcPr>
            <w:tcW w:type="dxa" w:w="29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Content generation (text + image)</w:t>
            </w:r>
          </w:p>
        </w:tc>
        <w:tc>
          <w:tcPr>
            <w:tcW w:type="dxa" w:w="4106"/>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Create phase; hybrid pipeline (AI background + deterministic text overlay)</w:t>
            </w:r>
          </w:p>
        </w:tc>
        <w:tc>
          <w:tcPr>
            <w:tcW w:type="dxa" w:w="31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Reusable, and structurally more accurate on image text than Native's approach</w:t>
            </w:r>
          </w:p>
        </w:tc>
      </w:tr>
      <w:tr>
        <w:tc>
          <w:tcPr>
            <w:tcW w:type="dxa" w:w="29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Multi-channel publishing</w:t>
            </w:r>
          </w:p>
        </w:tc>
        <w:tc>
          <w:tcPr>
            <w:tcW w:type="dxa" w:w="4106"/>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Publish/Distribute phase; Instagram, TikTok, LinkedIn, YouTube, Facebook, Pinterest, X, Threads APIs already scoped</w:t>
            </w:r>
          </w:p>
        </w:tc>
        <w:tc>
          <w:tcPr>
            <w:tcW w:type="dxa" w:w="31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Largely reusable; WhatsApp Business API is the main gap (see 6.9)</w:t>
            </w:r>
          </w:p>
        </w:tc>
      </w:tr>
      <w:tr>
        <w:tc>
          <w:tcPr>
            <w:tcW w:type="dxa" w:w="29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Performance analytics</w:t>
            </w:r>
          </w:p>
        </w:tc>
        <w:tc>
          <w:tcPr>
            <w:tcW w:type="dxa" w:w="4106"/>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Analyze phase</w:t>
            </w:r>
          </w:p>
        </w:tc>
        <w:tc>
          <w:tcPr>
            <w:tcW w:type="dxa" w:w="31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Reusable as the data source for the proposed Signal Layer (Section 6.5)</w:t>
            </w:r>
          </w:p>
        </w:tc>
      </w:tr>
      <w:tr>
        <w:tc>
          <w:tcPr>
            <w:tcW w:type="dxa" w:w="29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Ad budget management</w:t>
            </w:r>
          </w:p>
        </w:tc>
        <w:tc>
          <w:tcPr>
            <w:tcW w:type="dxa" w:w="4106"/>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Not yet in scope</w:t>
            </w:r>
          </w:p>
        </w:tc>
        <w:tc>
          <w:tcPr>
            <w:tcW w:type="dxa" w:w="31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New build — Meta/Google Ads API integration required (Section 6.6)</w:t>
            </w:r>
          </w:p>
        </w:tc>
      </w:tr>
      <w:tr>
        <w:tc>
          <w:tcPr>
            <w:tcW w:type="dxa" w:w="29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Behavioural prediction (Norn)</w:t>
            </w:r>
          </w:p>
        </w:tc>
        <w:tc>
          <w:tcPr>
            <w:tcW w:type="dxa" w:w="4106"/>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Not yet in scope; conceptually adjacent to the planned "performance feedback loop"</w:t>
            </w:r>
          </w:p>
        </w:tc>
        <w:tc>
          <w:tcPr>
            <w:tcW w:type="dxa" w:w="31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New build, but the most strategically important one — see Section 6.5 and 7.4</w:t>
            </w:r>
          </w:p>
        </w:tc>
      </w:tr>
    </w:tbl>
    <w:p>
      <w:pPr>
        <w:pStyle w:val="Heading2"/>
      </w:pPr>
      <w:r>
        <w:t xml:space="preserve">5.3 Whitespace Native.no Does Not Cover</w:t>
      </w:r>
    </w:p>
    <w:p>
      <w:pPr>
        <w:pStyle w:val="ListParagraph"/>
        <w:numPr>
          <w:ilvl w:val="0"/>
          <w:numId w:val="2"/>
        </w:numPr>
        <w:spacing w:after="90" w:line="290"/>
      </w:pPr>
      <w:r>
        <w:rPr>
          <w:color w:val="374151"/>
          <w:sz w:val="21"/>
          <w:szCs w:val="21"/>
        </w:rPr>
        <w:t xml:space="preserve">No visible enterprise governance: no approval hierarchy, no audit trail, no brand-kit lock-down, no role-based permissions — features already on ContentOS's B2B roadmap.</w:t>
      </w:r>
    </w:p>
    <w:p>
      <w:pPr>
        <w:pStyle w:val="ListParagraph"/>
        <w:numPr>
          <w:ilvl w:val="0"/>
          <w:numId w:val="2"/>
        </w:numPr>
        <w:spacing w:after="90" w:line="290"/>
      </w:pPr>
      <w:r>
        <w:rPr>
          <w:color w:val="374151"/>
          <w:sz w:val="21"/>
          <w:szCs w:val="21"/>
        </w:rPr>
        <w:t xml:space="preserve">No visible multilingual or India-cultural-calendar capability — it is built for a Norway/US, English-first market.</w:t>
      </w:r>
    </w:p>
    <w:p>
      <w:pPr>
        <w:pStyle w:val="ListParagraph"/>
        <w:numPr>
          <w:ilvl w:val="0"/>
          <w:numId w:val="2"/>
        </w:numPr>
        <w:spacing w:after="90" w:line="290"/>
      </w:pPr>
      <w:r>
        <w:rPr>
          <w:color w:val="374151"/>
          <w:sz w:val="21"/>
          <w:szCs w:val="21"/>
        </w:rPr>
        <w:t xml:space="preserve">No marketplace or influencer-matching concept, unlike the Influencer Matching Marketplace already being explored for ContentOS.</w:t>
      </w:r>
    </w:p>
    <w:p>
      <w:pPr>
        <w:pStyle w:val="ListParagraph"/>
        <w:numPr>
          <w:ilvl w:val="0"/>
          <w:numId w:val="2"/>
        </w:numPr>
        <w:spacing w:after="90" w:line="290"/>
      </w:pPr>
      <w:r>
        <w:rPr>
          <w:color w:val="374151"/>
          <w:sz w:val="21"/>
          <w:szCs w:val="21"/>
        </w:rPr>
        <w:t xml:space="preserve">A tighter single-vendor dependency: its own hiring materials name Claude and Gemini specifically, with no disclosed fallback chain — versus ContentOS's planned provider-adapter pattern across multiple text and image vendors, which is more resilient to any single vendor's outages, price changes, or policy shifts.</w:t>
      </w:r>
    </w:p>
    <w:p>
      <w:r>
        <w:br w:type="page"/>
      </w:r>
    </w:p>
    <w:p>
      <w:pPr>
        <w:pStyle w:val="Heading1"/>
      </w:pPr>
      <w:r>
        <w:t xml:space="preserve">6. Recommended Feature Set — "ContentOS Autopilot"</w:t>
      </w:r>
    </w:p>
    <w:p>
      <w:pPr>
        <w:spacing w:after="160" w:line="300"/>
      </w:pPr>
      <w:r>
        <w:rPr>
          <w:color w:val="374151"/>
          <w:sz w:val="21"/>
          <w:szCs w:val="21"/>
        </w:rPr>
        <w:t xml:space="preserve">The features below translate the analysis above into a concrete, buildable set — framed as proposals for evaluation, not as decisions already made. Each includes why it matters and how it plugs into ContentOS's existing architecture.</w:t>
      </w:r>
    </w:p>
    <w:p>
      <w:pPr>
        <w:pStyle w:val="Heading3"/>
      </w:pPr>
      <w:r>
        <w:t xml:space="preserve">6.1 Zero-Input Business Onboarding (URL → Brand Brief)</w:t>
      </w:r>
    </w:p>
    <w:p>
      <w:pPr>
        <w:spacing w:after="160" w:line="300"/>
      </w:pPr>
      <w:r>
        <w:rPr>
          <w:b/>
          <w:bCs/>
          <w:color w:val="374151"/>
          <w:sz w:val="21"/>
          <w:szCs w:val="21"/>
        </w:rPr>
        <w:t xml:space="preserve">What: </w:t>
      </w:r>
      <w:r>
        <w:rPr>
          <w:color w:val="374151"/>
          <w:sz w:val="21"/>
          <w:szCs w:val="21"/>
        </w:rPr>
        <w:t xml:space="preserve">a user provides only a website URL. The system autonomously scrapes the site, infers industry/category, identifies 3–5 named competitors, profiles the likely audience, and drafts a brand-voice brief (tone, archetype, visual style) plus a first content calendar — before the user does anything else.</w:t>
      </w:r>
    </w:p>
    <w:p>
      <w:pPr>
        <w:spacing w:after="160" w:line="300"/>
      </w:pPr>
      <w:r>
        <w:rPr>
          <w:b/>
          <w:bCs/>
          <w:color w:val="374151"/>
          <w:sz w:val="21"/>
          <w:szCs w:val="21"/>
        </w:rPr>
        <w:t xml:space="preserve">Why: </w:t>
      </w:r>
      <w:r>
        <w:rPr>
          <w:color w:val="374151"/>
          <w:sz w:val="21"/>
          <w:szCs w:val="21"/>
        </w:rPr>
        <w:t xml:space="preserve">removes the single biggest SMB activation killer — the blank-form problem. This is the feature Native.no's own FAQ leads with ("you don't need to write anything").</w:t>
      </w:r>
    </w:p>
    <w:p>
      <w:pPr>
        <w:spacing w:after="160" w:line="300"/>
      </w:pPr>
      <w:r>
        <w:rPr>
          <w:b/>
          <w:bCs/>
          <w:color w:val="374151"/>
          <w:sz w:val="21"/>
          <w:szCs w:val="21"/>
        </w:rPr>
        <w:t xml:space="preserve">How: </w:t>
      </w:r>
      <w:r>
        <w:rPr>
          <w:color w:val="374151"/>
          <w:sz w:val="21"/>
          <w:szCs w:val="21"/>
        </w:rPr>
        <w:t xml:space="preserve">reuses the planned Research phase and RAG layer; the main new build is a scraping + competitor-identification step feeding the existing structured-brief generation already planned for hallucination mitigation.</w:t>
      </w:r>
    </w:p>
    <w:p>
      <w:pPr>
        <w:pStyle w:val="Heading3"/>
      </w:pPr>
      <w:r>
        <w:t xml:space="preserve">6.2 Swipe Review Queue</w:t>
      </w:r>
    </w:p>
    <w:p>
      <w:pPr>
        <w:spacing w:after="160" w:line="300"/>
      </w:pPr>
      <w:r>
        <w:rPr>
          <w:b/>
          <w:bCs/>
          <w:color w:val="374151"/>
          <w:sz w:val="21"/>
          <w:szCs w:val="21"/>
        </w:rPr>
        <w:t xml:space="preserve">What: </w:t>
      </w:r>
      <w:r>
        <w:rPr>
          <w:color w:val="374151"/>
          <w:sz w:val="21"/>
          <w:szCs w:val="21"/>
        </w:rPr>
        <w:t xml:space="preserve">a card-based, swipe-left/swipe-right mobile review mode for rapid approval of drafted posts, offered alongside — not instead of — the dashboard/calendar view.</w:t>
      </w:r>
    </w:p>
    <w:p>
      <w:pPr>
        <w:spacing w:after="160" w:line="300"/>
      </w:pPr>
      <w:r>
        <w:rPr>
          <w:b/>
          <w:bCs/>
          <w:color w:val="374151"/>
          <w:sz w:val="21"/>
          <w:szCs w:val="21"/>
        </w:rPr>
        <w:t xml:space="preserve">Why: </w:t>
      </w:r>
      <w:r>
        <w:rPr>
          <w:color w:val="374151"/>
          <w:sz w:val="21"/>
          <w:szCs w:val="21"/>
        </w:rPr>
        <w:t xml:space="preserve">cuts review time to seconds per post for time-poor solo operators, while the more deliberate draft-review-approve workflow remains available for enterprise buyers who need multi-person sign-off.</w:t>
      </w:r>
    </w:p>
    <w:p>
      <w:pPr>
        <w:spacing w:after="160" w:line="300"/>
      </w:pPr>
      <w:r>
        <w:rPr>
          <w:b/>
          <w:bCs/>
          <w:color w:val="374151"/>
          <w:sz w:val="21"/>
          <w:szCs w:val="21"/>
        </w:rPr>
        <w:t xml:space="preserve">How: </w:t>
      </w:r>
      <w:r>
        <w:rPr>
          <w:color w:val="374151"/>
          <w:sz w:val="21"/>
          <w:szCs w:val="21"/>
        </w:rPr>
        <w:t xml:space="preserve">a thin UI layer over the existing draft/approval state machine; no new backend service required beyond exposing existing approve/reject/edit endpoints to a mobile-optimised queue.</w:t>
      </w:r>
    </w:p>
    <w:p>
      <w:pPr>
        <w:pStyle w:val="Heading3"/>
      </w:pPr>
      <w:r>
        <w:t xml:space="preserve">6.3 Conversational Refine Panel</w:t>
      </w:r>
    </w:p>
    <w:p>
      <w:pPr>
        <w:spacing w:after="160" w:line="300"/>
      </w:pPr>
      <w:r>
        <w:rPr>
          <w:b/>
          <w:bCs/>
          <w:color w:val="374151"/>
          <w:sz w:val="21"/>
          <w:szCs w:val="21"/>
        </w:rPr>
        <w:t xml:space="preserve">What: </w:t>
      </w:r>
      <w:r>
        <w:rPr>
          <w:color w:val="374151"/>
          <w:sz w:val="21"/>
          <w:szCs w:val="21"/>
        </w:rPr>
        <w:t xml:space="preserve">a plain-language edit box on any drafted asset ("make it warmer," "swap the CTA") that produces a revised caption and new image variant in place, instead of a blunt "regenerate" button or raw prompt box.</w:t>
      </w:r>
    </w:p>
    <w:p>
      <w:pPr>
        <w:spacing w:after="160" w:line="300"/>
      </w:pPr>
      <w:r>
        <w:rPr>
          <w:b/>
          <w:bCs/>
          <w:color w:val="374151"/>
          <w:sz w:val="21"/>
          <w:szCs w:val="21"/>
        </w:rPr>
        <w:t xml:space="preserve">Why: </w:t>
      </w:r>
      <w:r>
        <w:rPr>
          <w:color w:val="374151"/>
          <w:sz w:val="21"/>
          <w:szCs w:val="21"/>
        </w:rPr>
        <w:t xml:space="preserve">keeps non-technical users out of prompt engineering while still giving them real control.</w:t>
      </w:r>
    </w:p>
    <w:p>
      <w:pPr>
        <w:spacing w:after="160" w:line="300"/>
      </w:pPr>
      <w:r>
        <w:rPr>
          <w:b/>
          <w:bCs/>
          <w:color w:val="374151"/>
          <w:sz w:val="21"/>
          <w:szCs w:val="21"/>
        </w:rPr>
        <w:t xml:space="preserve">How: </w:t>
      </w:r>
      <w:r>
        <w:rPr>
          <w:color w:val="374151"/>
          <w:sz w:val="21"/>
          <w:szCs w:val="21"/>
        </w:rPr>
        <w:t xml:space="preserve">a conversational wrapper around the existing text- and image-generation services. Because ContentOS already separates the AI-generated background from the deterministically rendered text layer, a caption-only edit can skip image regeneration entirely — cheaper and faster than a competitor whose text is baked into a single generated image.</w:t>
      </w:r>
    </w:p>
    <w:p>
      <w:pPr>
        <w:pStyle w:val="Heading3"/>
      </w:pPr>
      <w:r>
        <w:t xml:space="preserve">6.4 Progressive Autonomy Toggle</w:t>
      </w:r>
    </w:p>
    <w:p>
      <w:pPr>
        <w:spacing w:after="160" w:line="300"/>
      </w:pPr>
      <w:r>
        <w:rPr>
          <w:b/>
          <w:bCs/>
          <w:color w:val="374151"/>
          <w:sz w:val="21"/>
          <w:szCs w:val="21"/>
        </w:rPr>
        <w:t xml:space="preserve">What: </w:t>
      </w:r>
      <w:r>
        <w:rPr>
          <w:color w:val="374151"/>
          <w:sz w:val="21"/>
          <w:szCs w:val="21"/>
        </w:rPr>
        <w:t xml:space="preserve">every workspace starts in Approve Mode (nothing publishes without a human click). A workspace graduates to Autopilot Mode only after a defined trust threshold — e.g. a run of consecutive approvals with no edits — or by explicit opt-in.</w:t>
      </w:r>
    </w:p>
    <w:p>
      <w:pPr>
        <w:spacing w:after="160" w:line="300"/>
      </w:pPr>
      <w:r>
        <w:rPr>
          <w:b/>
          <w:bCs/>
          <w:color w:val="374151"/>
          <w:sz w:val="21"/>
          <w:szCs w:val="21"/>
        </w:rPr>
        <w:t xml:space="preserve">Why: </w:t>
      </w:r>
      <w:r>
        <w:rPr>
          <w:color w:val="374151"/>
          <w:sz w:val="21"/>
          <w:szCs w:val="21"/>
        </w:rPr>
        <w:t xml:space="preserve">full autonomy carries real brand and financial risk (a bad autonomous post, misallocated ad spend). Gating it behind demonstrated trust protects both the customer and ContentOS while still delivering the "set and forget" promise Native.no leads with.</w:t>
      </w:r>
    </w:p>
    <w:p>
      <w:pPr>
        <w:spacing w:after="160" w:line="300"/>
      </w:pPr>
      <w:r>
        <w:rPr>
          <w:b/>
          <w:bCs/>
          <w:color w:val="374151"/>
          <w:sz w:val="21"/>
          <w:szCs w:val="21"/>
        </w:rPr>
        <w:t xml:space="preserve">How: </w:t>
      </w:r>
      <w:r>
        <w:rPr>
          <w:color w:val="374151"/>
          <w:sz w:val="21"/>
          <w:szCs w:val="21"/>
        </w:rPr>
        <w:t xml:space="preserve">a policy/state-machine layer on top of the publishing service — and it doubles as the seed of the acceptance-signal dataset described next.</w:t>
      </w:r>
    </w:p>
    <w:p>
      <w:pPr>
        <w:pStyle w:val="Heading3"/>
      </w:pPr>
      <w:r>
        <w:t xml:space="preserve">6.5 ContentOS Signal Layer — the most strategically important feature</w:t>
      </w:r>
    </w:p>
    <w:p>
      <w:pPr>
        <w:spacing w:after="160" w:line="300"/>
      </w:pPr>
      <w:r>
        <w:rPr>
          <w:b/>
          <w:bCs/>
          <w:color w:val="374151"/>
          <w:sz w:val="21"/>
          <w:szCs w:val="21"/>
        </w:rPr>
        <w:t xml:space="preserve">What: </w:t>
      </w:r>
      <w:r>
        <w:rPr>
          <w:color w:val="374151"/>
          <w:sz w:val="21"/>
          <w:szCs w:val="21"/>
        </w:rPr>
        <w:t xml:space="preserve">a lightweight prediction/ranking model that scores draft ideas before they're generated, based on what a given brand's audience actually keeps, edits or rejects, plus category-level performance patterns — the direct analogue to Native.no's Norn.</w:t>
      </w:r>
    </w:p>
    <w:p>
      <w:pPr>
        <w:spacing w:after="160" w:line="300"/>
      </w:pPr>
      <w:r>
        <w:rPr>
          <w:b/>
          <w:bCs/>
          <w:color w:val="374151"/>
          <w:sz w:val="21"/>
          <w:szCs w:val="21"/>
        </w:rPr>
        <w:t xml:space="preserve">Why: </w:t>
      </w:r>
      <w:r>
        <w:rPr>
          <w:color w:val="374151"/>
          <w:sz w:val="21"/>
          <w:szCs w:val="21"/>
        </w:rPr>
        <w:t xml:space="preserve">this is the closest thing Native.no has to a real, hard-to-copy moat, precisely because it is architecturally separate from content generation itself: it decides what idea is worth making, then hands off to the existing generation stack. ContentOS's already-planned "performance feedback loop" is a natural foundation — the recommendation is to make it an explicit, named layer with its own accumulating dataset, because its value compounds with data volume and time.</w:t>
      </w:r>
    </w:p>
    <w:p>
      <w:pPr>
        <w:spacing w:after="160" w:line="300"/>
      </w:pPr>
      <w:r>
        <w:rPr>
          <w:b/>
          <w:bCs/>
          <w:color w:val="374151"/>
          <w:sz w:val="21"/>
          <w:szCs w:val="21"/>
        </w:rPr>
        <w:t xml:space="preserve">How: </w:t>
      </w:r>
      <w:r>
        <w:rPr>
          <w:color w:val="374151"/>
          <w:sz w:val="21"/>
          <w:szCs w:val="21"/>
        </w:rPr>
        <w:t xml:space="preserve">start capturing accept/edit/reject events now, at the event level, even before the predictive model itself is built. Every day of delay is a day of training data conceded to a competitor whose flywheel started in January 2026.</w:t>
      </w:r>
    </w:p>
    <w:p>
      <w:pPr>
        <w:pStyle w:val="Heading3"/>
      </w:pPr>
      <w:r>
        <w:t xml:space="preserve">6.6 Autonomous Ad Budget Optimizer</w:t>
      </w:r>
    </w:p>
    <w:p>
      <w:pPr>
        <w:spacing w:after="160" w:line="300"/>
      </w:pPr>
      <w:r>
        <w:rPr>
          <w:b/>
          <w:bCs/>
          <w:color w:val="374151"/>
          <w:sz w:val="21"/>
          <w:szCs w:val="21"/>
        </w:rPr>
        <w:t xml:space="preserve">What: </w:t>
      </w:r>
      <w:r>
        <w:rPr>
          <w:color w:val="374151"/>
          <w:sz w:val="21"/>
          <w:szCs w:val="21"/>
        </w:rPr>
        <w:t xml:space="preserve">a user sets a total ad budget; the system generates ad variants, launches them via the Meta and Google Ads APIs, and reallocates spend toward better-performing variants automatically.</w:t>
      </w:r>
    </w:p>
    <w:p>
      <w:pPr>
        <w:spacing w:after="160" w:line="300"/>
      </w:pPr>
      <w:r>
        <w:rPr>
          <w:b/>
          <w:bCs/>
          <w:color w:val="374151"/>
          <w:sz w:val="21"/>
          <w:szCs w:val="21"/>
        </w:rPr>
        <w:t xml:space="preserve">Why: </w:t>
      </w:r>
      <w:r>
        <w:rPr>
          <w:color w:val="374151"/>
          <w:sz w:val="21"/>
          <w:szCs w:val="21"/>
        </w:rPr>
        <w:t xml:space="preserve">extends ContentOS naturally into the Distribute phase of its own stated lifecycle with a highly monetisable capability; mirrors Native Ads.</w:t>
      </w:r>
    </w:p>
    <w:p>
      <w:pPr>
        <w:spacing w:after="160" w:line="300"/>
      </w:pPr>
      <w:r>
        <w:rPr>
          <w:b/>
          <w:bCs/>
          <w:color w:val="374151"/>
          <w:sz w:val="21"/>
          <w:szCs w:val="21"/>
        </w:rPr>
        <w:t xml:space="preserve">How: </w:t>
      </w:r>
      <w:r>
        <w:rPr>
          <w:color w:val="374151"/>
          <w:sz w:val="21"/>
          <w:szCs w:val="21"/>
        </w:rPr>
        <w:t xml:space="preserve">requires new Meta Ads API and Google Ads API integrations plus a budget-allocation service; a simple rules-based reallocation can ship before investing in full multi-armed-bandit optimisation.</w:t>
      </w:r>
    </w:p>
    <w:p>
      <w:pPr>
        <w:pStyle w:val="Heading3"/>
      </w:pPr>
      <w:r>
        <w:t xml:space="preserve">6.7 Post-Generation Layer Editor</w:t>
      </w:r>
    </w:p>
    <w:p>
      <w:pPr>
        <w:spacing w:after="160" w:line="300"/>
      </w:pPr>
      <w:r>
        <w:rPr>
          <w:b/>
          <w:bCs/>
          <w:color w:val="374151"/>
          <w:sz w:val="21"/>
          <w:szCs w:val="21"/>
        </w:rPr>
        <w:t xml:space="preserve">What: </w:t>
      </w:r>
      <w:r>
        <w:rPr>
          <w:color w:val="374151"/>
          <w:sz w:val="21"/>
          <w:szCs w:val="21"/>
        </w:rPr>
        <w:t xml:space="preserve">a lightweight in-product editor for generated visuals — add or remove elements, adjust the text layer, swap the AI-generated background — so a near-miss post doesn't send the user to Canva.</w:t>
      </w:r>
    </w:p>
    <w:p>
      <w:pPr>
        <w:spacing w:after="160" w:line="300"/>
      </w:pPr>
      <w:r>
        <w:rPr>
          <w:b/>
          <w:bCs/>
          <w:color w:val="374151"/>
          <w:sz w:val="21"/>
          <w:szCs w:val="21"/>
        </w:rPr>
        <w:t xml:space="preserve">Why: </w:t>
      </w:r>
      <w:r>
        <w:rPr>
          <w:color w:val="374151"/>
          <w:sz w:val="21"/>
          <w:szCs w:val="21"/>
        </w:rPr>
        <w:t xml:space="preserve">reduces drop-off to external tools at the exact moment of highest intent.</w:t>
      </w:r>
    </w:p>
    <w:p>
      <w:pPr>
        <w:spacing w:after="160" w:line="300"/>
      </w:pPr>
      <w:r>
        <w:rPr>
          <w:b/>
          <w:bCs/>
          <w:color w:val="374151"/>
          <w:sz w:val="21"/>
          <w:szCs w:val="21"/>
        </w:rPr>
        <w:t xml:space="preserve">How: </w:t>
      </w:r>
      <w:r>
        <w:rPr>
          <w:color w:val="374151"/>
          <w:sz w:val="21"/>
          <w:szCs w:val="21"/>
        </w:rPr>
        <w:t xml:space="preserve">this is a case where a decision already made for a different reason pays off twice: because ContentOS's hybrid pipeline keeps text as a separate deterministic layer rather than baked into a raster image, editing that text doesn't require touching the image model at all — a structural editing advantage over a competitor whose text is part of the generated image.</w:t>
      </w:r>
    </w:p>
    <w:p>
      <w:pPr>
        <w:pStyle w:val="Heading3"/>
      </w:pPr>
      <w:r>
        <w:t xml:space="preserve">6.8 Agency / Reseller Multi-Workspace Tier</w:t>
      </w:r>
    </w:p>
    <w:p>
      <w:pPr>
        <w:spacing w:after="160" w:line="300"/>
      </w:pPr>
      <w:r>
        <w:rPr>
          <w:b/>
          <w:bCs/>
          <w:color w:val="374151"/>
          <w:sz w:val="21"/>
          <w:szCs w:val="21"/>
        </w:rPr>
        <w:t xml:space="preserve">What: </w:t>
      </w:r>
      <w:r>
        <w:rPr>
          <w:color w:val="374151"/>
          <w:sz w:val="21"/>
          <w:szCs w:val="21"/>
        </w:rPr>
        <w:t xml:space="preserve">a workspace-per-client package (bulk brand slots, one login, each client's own connected accounts and ad account) sold to freelancers and small agencies serving multiple MSME clients.</w:t>
      </w:r>
    </w:p>
    <w:p>
      <w:pPr>
        <w:spacing w:after="160" w:line="300"/>
      </w:pPr>
      <w:r>
        <w:rPr>
          <w:b/>
          <w:bCs/>
          <w:color w:val="374151"/>
          <w:sz w:val="21"/>
          <w:szCs w:val="21"/>
        </w:rPr>
        <w:t xml:space="preserve">Why: </w:t>
      </w:r>
      <w:r>
        <w:rPr>
          <w:color w:val="374151"/>
          <w:sz w:val="21"/>
          <w:szCs w:val="21"/>
        </w:rPr>
        <w:t xml:space="preserve">India's SMB-marketing-services layer is large — 10,000+ agencies by industry directory estimates, plus a long freelancer tail — and already retains exactly the MSMEs ContentOS wants to reach. Positioning ContentOS as the tool an agency runs on, rather than a competitor to the agency, turns the earlier internal view that managed-service providers are "a different customer" into a channel-partner opportunity rather than a market ContentOS simply leaves alone.</w:t>
      </w:r>
    </w:p>
    <w:p>
      <w:pPr>
        <w:spacing w:after="160" w:line="300"/>
      </w:pPr>
      <w:r>
        <w:rPr>
          <w:b/>
          <w:bCs/>
          <w:color w:val="374151"/>
          <w:sz w:val="21"/>
          <w:szCs w:val="21"/>
        </w:rPr>
        <w:t xml:space="preserve">How: </w:t>
      </w:r>
      <w:r>
        <w:rPr>
          <w:color w:val="374151"/>
          <w:sz w:val="21"/>
          <w:szCs w:val="21"/>
        </w:rPr>
        <w:t xml:space="preserve">primarily a multi-tenancy and permissions feature on top of existing account infrastructure.</w:t>
      </w:r>
    </w:p>
    <w:p>
      <w:pPr>
        <w:pStyle w:val="Heading3"/>
      </w:pPr>
      <w:r>
        <w:t xml:space="preserve">6.9 India-First Localisation Pack</w:t>
      </w:r>
    </w:p>
    <w:p>
      <w:pPr>
        <w:spacing w:after="160" w:line="300"/>
      </w:pPr>
      <w:r>
        <w:rPr>
          <w:b/>
          <w:bCs/>
          <w:color w:val="374151"/>
          <w:sz w:val="21"/>
          <w:szCs w:val="21"/>
        </w:rPr>
        <w:t xml:space="preserve">What: </w:t>
      </w:r>
      <w:r>
        <w:rPr>
          <w:color w:val="374151"/>
          <w:sz w:val="21"/>
          <w:szCs w:val="21"/>
        </w:rPr>
        <w:t xml:space="preserve">multi-language content generation (Hindi, Tamil, Telugu, Bengali, Marathi and other major Indian languages) with tone and script correctness; a festival- and regional-calendar-aware content planner (Diwali, Eid, Pongal, regional New Years, and more); and WhatsApp Business API as a first-class distribution channel, not an afterthought.</w:t>
      </w:r>
    </w:p>
    <w:p>
      <w:pPr>
        <w:spacing w:after="160" w:line="300"/>
      </w:pPr>
      <w:r>
        <w:rPr>
          <w:b/>
          <w:bCs/>
          <w:color w:val="374151"/>
          <w:sz w:val="21"/>
          <w:szCs w:val="21"/>
        </w:rPr>
        <w:t xml:space="preserve">Why: </w:t>
      </w:r>
      <w:r>
        <w:rPr>
          <w:color w:val="374151"/>
          <w:sz w:val="21"/>
          <w:szCs w:val="21"/>
        </w:rPr>
        <w:t xml:space="preserve">this is the single biggest whitespace relative to Native.no, which shows no visible multilingual or India-cultural-calendar capability. WhatsApp in particular is the primary business-communication channel for Indian MSMEs in a way it simply is not in Native's home markets.</w:t>
      </w:r>
    </w:p>
    <w:p>
      <w:pPr>
        <w:spacing w:after="160" w:line="300"/>
      </w:pPr>
      <w:r>
        <w:rPr>
          <w:b/>
          <w:bCs/>
          <w:color w:val="374151"/>
          <w:sz w:val="21"/>
          <w:szCs w:val="21"/>
        </w:rPr>
        <w:t xml:space="preserve">How: </w:t>
      </w:r>
      <w:r>
        <w:rPr>
          <w:color w:val="374151"/>
          <w:sz w:val="21"/>
          <w:szCs w:val="21"/>
        </w:rPr>
        <w:t xml:space="preserve">extends the existing content-generation service with locale-aware prompting and few-shot examples per language, and adds the WhatsApp Business API alongside the social APIs already scoped.</w:t>
      </w:r>
    </w:p>
    <w:p>
      <w:pPr>
        <w:pStyle w:val="Heading3"/>
      </w:pPr>
      <w:r>
        <w:t xml:space="preserve">6.10 Trust &amp; Data-Residency Positioning</w:t>
      </w:r>
    </w:p>
    <w:p>
      <w:pPr>
        <w:spacing w:after="160" w:line="300"/>
      </w:pPr>
      <w:r>
        <w:rPr>
          <w:b/>
          <w:bCs/>
          <w:color w:val="374151"/>
          <w:sz w:val="21"/>
          <w:szCs w:val="21"/>
        </w:rPr>
        <w:t xml:space="preserve">What: </w:t>
      </w:r>
      <w:r>
        <w:rPr>
          <w:color w:val="374151"/>
          <w:sz w:val="21"/>
          <w:szCs w:val="21"/>
        </w:rPr>
        <w:t xml:space="preserve">explicit, customer-facing commitments: data residency in an India AWS region, a plain-language "we do not train foundation models on your brand content" policy (mirroring the trust posture Native.no uses around its Norway/Google Cloud hosting), and alignment with India's Digital Personal Data Protection Act, 2023 (DPDP Act).</w:t>
      </w:r>
    </w:p>
    <w:p>
      <w:pPr>
        <w:spacing w:after="160" w:line="300"/>
      </w:pPr>
      <w:r>
        <w:rPr>
          <w:b/>
          <w:bCs/>
          <w:color w:val="374151"/>
          <w:sz w:val="21"/>
          <w:szCs w:val="21"/>
        </w:rPr>
        <w:t xml:space="preserve">Why: </w:t>
      </w:r>
      <w:r>
        <w:rPr>
          <w:color w:val="374151"/>
          <w:sz w:val="21"/>
          <w:szCs w:val="21"/>
        </w:rPr>
        <w:t xml:space="preserve">trust messaging is a real conversion lever for SMB buyers wary of an AI tool "learning" their business, and India-specific compliance language is a prerequisite for eventual enterprise sales.</w:t>
      </w:r>
    </w:p>
    <w:p>
      <w:pPr>
        <w:spacing w:after="160" w:line="300"/>
      </w:pPr>
      <w:r>
        <w:rPr>
          <w:b/>
          <w:bCs/>
          <w:color w:val="374151"/>
          <w:sz w:val="21"/>
          <w:szCs w:val="21"/>
        </w:rPr>
        <w:t xml:space="preserve">How: </w:t>
      </w:r>
      <w:r>
        <w:rPr>
          <w:color w:val="374151"/>
          <w:sz w:val="21"/>
          <w:szCs w:val="21"/>
        </w:rPr>
        <w:t xml:space="preserve">largely a policy, contractual and infrastructure-region decision rather than new product surface — should be finalised before public go-to-market copy is written, not after.</w:t>
      </w:r>
    </w:p>
    <w:p>
      <w:pPr>
        <w:pStyle w:val="Heading3"/>
      </w:pPr>
      <w:r>
        <w:t xml:space="preserve">6.11 MCP Server &amp; API Exposure</w:t>
      </w:r>
    </w:p>
    <w:p>
      <w:pPr>
        <w:spacing w:after="160" w:line="300"/>
      </w:pPr>
      <w:r>
        <w:rPr>
          <w:b/>
          <w:bCs/>
          <w:color w:val="374151"/>
          <w:sz w:val="21"/>
          <w:szCs w:val="21"/>
        </w:rPr>
        <w:t xml:space="preserve">What: </w:t>
      </w:r>
      <w:r>
        <w:rPr>
          <w:color w:val="374151"/>
          <w:sz w:val="21"/>
          <w:szCs w:val="21"/>
        </w:rPr>
        <w:t xml:space="preserve">expose ContentOS's own capabilities (generate a post, fetch a content calendar, pull performance data) as a Model Context Protocol (MCP) server and a public API, so other AI agents, internal business tools, or power-user workflows can call into ContentOS programmatically.</w:t>
      </w:r>
    </w:p>
    <w:p>
      <w:pPr>
        <w:spacing w:after="160" w:line="300"/>
      </w:pPr>
      <w:r>
        <w:rPr>
          <w:b/>
          <w:bCs/>
          <w:color w:val="374151"/>
          <w:sz w:val="21"/>
          <w:szCs w:val="21"/>
        </w:rPr>
        <w:t xml:space="preserve">Why: </w:t>
      </w:r>
      <w:r>
        <w:rPr>
          <w:color w:val="374151"/>
          <w:sz w:val="21"/>
          <w:szCs w:val="21"/>
        </w:rPr>
        <w:t xml:space="preserve">an increasingly standard "become infrastructure, not just an app" move — Native.no already lists this on its own integrations page — and it is comparatively cheap once core services exist.</w:t>
      </w:r>
    </w:p>
    <w:p>
      <w:pPr>
        <w:spacing w:after="160" w:line="300"/>
      </w:pPr>
      <w:r>
        <w:rPr>
          <w:b/>
          <w:bCs/>
          <w:color w:val="374151"/>
          <w:sz w:val="21"/>
          <w:szCs w:val="21"/>
        </w:rPr>
        <w:t xml:space="preserve">How: </w:t>
      </w:r>
      <w:r>
        <w:rPr>
          <w:color w:val="374151"/>
          <w:sz w:val="21"/>
          <w:szCs w:val="21"/>
        </w:rPr>
        <w:t xml:space="preserve">wrap existing service endpoints in an MCP-compliant interface; low incremental cost once core services are stable.</w:t>
      </w:r>
    </w:p>
    <w:p>
      <w:pPr>
        <w:pStyle w:val="Heading3"/>
      </w:pPr>
      <w:r>
        <w:t xml:space="preserve">6.12 "Build vs. Buy vs. DIY" Comparison Calculator</w:t>
      </w:r>
    </w:p>
    <w:p>
      <w:pPr>
        <w:spacing w:after="160" w:line="300"/>
      </w:pPr>
      <w:r>
        <w:rPr>
          <w:b/>
          <w:bCs/>
          <w:color w:val="374151"/>
          <w:sz w:val="21"/>
          <w:szCs w:val="21"/>
        </w:rPr>
        <w:t xml:space="preserve">What: </w:t>
      </w:r>
      <w:r>
        <w:rPr>
          <w:color w:val="374151"/>
          <w:sz w:val="21"/>
          <w:szCs w:val="21"/>
        </w:rPr>
        <w:t xml:space="preserve">an interactive, India-cost-adjusted comparison — ContentOS Autopilot vs. a freelancer vs. a boutique agency vs. a full-service agency vs. an in-house hire — for the marketing site and onboarding flow, in the spirit of Native.no's own pricing-page comparison table.</w:t>
      </w:r>
    </w:p>
    <w:p>
      <w:pPr>
        <w:spacing w:after="160" w:line="300"/>
      </w:pPr>
      <w:r>
        <w:rPr>
          <w:b/>
          <w:bCs/>
          <w:color w:val="374151"/>
          <w:sz w:val="21"/>
          <w:szCs w:val="21"/>
        </w:rPr>
        <w:t xml:space="preserve">Why: </w:t>
      </w:r>
      <w:r>
        <w:rPr>
          <w:color w:val="374151"/>
          <w:sz w:val="21"/>
          <w:szCs w:val="21"/>
        </w:rPr>
        <w:t xml:space="preserve">a proven conversion pattern, and India's own cost benchmarks (Section 3.3) make an even starker case than Native's global figures: a single in-house social media hire alone runs ₹4–12 lakh a year fully loaded.</w:t>
      </w:r>
    </w:p>
    <w:p>
      <w:pPr>
        <w:spacing w:after="160" w:line="300"/>
      </w:pPr>
      <w:r>
        <w:rPr>
          <w:b/>
          <w:bCs/>
          <w:color w:val="374151"/>
          <w:sz w:val="21"/>
          <w:szCs w:val="21"/>
        </w:rPr>
        <w:t xml:space="preserve">How: </w:t>
      </w:r>
      <w:r>
        <w:rPr>
          <w:color w:val="374151"/>
          <w:sz w:val="21"/>
          <w:szCs w:val="21"/>
        </w:rPr>
        <w:t xml:space="preserve">primarily a marketing-site and onboarding-flow asset; no new backend required.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306"/>
        <w:gridCol w:w="3800"/>
      </w:tblGrid>
      <w:tr>
        <w:trPr>
          <w:tblHeader/>
        </w:trPr>
        <w:tc>
          <w:tcPr>
            <w:tcW w:type="dxa" w:w="3000"/>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Model</w:t>
            </w:r>
          </w:p>
        </w:tc>
        <w:tc>
          <w:tcPr>
            <w:tcW w:type="dxa" w:w="3306"/>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Typical monthly cost</w:t>
            </w:r>
          </w:p>
        </w:tc>
        <w:tc>
          <w:tcPr>
            <w:tcW w:type="dxa" w:w="3800"/>
            <w:shd w:fill="1B2A4A" w:color="auto" w:val="clear"/>
            <w:tcMar>
              <w:top w:type="dxa" w:w="90"/>
              <w:left w:type="dxa" w:w="110"/>
              <w:bottom w:type="dxa" w:w="90"/>
              <w:right w:type="dxa" w:w="110"/>
            </w:tcMar>
            <w:vAlign w:val="center"/>
          </w:tcPr>
          <w:p>
            <w:pPr>
              <w:jc w:val="left"/>
            </w:pPr>
            <w:r>
              <w:rPr>
                <w:b/>
                <w:bCs/>
                <w:i w:val="false"/>
                <w:iCs w:val="false"/>
                <w:color w:val="FFFFFF"/>
                <w:sz w:val="19"/>
                <w:szCs w:val="19"/>
              </w:rPr>
              <w:t xml:space="preserve">Notes</w:t>
            </w:r>
          </w:p>
        </w:tc>
      </w:tr>
      <w:tr>
        <w:tc>
          <w:tcPr>
            <w:tcW w:type="dxa" w:w="30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ContentOS Autopilot (illustrative)</w:t>
            </w:r>
          </w:p>
        </w:tc>
        <w:tc>
          <w:tcPr>
            <w:tcW w:type="dxa" w:w="3306"/>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To be finalised — pending pricing decision</w:t>
            </w:r>
          </w:p>
        </w:tc>
        <w:tc>
          <w:tcPr>
            <w:tcW w:type="dxa" w:w="38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Positioned as a sub-freelancer entry point</w:t>
            </w:r>
          </w:p>
        </w:tc>
      </w:tr>
      <w:tr>
        <w:tc>
          <w:tcPr>
            <w:tcW w:type="dxa" w:w="30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Freelancer</w:t>
            </w:r>
          </w:p>
        </w:tc>
        <w:tc>
          <w:tcPr>
            <w:tcW w:type="dxa" w:w="3306"/>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₹15,000 – ₹50,000+</w:t>
            </w:r>
          </w:p>
        </w:tc>
        <w:tc>
          <w:tcPr>
            <w:tcW w:type="dxa" w:w="38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Single skill, limited availability</w:t>
            </w:r>
          </w:p>
        </w:tc>
      </w:tr>
      <w:tr>
        <w:tc>
          <w:tcPr>
            <w:tcW w:type="dxa" w:w="30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Boutique agency</w:t>
            </w:r>
          </w:p>
        </w:tc>
        <w:tc>
          <w:tcPr>
            <w:tcW w:type="dxa" w:w="3306"/>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₹30,000 – ₹1,50,000</w:t>
            </w:r>
          </w:p>
        </w:tc>
        <w:tc>
          <w:tcPr>
            <w:tcW w:type="dxa" w:w="38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Strategy + content, no dedicated hire</w:t>
            </w:r>
          </w:p>
        </w:tc>
      </w:tr>
      <w:tr>
        <w:tc>
          <w:tcPr>
            <w:tcW w:type="dxa" w:w="30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Full-service agency</w:t>
            </w:r>
          </w:p>
        </w:tc>
        <w:tc>
          <w:tcPr>
            <w:tcW w:type="dxa" w:w="3306"/>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₹1,00,000 – ₹5,00,000+</w:t>
            </w:r>
          </w:p>
        </w:tc>
        <w:tc>
          <w:tcPr>
            <w:tcW w:type="dxa" w:w="3800"/>
            <w:shd w:fill="EEF2F6" w:color="auto" w:val="clear"/>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Includes paid media management</w:t>
            </w:r>
          </w:p>
        </w:tc>
      </w:tr>
      <w:tr>
        <w:tc>
          <w:tcPr>
            <w:tcW w:type="dxa" w:w="30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In-house manager</w:t>
            </w:r>
          </w:p>
        </w:tc>
        <w:tc>
          <w:tcPr>
            <w:tcW w:type="dxa" w:w="3306"/>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₹33,000 – ₹1,00,000 (₹4–12 LPA)</w:t>
            </w:r>
          </w:p>
        </w:tc>
        <w:tc>
          <w:tcPr>
            <w:tcW w:type="dxa" w:w="3800"/>
            <w:tcMar>
              <w:top w:type="dxa" w:w="90"/>
              <w:left w:type="dxa" w:w="110"/>
              <w:bottom w:type="dxa" w:w="90"/>
              <w:right w:type="dxa" w:w="110"/>
            </w:tcMar>
            <w:vAlign w:val="center"/>
          </w:tcPr>
          <w:p>
            <w:pPr>
              <w:jc w:val="left"/>
            </w:pPr>
            <w:r>
              <w:rPr>
                <w:b w:val="false"/>
                <w:bCs w:val="false"/>
                <w:i w:val="false"/>
                <w:iCs w:val="false"/>
                <w:color w:val="374151"/>
                <w:sz w:val="19"/>
                <w:szCs w:val="19"/>
              </w:rPr>
              <w:t xml:space="preserve">Plus tools, training, HR overhead</w:t>
            </w:r>
          </w:p>
        </w:tc>
      </w:tr>
    </w:tbl>
    <w:p>
      <w:r>
        <w:br w:type="page"/>
      </w:r>
    </w:p>
    <w:p>
      <w:pPr>
        <w:pStyle w:val="Heading1"/>
      </w:pPr>
      <w:r>
        <w:t xml:space="preserve">7. Moat Analysis — What to Adopt vs. What to Build Fresh</w:t>
      </w:r>
    </w:p>
    <w:p>
      <w:pPr>
        <w:pStyle w:val="Heading2"/>
      </w:pPr>
      <w:r>
        <w:t xml:space="preserve">7.1 What Native.no's Moat Actually Is (and Isn't)</w:t>
      </w:r>
    </w:p>
    <w:p>
      <w:pPr>
        <w:spacing w:after="160" w:line="300"/>
      </w:pPr>
      <w:r>
        <w:rPr>
          <w:color w:val="374151"/>
          <w:sz w:val="21"/>
          <w:szCs w:val="21"/>
        </w:rPr>
        <w:t xml:space="preserve">Native's generative capability is not proprietary — its own hiring materials name Claude Opus 4.5, Gemini 3 Pro and Google's Nano Banana image model as the actual content-rendering engines. Any well-resourced competitor, including ContentOS, has access to comparable underlying model capability. What Native.no actually has is:</w:t>
      </w:r>
    </w:p>
    <w:p>
      <w:pPr>
        <w:pStyle w:val="ListParagraph"/>
        <w:numPr>
          <w:ilvl w:val="0"/>
          <w:numId w:val="2"/>
        </w:numPr>
        <w:spacing w:after="90" w:line="290"/>
      </w:pPr>
      <w:r>
        <w:rPr>
          <w:color w:val="374151"/>
          <w:sz w:val="21"/>
          <w:szCs w:val="21"/>
        </w:rPr>
        <w:t xml:space="preserve">The Norn acceptance-signal data flywheel — genuinely hard to copy because it requires accumulated real-user behavioural data, but still young: the product only went fully live in January 2026.</w:t>
      </w:r>
    </w:p>
    <w:p>
      <w:pPr>
        <w:pStyle w:val="ListParagraph"/>
        <w:numPr>
          <w:ilvl w:val="0"/>
          <w:numId w:val="2"/>
        </w:numPr>
        <w:spacing w:after="90" w:line="290"/>
      </w:pPr>
      <w:r>
        <w:rPr>
          <w:color w:val="374151"/>
          <w:sz w:val="21"/>
          <w:szCs w:val="21"/>
        </w:rPr>
        <w:t xml:space="preserve">Onboarding and interaction-design craft — the URL-to-brief flow, the swipe queue, the conversational refine loop — copyable with focused design effort; this is product polish, not intellectual property.</w:t>
      </w:r>
    </w:p>
    <w:p>
      <w:pPr>
        <w:pStyle w:val="ListParagraph"/>
        <w:numPr>
          <w:ilvl w:val="0"/>
          <w:numId w:val="2"/>
        </w:numPr>
        <w:spacing w:after="90" w:line="290"/>
      </w:pPr>
      <w:r>
        <w:rPr>
          <w:color w:val="374151"/>
          <w:sz w:val="21"/>
          <w:szCs w:val="21"/>
        </w:rPr>
        <w:t xml:space="preserve">Narrative and first-mover positioning ("the first autonomous AI for social media") plus credible-name angel backing — valuable for press and buyer trust, but not a structural moat.</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106"/>
      </w:tblGrid>
      <w:tr>
        <w:tc>
          <w:tcPr>
            <w:tcW w:type="dxa" w:w="10106"/>
            <w:tcBorders>
              <w:top w:val="single" w:color="EEF2F6" w:sz="2"/>
              <w:left w:val="single" w:color="0F766E" w:sz="24"/>
              <w:bottom w:val="single" w:color="EEF2F6" w:sz="2"/>
              <w:right w:val="single" w:color="EEF2F6" w:sz="2"/>
            </w:tcBorders>
            <w:shd w:fill="EEF2F6" w:color="auto" w:val="clear"/>
            <w:tcMar>
              <w:top w:type="dxa" w:w="160"/>
              <w:left w:type="dxa" w:w="240"/>
              <w:bottom w:type="dxa" w:w="160"/>
              <w:right w:type="dxa" w:w="240"/>
            </w:tcMar>
          </w:tcPr>
          <w:p>
            <w:pPr>
              <w:spacing w:after="60"/>
            </w:pPr>
            <w:r>
              <w:rPr>
                <w:b/>
                <w:bCs/>
                <w:color w:val="0F766E"/>
                <w:sz w:val="17"/>
                <w:szCs w:val="17"/>
              </w:rPr>
              <w:t xml:space="preserve">BOTTOM LINE</w:t>
            </w:r>
          </w:p>
          <w:p>
            <w:r>
              <w:rPr>
                <w:i/>
                <w:iCs/>
                <w:color w:val="1B2A4A"/>
                <w:sz w:val="21"/>
                <w:szCs w:val="21"/>
              </w:rPr>
              <w:t xml:space="preserve">Native.no's moat is a head start on a data flywheel plus product polish — not a technology wall. It is catchable, especially by starting to accumulate an equivalent signal dataset now rather than later.</w:t>
            </w:r>
          </w:p>
        </w:tc>
      </w:tr>
    </w:tbl>
    <w:p>
      <w:pPr>
        <w:pStyle w:val="Heading2"/>
      </w:pPr>
      <w:r>
        <w:t xml:space="preserve">7.2 What to Adopt / Adapt (Directly Inspired by Native.no's Execution)</w:t>
      </w:r>
    </w:p>
    <w:p>
      <w:pPr>
        <w:spacing w:after="160" w:line="300"/>
      </w:pPr>
      <w:r>
        <w:rPr>
          <w:color w:val="374151"/>
          <w:sz w:val="21"/>
          <w:szCs w:val="21"/>
        </w:rPr>
        <w:t xml:space="preserve">These are well-validated product and UX patterns worth building ContentOS's own version of — adapting the pattern, not the branding, copy or code:</w:t>
      </w:r>
    </w:p>
    <w:p>
      <w:pPr>
        <w:pStyle w:val="ListParagraph"/>
        <w:numPr>
          <w:ilvl w:val="0"/>
          <w:numId w:val="2"/>
        </w:numPr>
        <w:spacing w:after="90" w:line="290"/>
      </w:pPr>
      <w:r>
        <w:rPr>
          <w:color w:val="374151"/>
          <w:sz w:val="21"/>
          <w:szCs w:val="21"/>
        </w:rPr>
        <w:t xml:space="preserve">Zero-input, URL-based onboarding with autonomous research (Section 6.1)</w:t>
      </w:r>
    </w:p>
    <w:p>
      <w:pPr>
        <w:pStyle w:val="ListParagraph"/>
        <w:numPr>
          <w:ilvl w:val="0"/>
          <w:numId w:val="2"/>
        </w:numPr>
        <w:spacing w:after="90" w:line="290"/>
      </w:pPr>
      <w:r>
        <w:rPr>
          <w:color w:val="374151"/>
          <w:sz w:val="21"/>
          <w:szCs w:val="21"/>
        </w:rPr>
        <w:t xml:space="preserve">Swipe-style quick-approve review mode (Section 6.2)</w:t>
      </w:r>
    </w:p>
    <w:p>
      <w:pPr>
        <w:pStyle w:val="ListParagraph"/>
        <w:numPr>
          <w:ilvl w:val="0"/>
          <w:numId w:val="2"/>
        </w:numPr>
        <w:spacing w:after="90" w:line="290"/>
      </w:pPr>
      <w:r>
        <w:rPr>
          <w:color w:val="374151"/>
          <w:sz w:val="21"/>
          <w:szCs w:val="21"/>
        </w:rPr>
        <w:t xml:space="preserve">Natural-language conversational refinement loop (Section 6.3)</w:t>
      </w:r>
    </w:p>
    <w:p>
      <w:pPr>
        <w:pStyle w:val="ListParagraph"/>
        <w:numPr>
          <w:ilvl w:val="0"/>
          <w:numId w:val="2"/>
        </w:numPr>
        <w:spacing w:after="90" w:line="290"/>
      </w:pPr>
      <w:r>
        <w:rPr>
          <w:color w:val="374151"/>
          <w:sz w:val="21"/>
          <w:szCs w:val="21"/>
        </w:rPr>
        <w:t xml:space="preserve">Progressive autonomy — approval mode graduating to autopilot (Section 6.4)</w:t>
      </w:r>
    </w:p>
    <w:p>
      <w:pPr>
        <w:pStyle w:val="ListParagraph"/>
        <w:numPr>
          <w:ilvl w:val="0"/>
          <w:numId w:val="2"/>
        </w:numPr>
        <w:spacing w:after="90" w:line="290"/>
      </w:pPr>
      <w:r>
        <w:rPr>
          <w:color w:val="374151"/>
          <w:sz w:val="21"/>
          <w:szCs w:val="21"/>
        </w:rPr>
        <w:t xml:space="preserve">Post-generation layer editor to reduce drop-off (Section 6.7)</w:t>
      </w:r>
    </w:p>
    <w:p>
      <w:pPr>
        <w:pStyle w:val="ListParagraph"/>
        <w:numPr>
          <w:ilvl w:val="0"/>
          <w:numId w:val="2"/>
        </w:numPr>
        <w:spacing w:after="90" w:line="290"/>
      </w:pPr>
      <w:r>
        <w:rPr>
          <w:color w:val="374151"/>
          <w:sz w:val="21"/>
          <w:szCs w:val="21"/>
        </w:rPr>
        <w:t xml:space="preserve">Direct cost/effort comparison marketing pattern (Section 6.12)</w:t>
      </w:r>
    </w:p>
    <w:p>
      <w:pPr>
        <w:pStyle w:val="Heading2"/>
      </w:pPr>
      <w:r>
        <w:t xml:space="preserve">7.3 What ContentOS Should Build That Native.no Does Not Have</w:t>
      </w:r>
    </w:p>
    <w:p>
      <w:pPr>
        <w:pStyle w:val="ListParagraph"/>
        <w:numPr>
          <w:ilvl w:val="0"/>
          <w:numId w:val="2"/>
        </w:numPr>
        <w:spacing w:after="90" w:line="290"/>
      </w:pPr>
      <w:r>
        <w:rPr>
          <w:color w:val="374151"/>
          <w:sz w:val="21"/>
          <w:szCs w:val="21"/>
        </w:rPr>
        <w:t xml:space="preserve">Enterprise governance stack: draft-review-approve workflows, audit logging, brand-kit lock-down, role-based access control.</w:t>
      </w:r>
    </w:p>
    <w:p>
      <w:pPr>
        <w:pStyle w:val="ListParagraph"/>
        <w:numPr>
          <w:ilvl w:val="0"/>
          <w:numId w:val="2"/>
        </w:numPr>
        <w:spacing w:after="90" w:line="290"/>
      </w:pPr>
      <w:r>
        <w:rPr>
          <w:color w:val="374151"/>
          <w:sz w:val="21"/>
          <w:szCs w:val="21"/>
        </w:rPr>
        <w:t xml:space="preserve">Hallucination-mitigation stack: RAG, structured JSON output, verifier LLM calls, few-shot grounding.</w:t>
      </w:r>
    </w:p>
    <w:p>
      <w:pPr>
        <w:pStyle w:val="ListParagraph"/>
        <w:numPr>
          <w:ilvl w:val="0"/>
          <w:numId w:val="2"/>
        </w:numPr>
        <w:spacing w:after="90" w:line="290"/>
      </w:pPr>
      <w:r>
        <w:rPr>
          <w:color w:val="374151"/>
          <w:sz w:val="21"/>
          <w:szCs w:val="21"/>
        </w:rPr>
        <w:t xml:space="preserve">The hybrid deterministic image-text pipeline — a structural fix, not a prompting workaround, for the exact failure mode (image text errors) diffusion-first competitors still carry.</w:t>
      </w:r>
    </w:p>
    <w:p>
      <w:pPr>
        <w:pStyle w:val="ListParagraph"/>
        <w:numPr>
          <w:ilvl w:val="0"/>
          <w:numId w:val="2"/>
        </w:numPr>
        <w:spacing w:after="90" w:line="290"/>
      </w:pPr>
      <w:r>
        <w:rPr>
          <w:color w:val="374151"/>
          <w:sz w:val="21"/>
          <w:szCs w:val="21"/>
        </w:rPr>
        <w:t xml:space="preserve">Full long-form lifecycle depth: blogs and newsletters across Substack, Medium, LinkedIn Articles, Dev.to, Hashnode, Ghost and WordPress, beyond Native's lighter "blog posts and newsletters" listing.</w:t>
      </w:r>
    </w:p>
    <w:p>
      <w:pPr>
        <w:pStyle w:val="ListParagraph"/>
        <w:numPr>
          <w:ilvl w:val="0"/>
          <w:numId w:val="2"/>
        </w:numPr>
        <w:spacing w:after="90" w:line="290"/>
      </w:pPr>
      <w:r>
        <w:rPr>
          <w:color w:val="374151"/>
          <w:sz w:val="21"/>
          <w:szCs w:val="21"/>
        </w:rPr>
        <w:t xml:space="preserve">India multilingual, festival-calendar and WhatsApp-first localisation (Section 6.9).</w:t>
      </w:r>
    </w:p>
    <w:p>
      <w:pPr>
        <w:pStyle w:val="ListParagraph"/>
        <w:numPr>
          <w:ilvl w:val="0"/>
          <w:numId w:val="2"/>
        </w:numPr>
        <w:spacing w:after="90" w:line="290"/>
      </w:pPr>
      <w:r>
        <w:rPr>
          <w:color w:val="374151"/>
          <w:sz w:val="21"/>
          <w:szCs w:val="21"/>
        </w:rPr>
        <w:t xml:space="preserve">The Influencer Matching Marketplace concept already under exploration — no equivalent exists in Native.no.</w:t>
      </w:r>
    </w:p>
    <w:p>
      <w:pPr>
        <w:pStyle w:val="ListParagraph"/>
        <w:numPr>
          <w:ilvl w:val="0"/>
          <w:numId w:val="2"/>
        </w:numPr>
        <w:spacing w:after="90" w:line="290"/>
      </w:pPr>
      <w:r>
        <w:rPr>
          <w:color w:val="374151"/>
          <w:sz w:val="21"/>
          <w:szCs w:val="21"/>
        </w:rPr>
        <w:t xml:space="preserve">Multi-vendor provider-adapter fallback chains (Claude → GPT-4 → Gemini → Bedrock LLaMA; Midjourney → DALL-E → Stability → Leonardo) — more resilient than Native's apparent tighter dependency on Claude and Gemini specifically.</w:t>
      </w:r>
    </w:p>
    <w:p>
      <w:pPr>
        <w:pStyle w:val="Heading2"/>
      </w:pPr>
      <w:r>
        <w:t xml:space="preserve">7.4 Recommended ContentOS Moat Stack</w:t>
      </w:r>
    </w:p>
    <w:p>
      <w:pPr>
        <w:spacing w:after="160" w:line="300"/>
      </w:pPr>
      <w:r>
        <w:rPr>
          <w:color w:val="374151"/>
          <w:sz w:val="21"/>
          <w:szCs w:val="21"/>
        </w:rPr>
        <w:t xml:space="preserve">Four pillars, none of which Native.no currently has all of at once:</w:t>
      </w:r>
    </w:p>
    <w:p>
      <w:pPr>
        <w:pStyle w:val="ListParagraph"/>
        <w:numPr>
          <w:ilvl w:val="0"/>
          <w:numId w:val="2"/>
        </w:numPr>
        <w:spacing w:after="90" w:line="290"/>
      </w:pPr>
      <w:r>
        <w:rPr>
          <w:color w:val="374151"/>
          <w:sz w:val="21"/>
          <w:szCs w:val="21"/>
        </w:rPr>
        <w:t xml:space="preserve">Proprietary Signal Layer — started early, India-specific from day one, so the data flywheel has a head start rather than a lag versus global competitors entering India later.</w:t>
      </w:r>
    </w:p>
    <w:p>
      <w:pPr>
        <w:pStyle w:val="ListParagraph"/>
        <w:numPr>
          <w:ilvl w:val="0"/>
          <w:numId w:val="2"/>
        </w:numPr>
        <w:spacing w:after="90" w:line="290"/>
      </w:pPr>
      <w:r>
        <w:rPr>
          <w:color w:val="374151"/>
          <w:sz w:val="21"/>
          <w:szCs w:val="21"/>
        </w:rPr>
        <w:t xml:space="preserve">Structural content-accuracy advantage — the hybrid pipeline and hallucination-mitigation stack, reframed explicitly as a moat rather than only a quality fix.</w:t>
      </w:r>
    </w:p>
    <w:p>
      <w:pPr>
        <w:pStyle w:val="ListParagraph"/>
        <w:numPr>
          <w:ilvl w:val="0"/>
          <w:numId w:val="2"/>
        </w:numPr>
        <w:spacing w:after="90" w:line="290"/>
      </w:pPr>
      <w:r>
        <w:rPr>
          <w:color w:val="374151"/>
          <w:sz w:val="21"/>
          <w:szCs w:val="21"/>
        </w:rPr>
        <w:t xml:space="preserve">Enterprise governance depth — durable because a solo-operator-focused competitor has little commercial incentive to build audit trails and RBAC.</w:t>
      </w:r>
    </w:p>
    <w:p>
      <w:pPr>
        <w:pStyle w:val="ListParagraph"/>
        <w:numPr>
          <w:ilvl w:val="0"/>
          <w:numId w:val="2"/>
        </w:numPr>
        <w:spacing w:after="90" w:line="290"/>
      </w:pPr>
      <w:r>
        <w:rPr>
          <w:color w:val="374151"/>
          <w:sz w:val="21"/>
          <w:szCs w:val="21"/>
        </w:rPr>
        <w:t xml:space="preserve">India-first localisation depth — durable because it requires sustained, market-specific investment a global-first competitor is unlikely to prioritise soon.</w:t>
      </w:r>
    </w:p>
    <w:p>
      <w:r>
        <w:br w:type="page"/>
      </w:r>
    </w:p>
    <w:p>
      <w:pPr>
        <w:pStyle w:val="Heading1"/>
      </w:pPr>
      <w:r>
        <w:t xml:space="preserve">8. Risks &amp; Considerations</w:t>
      </w:r>
    </w:p>
    <w:p>
      <w:pPr>
        <w:pStyle w:val="ListParagraph"/>
        <w:numPr>
          <w:ilvl w:val="0"/>
          <w:numId w:val="2"/>
        </w:numPr>
        <w:spacing w:after="90" w:line="290"/>
      </w:pPr>
      <w:r>
        <w:rPr>
          <w:color w:val="374151"/>
          <w:sz w:val="21"/>
          <w:szCs w:val="21"/>
        </w:rPr>
        <w:t xml:space="preserve">Platform API dependency and policy risk — any publishing-automation product is exposed to Instagram, TikTok, X and Meta API or policy changes; this risk is shared with Native.no, not unique to ContentOS.</w:t>
      </w:r>
    </w:p>
    <w:p>
      <w:pPr>
        <w:pStyle w:val="ListParagraph"/>
        <w:numPr>
          <w:ilvl w:val="0"/>
          <w:numId w:val="2"/>
        </w:numPr>
        <w:spacing w:after="90" w:line="290"/>
      </w:pPr>
      <w:r>
        <w:rPr>
          <w:color w:val="374151"/>
          <w:sz w:val="21"/>
          <w:szCs w:val="21"/>
        </w:rPr>
        <w:t xml:space="preserve">Autonomy / liability risk — a bad autonomous post or a misallocated ad budget is a real brand and trust cost. Mitigate by defaulting every workspace to Approve Mode (Section 6.4) and earning autopilot rather than granting it by default.</w:t>
      </w:r>
    </w:p>
    <w:p>
      <w:pPr>
        <w:pStyle w:val="ListParagraph"/>
        <w:numPr>
          <w:ilvl w:val="0"/>
          <w:numId w:val="2"/>
        </w:numPr>
        <w:spacing w:after="90" w:line="290"/>
      </w:pPr>
      <w:r>
        <w:rPr>
          <w:color w:val="374151"/>
          <w:sz w:val="21"/>
          <w:szCs w:val="21"/>
        </w:rPr>
        <w:t xml:space="preserve">Data privacy and consent design — the onboarding scrape and any Signal Layer training data need an explicit, DPDP-Act-aligned disclosure and opt-out, mirroring the approach Native.no itself discloses in its own terms.</w:t>
      </w:r>
    </w:p>
    <w:p>
      <w:pPr>
        <w:pStyle w:val="ListParagraph"/>
        <w:numPr>
          <w:ilvl w:val="0"/>
          <w:numId w:val="2"/>
        </w:numPr>
        <w:spacing w:after="90" w:line="290"/>
      </w:pPr>
      <w:r>
        <w:rPr>
          <w:color w:val="374151"/>
          <w:sz w:val="21"/>
          <w:szCs w:val="21"/>
        </w:rPr>
        <w:t xml:space="preserve">Feature parity is not a moat by itself — a "Native.no clone at INR pricing" is beatable by the next clone. The four-pillar moat stack in Section 7.4 is what should differentiate, not the feature list alone.</w:t>
      </w:r>
    </w:p>
    <w:p>
      <w:pPr>
        <w:pStyle w:val="ListParagraph"/>
        <w:numPr>
          <w:ilvl w:val="0"/>
          <w:numId w:val="2"/>
        </w:numPr>
        <w:spacing w:after="90" w:line="290"/>
      </w:pPr>
      <w:r>
        <w:rPr>
          <w:color w:val="374151"/>
          <w:sz w:val="21"/>
          <w:szCs w:val="21"/>
        </w:rPr>
        <w:t xml:space="preserve">Execution bandwidth — this is a genuinely new product surface layered onto an already ambitious 18-month, six-phase, 10-to-35-person plan. Sequencing (Section 9) matters more than scope.</w:t>
      </w:r>
    </w:p>
    <w:p>
      <w:r>
        <w:br w:type="page"/>
      </w:r>
    </w:p>
    <w:p>
      <w:pPr>
        <w:pStyle w:val="Heading1"/>
      </w:pPr>
      <w:r>
        <w:t xml:space="preserve">9. Recommendation &amp; Roadmap Placement</w:t>
      </w:r>
    </w:p>
    <w:p>
      <w:pPr>
        <w:spacing w:after="160" w:line="300"/>
      </w:pPr>
      <w:r>
        <w:rPr>
          <w:color w:val="374151"/>
          <w:sz w:val="21"/>
          <w:szCs w:val="21"/>
        </w:rPr>
        <w:t xml:space="preserve">A phased approach is recommended over a parallel full build:</w:t>
      </w:r>
    </w:p>
    <w:p>
      <w:pPr>
        <w:pStyle w:val="ListParagraph"/>
        <w:numPr>
          <w:ilvl w:val="0"/>
          <w:numId w:val="2"/>
        </w:numPr>
        <w:spacing w:after="90" w:line="290"/>
      </w:pPr>
      <w:r>
        <w:rPr>
          <w:color w:val="374151"/>
          <w:sz w:val="21"/>
          <w:szCs w:val="21"/>
        </w:rPr>
        <w:t xml:space="preserve">Near-term MVP slice — ship URL-based onboarding, the swipe review queue, and an approval-mode-only autopilot with INR/UPI pricing, reusing the existing content-generation and publishing services. This validates demand cheaply before deeper investment.</w:t>
      </w:r>
    </w:p>
    <w:p>
      <w:pPr>
        <w:pStyle w:val="ListParagraph"/>
        <w:numPr>
          <w:ilvl w:val="0"/>
          <w:numId w:val="2"/>
        </w:numPr>
        <w:spacing w:after="90" w:line="290"/>
      </w:pPr>
      <w:r>
        <w:rPr>
          <w:color w:val="374151"/>
          <w:sz w:val="21"/>
          <w:szCs w:val="21"/>
        </w:rPr>
        <w:t xml:space="preserve">Start Signal Layer data collection immediately — log accept/edit/reject events now, even before the predictive model itself is built, since the flywheel's value is time-sensitive and every month of delay is data conceded to Native.no's head start.</w:t>
      </w:r>
    </w:p>
    <w:p>
      <w:pPr>
        <w:pStyle w:val="ListParagraph"/>
        <w:numPr>
          <w:ilvl w:val="0"/>
          <w:numId w:val="2"/>
        </w:numPr>
        <w:spacing w:after="90" w:line="290"/>
      </w:pPr>
      <w:r>
        <w:rPr>
          <w:color w:val="374151"/>
          <w:sz w:val="21"/>
          <w:szCs w:val="21"/>
        </w:rPr>
        <w:t xml:space="preserve">Sequence the heavier builds — the ad optimizer, the full localisation pack, full autopilot, and the agency/reseller tier — into the mid-to-later phases of the existing six-phase, 18-month plan, alongside the planned B2B feature work rather than displacing it.</w:t>
      </w:r>
    </w:p>
    <w:p>
      <w:pPr>
        <w:pStyle w:val="ListParagraph"/>
        <w:numPr>
          <w:ilvl w:val="0"/>
          <w:numId w:val="2"/>
        </w:numPr>
        <w:spacing w:after="90" w:line="290"/>
      </w:pPr>
      <w:r>
        <w:rPr>
          <w:color w:val="374151"/>
          <w:sz w:val="21"/>
          <w:szCs w:val="21"/>
        </w:rPr>
        <w:t xml:space="preserve">Fold Sections 6.9–6.11 (localisation, trust positioning, MCP/API) into the next PRD/TRD update cycle once this brief's direction is confirmed, rather than maintaining them as a separate document.</w:t>
      </w:r>
    </w:p>
    <w:p>
      <w:r>
        <w:br w:type="page"/>
      </w:r>
    </w:p>
    <w:p>
      <w:pPr>
        <w:pStyle w:val="Heading1"/>
      </w:pPr>
      <w:r>
        <w:t xml:space="preserve">10. Sources</w:t>
      </w:r>
    </w:p>
    <w:p>
      <w:pPr>
        <w:spacing w:after="160" w:line="300"/>
      </w:pPr>
      <w:r>
        <w:rPr>
          <w:color w:val="374151"/>
          <w:sz w:val="21"/>
          <w:szCs w:val="21"/>
        </w:rPr>
        <w:t xml:space="preserve">All sources accessed September 7, 2026.</w:t>
      </w:r>
    </w:p>
    <w:p>
      <w:pPr>
        <w:pStyle w:val="ListParagraph"/>
        <w:numPr>
          <w:ilvl w:val="0"/>
          <w:numId w:val="3"/>
        </w:numPr>
        <w:spacing w:after="70" w:line="280"/>
      </w:pPr>
      <w:r>
        <w:rPr>
          <w:color w:val="374151"/>
          <w:sz w:val="20"/>
          <w:szCs w:val="20"/>
        </w:rPr>
        <w:t xml:space="preserve">native.no — homepage, pricing, terms and conditions, "Meet Norn" page</w:t>
      </w:r>
    </w:p>
    <w:p>
      <w:pPr>
        <w:pStyle w:val="ListParagraph"/>
        <w:numPr>
          <w:ilvl w:val="0"/>
          <w:numId w:val="3"/>
        </w:numPr>
        <w:spacing w:after="70" w:line="280"/>
      </w:pPr>
      <w:r>
        <w:rPr>
          <w:color w:val="374151"/>
          <w:sz w:val="20"/>
          <w:szCs w:val="20"/>
        </w:rPr>
        <w:t xml:space="preserve">jobb.native.no — Founding Engineer / AI Engineer job listing (team, funding, valuation, tech stack disclosures)</w:t>
      </w:r>
    </w:p>
    <w:p>
      <w:pPr>
        <w:pStyle w:val="ListParagraph"/>
        <w:numPr>
          <w:ilvl w:val="0"/>
          <w:numId w:val="3"/>
        </w:numPr>
        <w:spacing w:after="70" w:line="280"/>
      </w:pPr>
      <w:r>
        <w:rPr>
          <w:color w:val="374151"/>
          <w:sz w:val="20"/>
          <w:szCs w:val="20"/>
        </w:rPr>
        <w:t xml:space="preserve">PitchBook — Native (Oslo) company profile (funding, employee count, financing status)</w:t>
      </w:r>
    </w:p>
    <w:p>
      <w:pPr>
        <w:pStyle w:val="ListParagraph"/>
        <w:numPr>
          <w:ilvl w:val="0"/>
          <w:numId w:val="3"/>
        </w:numPr>
        <w:spacing w:after="70" w:line="280"/>
      </w:pPr>
      <w:r>
        <w:rPr>
          <w:color w:val="374151"/>
          <w:sz w:val="20"/>
          <w:szCs w:val="20"/>
        </w:rPr>
        <w:t xml:space="preserve">Failory — Top 100 Norway Startups to Watch in 2026</w:t>
      </w:r>
    </w:p>
    <w:p>
      <w:pPr>
        <w:pStyle w:val="ListParagraph"/>
        <w:numPr>
          <w:ilvl w:val="0"/>
          <w:numId w:val="3"/>
        </w:numPr>
        <w:spacing w:after="70" w:line="280"/>
      </w:pPr>
      <w:r>
        <w:rPr>
          <w:color w:val="374151"/>
          <w:sz w:val="20"/>
          <w:szCs w:val="20"/>
        </w:rPr>
        <w:t xml:space="preserve">Peony / Visible.vc — Nordic and Norway venture-capital investment overviews, 2026</w:t>
      </w:r>
    </w:p>
    <w:p>
      <w:pPr>
        <w:pStyle w:val="ListParagraph"/>
        <w:numPr>
          <w:ilvl w:val="0"/>
          <w:numId w:val="3"/>
        </w:numPr>
        <w:spacing w:after="70" w:line="280"/>
      </w:pPr>
      <w:r>
        <w:rPr>
          <w:color w:val="374151"/>
          <w:sz w:val="20"/>
          <w:szCs w:val="20"/>
        </w:rPr>
        <w:t xml:space="preserve">Capterra (India and global) — Predis.ai pricing, features and reviews</w:t>
      </w:r>
    </w:p>
    <w:p>
      <w:pPr>
        <w:pStyle w:val="ListParagraph"/>
        <w:numPr>
          <w:ilvl w:val="0"/>
          <w:numId w:val="3"/>
        </w:numPr>
        <w:spacing w:after="70" w:line="280"/>
      </w:pPr>
      <w:r>
        <w:rPr>
          <w:color w:val="374151"/>
          <w:sz w:val="20"/>
          <w:szCs w:val="20"/>
        </w:rPr>
        <w:t xml:space="preserve">Research and Markets, Fortune Business Insights, Grand View Research, The Business Research Company, 360iResearch — Social Media Management (Software) Market reports, 2026</w:t>
      </w:r>
    </w:p>
    <w:p>
      <w:pPr>
        <w:pStyle w:val="ListParagraph"/>
        <w:numPr>
          <w:ilvl w:val="0"/>
          <w:numId w:val="3"/>
        </w:numPr>
        <w:spacing w:after="70" w:line="280"/>
      </w:pPr>
      <w:r>
        <w:rPr>
          <w:color w:val="374151"/>
          <w:sz w:val="20"/>
          <w:szCs w:val="20"/>
        </w:rPr>
        <w:t xml:space="preserve">Insight Partners (via technologychecker.io) — AI-in-marketing market sizing</w:t>
      </w:r>
    </w:p>
    <w:p>
      <w:pPr>
        <w:pStyle w:val="ListParagraph"/>
        <w:numPr>
          <w:ilvl w:val="0"/>
          <w:numId w:val="3"/>
        </w:numPr>
        <w:spacing w:after="70" w:line="280"/>
      </w:pPr>
      <w:r>
        <w:rPr>
          <w:color w:val="374151"/>
          <w:sz w:val="20"/>
          <w:szCs w:val="20"/>
        </w:rPr>
        <w:t xml:space="preserve">Campaign Asia / Dentsu — India digital advertising industry sizing</w:t>
      </w:r>
    </w:p>
    <w:p>
      <w:pPr>
        <w:pStyle w:val="ListParagraph"/>
        <w:numPr>
          <w:ilvl w:val="0"/>
          <w:numId w:val="3"/>
        </w:numPr>
        <w:spacing w:after="70" w:line="280"/>
      </w:pPr>
      <w:r>
        <w:rPr>
          <w:color w:val="374151"/>
          <w:sz w:val="20"/>
          <w:szCs w:val="20"/>
        </w:rPr>
        <w:t xml:space="preserve">AngelOne (citing McKinsey / SaaSBOOMi) — Indian SaaS market sizing</w:t>
      </w:r>
    </w:p>
    <w:p>
      <w:pPr>
        <w:pStyle w:val="ListParagraph"/>
        <w:numPr>
          <w:ilvl w:val="0"/>
          <w:numId w:val="3"/>
        </w:numPr>
        <w:spacing w:after="70" w:line="280"/>
      </w:pPr>
      <w:r>
        <w:rPr>
          <w:color w:val="374151"/>
          <w:sz w:val="20"/>
          <w:szCs w:val="20"/>
        </w:rPr>
        <w:t xml:space="preserve">upGrowth.in; Transparent Growth Measurement; Marketing Monk — India social media management/agency cost benchmarks</w:t>
      </w:r>
    </w:p>
    <w:p>
      <w:pPr>
        <w:spacing w:after="300"/>
      </w:pPr>
    </w:p>
    <w:p>
      <w:pPr>
        <w:spacing w:after="200"/>
      </w:pPr>
      <w:r>
        <w:rPr>
          <w:i/>
          <w:iCs/>
          <w:color w:val="6B7280"/>
          <w:sz w:val="17"/>
          <w:szCs w:val="17"/>
        </w:rPr>
        <w:t xml:space="preserve">Prepared as an internal strategic reference for TechPotato Software LLP / ContentOS. Figures involving a third-party company's funding, team size and product roadmap are accurate as of the access date above and will change as that company continues to develop; verify before external use.</w:t>
      </w:r>
    </w:p>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CDD6" w:sz="4" w:space="6"/>
      </w:pBdr>
      <w:jc w:val="center"/>
    </w:pPr>
    <w:r>
      <w:rPr>
        <w:color w:val="6B7280"/>
        <w:sz w:val="16"/>
        <w:szCs w:val="16"/>
      </w:rPr>
      <w:t xml:space="preserve">ContentOS — Autopilot Initiative Brief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b/>
        <w:bCs/>
        <w:color w:val="0F766E"/>
      </w:rPr>
    </w:lvl>
  </w:abstractNum>
  <w:abstractNum w:abstractNumId="3" w15:restartNumberingAfterBreak="0">
    <w:multiLevelType w:val="hybridMultilevel"/>
    <w:lvl w:ilvl="0" w15:tentative="1">
      <w:start w:val="1"/>
      <w:numFmt w:val="bullet"/>
      <w:lvlText w:val="–"/>
      <w:lvlJc w:val="left"/>
      <w:pPr>
        <w:ind w:left="460" w:hanging="260"/>
      </w:pPr>
      <w:rPr>
        <w:color w:val="6B728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B2A4A" w:sz="8" w:space="6"/>
      </w:pBdr>
      <w:spacing w:after="220" w:before="420"/>
    </w:pPr>
    <w:rPr>
      <w:rFonts w:ascii="Calibri" w:cs="Calibri" w:eastAsia="Calibri" w:hAnsi="Calibri"/>
      <w:b/>
      <w:bCs/>
      <w:color w:val="1B2A4A"/>
      <w:sz w:val="32"/>
      <w:szCs w:val="32"/>
    </w:rPr>
  </w:style>
  <w:style w:type="paragraph" w:styleId="Heading2">
    <w:name w:val="Heading 2"/>
    <w:basedOn w:val="Normal"/>
    <w:next w:val="Normal"/>
    <w:qFormat/>
    <w:pPr>
      <w:keepNext/>
      <w:spacing w:after="160" w:before="320"/>
    </w:pPr>
    <w:rPr>
      <w:rFonts w:ascii="Calibri" w:cs="Calibri" w:eastAsia="Calibri" w:hAnsi="Calibri"/>
      <w:b/>
      <w:bCs/>
      <w:color w:val="1B2A4A"/>
      <w:sz w:val="26"/>
      <w:szCs w:val="26"/>
    </w:rPr>
  </w:style>
  <w:style w:type="paragraph" w:styleId="Heading3">
    <w:name w:val="Heading 3"/>
    <w:basedOn w:val="Normal"/>
    <w:next w:val="Normal"/>
    <w:qFormat/>
    <w:pPr>
      <w:keepNext/>
      <w:spacing w:after="100" w:before="260"/>
    </w:pPr>
    <w:rPr>
      <w:rFonts w:ascii="Calibri" w:cs="Calibri" w:eastAsia="Calibri" w:hAnsi="Calibri"/>
      <w:b/>
      <w:bCs/>
      <w:color w:val="0F766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2026-09-07T16:49:31.443Z</dcterms:created>
  <dcterms:modified xsi:type="dcterms:W3CDTF">2026-09-07T16:49:31.454Z</dcterms:modified>
</cp:coreProperties>
</file>

<file path=docProps/custom.xml><?xml version="1.0" encoding="utf-8"?>
<Properties xmlns="http://schemas.openxmlformats.org/officeDocument/2006/custom-properties" xmlns:vt="http://schemas.openxmlformats.org/officeDocument/2006/docPropsVTypes"/>
</file>