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SUMMER INTERNSHIP REPORT</w:t>
      </w:r>
    </w:p>
    <w:p>
      <w:pPr>
        <w:spacing w:after="200"/>
        <w:jc w:val="center"/>
      </w:pPr>
      <w:r>
        <w:rPr>
          <w:b/>
          <w:bCs/>
          <w:sz w:val="26"/>
          <w:szCs w:val="26"/>
        </w:rPr>
        <w:t xml:space="preserve">ON</w:t>
      </w:r>
    </w:p>
    <w:p>
      <w:pPr>
        <w:spacing w:after="400"/>
        <w:jc w:val="center"/>
      </w:pPr>
      <w:r>
        <w:rPr>
          <w:b/>
          <w:bCs/>
          <w:sz w:val="26"/>
          <w:szCs w:val="26"/>
        </w:rPr>
        <w:t xml:space="preserve">EMOTION RECOGNITION USING EEG SIGNALS: A TWO-PHASE STUDY ON RULE-BASED FRONTAL ASYMMETRY ANALYSIS AND GRADIENT-BOOSTED MACHINE LEARNING ON THE DEAP DATASET (MATLAB)</w:t>
      </w:r>
    </w:p>
    <w:p>
      <w:pPr>
        <w:spacing w:after="300" w:before="3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150" w:before="400"/>
        <w:jc w:val="center"/>
      </w:pPr>
      <w:r>
        <w:rPr>
          <w:b/>
          <w:bCs/>
          <w:sz w:val="24"/>
          <w:szCs w:val="24"/>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shd w:fill="D9E2F3" w:val="clear"/>
            <w:tcMar>
              <w:top w:type="dxa" w:w="80"/>
              <w:left w:type="dxa" w:w="100"/>
              <w:bottom w:type="dxa" w:w="80"/>
              <w:right w:type="dxa" w:w="100"/>
            </w:tcMar>
            <w:vAlign w:val="center"/>
          </w:tcPr>
          <w:p>
            <w:pPr>
              <w:jc w:val="center"/>
            </w:pPr>
            <w:r>
              <w:rPr>
                <w:b/>
                <w:bCs/>
                <w:sz w:val="22"/>
                <w:szCs w:val="22"/>
              </w:rPr>
              <w:t xml:space="preserve">Name of Student</w:t>
            </w:r>
          </w:p>
        </w:tc>
        <w:tc>
          <w:tcPr>
            <w:tcW w:type="dxa" w:w="2500"/>
            <w:shd w:fill="D9E2F3" w:val="clear"/>
            <w:tcMar>
              <w:top w:type="dxa" w:w="80"/>
              <w:left w:type="dxa" w:w="100"/>
              <w:bottom w:type="dxa" w:w="80"/>
              <w:right w:type="dxa" w:w="100"/>
            </w:tcMar>
            <w:vAlign w:val="center"/>
          </w:tcPr>
          <w:p>
            <w:pPr>
              <w:jc w:val="center"/>
            </w:pPr>
            <w:r>
              <w:rPr>
                <w:b/>
                <w:bCs/>
                <w:sz w:val="22"/>
                <w:szCs w:val="22"/>
              </w:rPr>
              <w:t xml:space="preserve">Roll No</w:t>
            </w:r>
          </w:p>
        </w:tc>
      </w:tr>
      <w:tr>
        <w:tc>
          <w:tcPr>
            <w:tcW w:type="dxa" w:w="3500"/>
            <w:tcMar>
              <w:top w:type="dxa" w:w="80"/>
              <w:left w:type="dxa" w:w="100"/>
              <w:bottom w:type="dxa" w:w="80"/>
              <w:right w:type="dxa" w:w="100"/>
            </w:tcMar>
            <w:vAlign w:val="center"/>
          </w:tcPr>
          <w:p>
            <w:pPr>
              <w:jc w:val="center"/>
            </w:pPr>
            <w:r>
              <w:rPr>
                <w:b w:val="false"/>
                <w:bCs w:val="false"/>
                <w:sz w:val="22"/>
                <w:szCs w:val="22"/>
              </w:rPr>
              <w:t xml:space="preserve">Srishti Tiwari</w:t>
            </w:r>
          </w:p>
        </w:tc>
        <w:tc>
          <w:tcPr>
            <w:tcW w:type="dxa" w:w="2500"/>
            <w:tcMar>
              <w:top w:type="dxa" w:w="80"/>
              <w:left w:type="dxa" w:w="100"/>
              <w:bottom w:type="dxa" w:w="80"/>
              <w:right w:type="dxa" w:w="100"/>
            </w:tcMar>
            <w:vAlign w:val="center"/>
          </w:tcPr>
          <w:p>
            <w:pPr>
              <w:jc w:val="center"/>
            </w:pPr>
            <w:r>
              <w:rPr>
                <w:b w:val="false"/>
                <w:bCs w:val="false"/>
                <w:sz w:val="22"/>
                <w:szCs w:val="22"/>
              </w:rPr>
              <w:t xml:space="preserve">2400910310167</w:t>
            </w:r>
          </w:p>
        </w:tc>
      </w:tr>
      <w:tr>
        <w:tc>
          <w:tcPr>
            <w:tcW w:type="dxa" w:w="3500"/>
            <w:tcMar>
              <w:top w:type="dxa" w:w="80"/>
              <w:left w:type="dxa" w:w="100"/>
              <w:bottom w:type="dxa" w:w="80"/>
              <w:right w:type="dxa" w:w="100"/>
            </w:tcMar>
            <w:vAlign w:val="center"/>
          </w:tcPr>
          <w:p>
            <w:pPr>
              <w:jc w:val="center"/>
            </w:pPr>
            <w:r>
              <w:rPr>
                <w:b w:val="false"/>
                <w:bCs w:val="false"/>
                <w:sz w:val="22"/>
                <w:szCs w:val="22"/>
              </w:rPr>
              <w:t xml:space="preserve">Shubhanshi Katiyar</w:t>
            </w:r>
          </w:p>
        </w:tc>
        <w:tc>
          <w:tcPr>
            <w:tcW w:type="dxa" w:w="2500"/>
            <w:tcMar>
              <w:top w:type="dxa" w:w="80"/>
              <w:left w:type="dxa" w:w="100"/>
              <w:bottom w:type="dxa" w:w="80"/>
              <w:right w:type="dxa" w:w="100"/>
            </w:tcMar>
            <w:vAlign w:val="center"/>
          </w:tcPr>
          <w:p>
            <w:pPr>
              <w:jc w:val="center"/>
            </w:pPr>
            <w:r>
              <w:rPr>
                <w:b w:val="false"/>
                <w:bCs w:val="false"/>
                <w:sz w:val="22"/>
                <w:szCs w:val="22"/>
              </w:rPr>
              <w:t xml:space="preserve">2400910310163</w:t>
            </w:r>
          </w:p>
        </w:tc>
      </w:tr>
      <w:tr>
        <w:tc>
          <w:tcPr>
            <w:tcW w:type="dxa" w:w="3500"/>
            <w:tcMar>
              <w:top w:type="dxa" w:w="80"/>
              <w:left w:type="dxa" w:w="100"/>
              <w:bottom w:type="dxa" w:w="80"/>
              <w:right w:type="dxa" w:w="100"/>
            </w:tcMar>
            <w:vAlign w:val="center"/>
          </w:tcPr>
          <w:p>
            <w:pPr>
              <w:jc w:val="center"/>
            </w:pPr>
            <w:r>
              <w:rPr>
                <w:b w:val="false"/>
                <w:bCs w:val="false"/>
                <w:sz w:val="22"/>
                <w:szCs w:val="22"/>
              </w:rPr>
              <w:t xml:space="preserve">Geetik Sharma</w:t>
            </w:r>
          </w:p>
        </w:tc>
        <w:tc>
          <w:tcPr>
            <w:tcW w:type="dxa" w:w="2500"/>
            <w:tcMar>
              <w:top w:type="dxa" w:w="80"/>
              <w:left w:type="dxa" w:w="100"/>
              <w:bottom w:type="dxa" w:w="80"/>
              <w:right w:type="dxa" w:w="100"/>
            </w:tcMar>
            <w:vAlign w:val="center"/>
          </w:tcPr>
          <w:p>
            <w:pPr>
              <w:jc w:val="center"/>
            </w:pPr>
            <w:r>
              <w:rPr>
                <w:b w:val="false"/>
                <w:bCs w:val="false"/>
                <w:sz w:val="22"/>
                <w:szCs w:val="22"/>
              </w:rPr>
              <w:t xml:space="preserve">2400910310076</w:t>
            </w:r>
          </w:p>
        </w:tc>
      </w:tr>
    </w:tbl>
    <w:p>
      <w:pPr>
        <w:spacing w:after="150" w:before="500"/>
        <w:jc w:val="center"/>
      </w:pPr>
      <w:r>
        <w:rPr>
          <w:b/>
          <w:bCs/>
          <w:sz w:val="24"/>
          <w:szCs w:val="24"/>
        </w:rPr>
        <w:t xml:space="preserve">Supervised by:</w:t>
      </w:r>
    </w:p>
    <w:p>
      <w:pPr>
        <w:spacing w:after="500"/>
        <w:jc w:val="center"/>
      </w:pPr>
      <w:r>
        <w:rPr>
          <w:sz w:val="24"/>
          <w:szCs w:val="24"/>
        </w:rPr>
        <w:t xml:space="preserve">Anchal Yadav</w:t>
      </w:r>
    </w:p>
    <w:p>
      <w:pPr>
        <w:spacing w:after="60" w:before="600"/>
        <w:jc w:val="center"/>
      </w:pPr>
      <w:r>
        <w:rPr>
          <w:b/>
          <w:bCs/>
          <w:sz w:val="24"/>
          <w:szCs w:val="24"/>
        </w:rPr>
        <w:t xml:space="preserve">DEPARTMENT OF ELECTRONICS &amp; COMMUNICATION ENGINEERING</w:t>
      </w:r>
    </w:p>
    <w:p>
      <w:pPr>
        <w:spacing w:after="60"/>
        <w:jc w:val="center"/>
      </w:pPr>
      <w:r>
        <w:rPr>
          <w:b/>
          <w:bCs/>
          <w:sz w:val="24"/>
          <w:szCs w:val="24"/>
        </w:rPr>
        <w:t xml:space="preserve">JSS UNIVERSITY NOIDA</w:t>
      </w:r>
    </w:p>
    <w:p>
      <w:pPr>
        <w:jc w:val="center"/>
      </w:pPr>
      <w:r>
        <w:rPr>
          <w:b/>
          <w:bCs/>
          <w:sz w:val="24"/>
          <w:szCs w:val="24"/>
        </w:rPr>
        <w:t xml:space="preserve">July 2026</w:t>
      </w:r>
    </w:p>
    <w:p>
      <w:pPr>
        <w:pageBreakBefore/>
        <w:spacing w:after="300"/>
        <w:jc w:val="center"/>
      </w:pPr>
      <w:r>
        <w:rPr>
          <w:b/>
          <w:bCs/>
          <w:sz w:val="28"/>
          <w:szCs w:val="28"/>
          <w:u w:val="single"/>
        </w:rPr>
        <w:t xml:space="preserve">CERTIFICATE</w:t>
      </w:r>
    </w:p>
    <w:p>
      <w:pPr>
        <w:spacing w:after="200" w:line="360"/>
        <w:jc w:val="both"/>
      </w:pPr>
      <w:r>
        <w:rPr>
          <w:sz w:val="24"/>
          <w:szCs w:val="24"/>
        </w:rPr>
        <w:t xml:space="preserve">We hereby submit the report entitled “Emotion Recognition Using EEG Signals: A Two-Phase Study on Rule-Based Frontal Asymmetry Analysis and Gradient-Boosted Machine Learning on the DEAP Dataset (MATLAB)” in the Department of Electronics &amp; Communication Engineering of JSS University Noida, under the supervision of Ms. Anchal Yadav, JSS University Noida, India.</w:t>
      </w:r>
    </w:p>
    <w:p>
      <w:pPr>
        <w:spacing w:after="200" w:line="360"/>
        <w:jc w:val="both"/>
      </w:pPr>
      <w:r>
        <w:rPr>
          <w:sz w:val="24"/>
          <w:szCs w:val="24"/>
        </w:rPr>
        <w:t xml:space="preserve">This report is an authentic record of the work carried out by us during the course of the internship, and no part of it has been submitted for the award of any other degree or diploma.</w:t>
      </w:r>
    </w:p>
    <w:p>
      <w:pPr>
        <w:spacing w:after="100" w:before="400"/>
      </w:pPr>
      <w:r>
        <w:rPr>
          <w:b/>
          <w:bCs/>
          <w:sz w:val="24"/>
          <w:szCs w:val="24"/>
        </w:rPr>
        <w:t xml:space="preserve">Name &amp; Signature of Students</w:t>
      </w:r>
    </w:p>
    <w:p>
      <w:pPr>
        <w:spacing w:after="60"/>
      </w:pPr>
      <w:r>
        <w:rPr>
          <w:sz w:val="22"/>
          <w:szCs w:val="22"/>
        </w:rPr>
        <w:t xml:space="preserve">Srishti Tiwari (2400910310167)</w:t>
      </w:r>
    </w:p>
    <w:p>
      <w:pPr>
        <w:spacing w:after="60"/>
      </w:pPr>
      <w:r>
        <w:rPr>
          <w:sz w:val="22"/>
          <w:szCs w:val="22"/>
        </w:rPr>
        <w:t xml:space="preserve">Shubhanshi Katiyar (2400910310163)</w:t>
      </w:r>
    </w:p>
    <w:p>
      <w:pPr>
        <w:spacing w:after="400"/>
      </w:pPr>
      <w:r>
        <w:rPr>
          <w:sz w:val="22"/>
          <w:szCs w:val="22"/>
        </w:rPr>
        <w:t xml:space="preserve">Geetik Sharma (2400910310076)</w:t>
      </w:r>
    </w:p>
    <w:p>
      <w:pPr>
        <w:spacing w:after="200" w:line="360"/>
        <w:jc w:val="both"/>
      </w:pPr>
      <w:r>
        <w:rPr>
          <w:sz w:val="24"/>
          <w:szCs w:val="24"/>
        </w:rPr>
        <w:t xml:space="preserve">The internship report is hereby approved for submission.</w:t>
      </w:r>
    </w:p>
    <w:p>
      <w:pPr>
        <w:spacing w:after="60" w:before="400"/>
      </w:pPr>
      <w:r>
        <w:rPr>
          <w:b/>
          <w:bCs/>
          <w:sz w:val="24"/>
          <w:szCs w:val="24"/>
        </w:rPr>
        <w:t xml:space="preserve">Name &amp; Signature of Supervisor</w:t>
      </w:r>
    </w:p>
    <w:p>
      <w:pPr>
        <w:spacing w:after="400"/>
      </w:pPr>
      <w:r>
        <w:rPr>
          <w:sz w:val="22"/>
          <w:szCs w:val="22"/>
        </w:rPr>
        <w:t xml:space="preserve">Ms. Anchal Yadav</w:t>
      </w:r>
    </w:p>
    <w:p>
      <w:r>
        <w:rPr>
          <w:sz w:val="22"/>
          <w:szCs w:val="22"/>
        </w:rPr>
        <w:t xml:space="preserve">Date:</w:t>
      </w:r>
    </w:p>
    <w:p>
      <w:pPr>
        <w:pageBreakBefore/>
        <w:spacing w:after="300"/>
        <w:jc w:val="center"/>
      </w:pPr>
      <w:r>
        <w:rPr>
          <w:b/>
          <w:bCs/>
          <w:sz w:val="28"/>
          <w:szCs w:val="28"/>
          <w:u w:val="single"/>
        </w:rPr>
        <w:t xml:space="preserve">ABSTRACT</w:t>
      </w:r>
    </w:p>
    <w:p>
      <w:pPr>
        <w:spacing w:after="200" w:line="360"/>
        <w:jc w:val="both"/>
      </w:pPr>
      <w:r>
        <w:rPr>
          <w:sz w:val="24"/>
          <w:szCs w:val="24"/>
        </w:rPr>
        <w:t xml:space="preserve">This report presents a two-phase methodology for EEG-based emotion recognition built and evaluated on the DEAP dataset in MATLAB. In the first phase, under an initial project constraint that ruled out machine learning, emotional state was classified using a fixed decision rule built on two established neurophysiological indices: Frontal Alpha Asymmetry (FAA) for valence and a Beta/Alpha power ratio for arousal. Rigorous validation against participants' self-reported emotion showed results in a narrow band around the 50% chance level, a genuine and well-diagnosed finding rather than an implementation defect, which motivated the transition to a learned classifier.</w:t>
      </w:r>
    </w:p>
    <w:p>
      <w:pPr>
        <w:spacing w:after="200" w:line="360"/>
        <w:jc w:val="both"/>
      </w:pPr>
      <w:r>
        <w:rPr>
          <w:sz w:val="24"/>
          <w:szCs w:val="24"/>
        </w:rPr>
        <w:t xml:space="preserve">Once the constraint was relaxed, the second phase widened the representation to a 518-feature set drawn from all 32 EEG channels, combining Differential Entropy, Relative Band Power, Higuchi's Fractal Dimension, Hjorth parameters and Differential Asymmetry. A severe class-imbalance artefact was identified in the standard DEAP labelling scheme — a 79.0% majority class for valence and a 76.7% majority class for arousal — which was causing gradient-boosted models to fall into a “majority class trap” of inflated raw accuracy with near-zero minority-class recall. Random Under-Sampling Boosting (RUSBoost), combined with strict subject-grouped cross-validation to prevent data leakage, was used to correct this. A parsimony check showed that pruning the 518-dimensional feature space to the 25 most informative predictors defeated the curse of dimensionality and lifted subject-independent balanced accuracy to 59.1% for valence and 60.0% for arousal (Macro-F1 of 0.57 and 0.58 respectively). A supplementary exploration using Convolutional and Graph Neural Networks was carried out but found to be less sample-efficient than the boosted ensemble for a cohort of this size, and the Top-25 RUSBoost model was retained as the final selected system.</w:t>
      </w:r>
    </w:p>
    <w:p>
      <w:pPr>
        <w:spacing w:after="200" w:line="360"/>
        <w:jc w:val="both"/>
      </w:pPr>
      <w:r>
        <w:rPr>
          <w:sz w:val="24"/>
          <w:szCs w:val="24"/>
        </w:rPr>
        <w:t xml:space="preserve">The report documents the complete workflow — signal acquisition, preprocessing, feature engineering, imbalance correction, validation design, model comparison, and final model selection — together with the MATLAB toolboxes and functions used at every stage, and closes with the limitations of the current study and directions for future work.</w:t>
      </w:r>
    </w:p>
    <w:p>
      <w:pPr>
        <w:pageBreakBefore/>
        <w:spacing w:after="300"/>
        <w:jc w:val="center"/>
      </w:pPr>
      <w:r>
        <w:rPr>
          <w:b/>
          <w:bCs/>
          <w:sz w:val="28"/>
          <w:szCs w:val="28"/>
          <w:u w:val="single"/>
        </w:rPr>
        <w:t xml:space="preserve">ACKNOWLEDGEMENTS</w:t>
      </w:r>
    </w:p>
    <w:p>
      <w:pPr>
        <w:spacing w:after="200" w:line="360"/>
        <w:jc w:val="both"/>
      </w:pPr>
      <w:r>
        <w:rPr>
          <w:sz w:val="24"/>
          <w:szCs w:val="24"/>
        </w:rPr>
        <w:t xml:space="preserve">We would like to express our sincere gratitude to our supervisor, Ms. Anchal Yadav, for her constant guidance, encouragement, and valuable suggestions throughout the course of this internship project. Her insights on signal processing methodology and machine learning validation practice were instrumental in shaping the rigour of this work.</w:t>
      </w:r>
    </w:p>
    <w:p>
      <w:pPr>
        <w:spacing w:after="200" w:line="360"/>
        <w:jc w:val="both"/>
      </w:pPr>
      <w:r>
        <w:rPr>
          <w:sz w:val="24"/>
          <w:szCs w:val="24"/>
        </w:rPr>
        <w:t xml:space="preserve">We are also thankful to the Department of Electronics &amp; Communication Engineering, JSS University Noida, for providing us with the opportunity, resources, and academic environment necessary to carry out this project.</w:t>
      </w:r>
    </w:p>
    <w:p>
      <w:pPr>
        <w:spacing w:after="200" w:line="360"/>
        <w:jc w:val="both"/>
      </w:pPr>
      <w:r>
        <w:rPr>
          <w:sz w:val="24"/>
          <w:szCs w:val="24"/>
        </w:rPr>
        <w:t xml:space="preserve">Finally, we would like to thank our peers and families for their continuous support and motivation during the course of this internship.</w:t>
      </w:r>
    </w:p>
    <w:p>
      <w:pPr>
        <w:pageBreakBefore/>
        <w:spacing w:after="300"/>
        <w:jc w:val="center"/>
      </w:pPr>
      <w:r>
        <w:rPr>
          <w:b/>
          <w:bCs/>
          <w:sz w:val="28"/>
          <w:szCs w:val="28"/>
          <w:u w:val="single"/>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spacing w:after="300"/>
        <w:jc w:val="center"/>
      </w:pPr>
      <w:r>
        <w:rPr>
          <w:b/>
          <w:bCs/>
          <w:sz w:val="28"/>
          <w:szCs w:val="28"/>
          <w:u w:val="single"/>
        </w:rPr>
        <w:t xml:space="preserve">LIST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tcW w:type="dxa" w:w="1500"/>
            <w:shd w:fill="D9E2F3" w:val="clear"/>
            <w:tcMar>
              <w:top w:type="dxa" w:w="80"/>
              <w:left w:type="dxa" w:w="100"/>
              <w:bottom w:type="dxa" w:w="80"/>
              <w:right w:type="dxa" w:w="100"/>
            </w:tcMar>
            <w:vAlign w:val="center"/>
          </w:tcPr>
          <w:p>
            <w:pPr>
              <w:jc w:val="center"/>
            </w:pPr>
            <w:r>
              <w:rPr>
                <w:b/>
                <w:bCs/>
                <w:sz w:val="22"/>
                <w:szCs w:val="22"/>
              </w:rPr>
              <w:t xml:space="preserve">Fig. No.</w:t>
            </w:r>
          </w:p>
        </w:tc>
        <w:tc>
          <w:tcPr>
            <w:tcW w:type="dxa" w:w="6000"/>
            <w:shd w:fill="D9E2F3" w:val="clear"/>
            <w:tcMar>
              <w:top w:type="dxa" w:w="80"/>
              <w:left w:type="dxa" w:w="100"/>
              <w:bottom w:type="dxa" w:w="80"/>
              <w:right w:type="dxa" w:w="100"/>
            </w:tcMar>
            <w:vAlign w:val="center"/>
          </w:tcPr>
          <w:p>
            <w:pPr>
              <w:jc w:val="center"/>
            </w:pPr>
            <w:r>
              <w:rPr>
                <w:b/>
                <w:bCs/>
                <w:sz w:val="22"/>
                <w:szCs w:val="22"/>
              </w:rPr>
              <w:t xml:space="preserve">Figure Description</w:t>
            </w:r>
          </w:p>
        </w:tc>
        <w:tc>
          <w:tcPr>
            <w:tcW w:type="dxa" w:w="1500"/>
            <w:shd w:fill="D9E2F3" w:val="clear"/>
            <w:tcMar>
              <w:top w:type="dxa" w:w="80"/>
              <w:left w:type="dxa" w:w="100"/>
              <w:bottom w:type="dxa" w:w="80"/>
              <w:right w:type="dxa" w:w="100"/>
            </w:tcMar>
            <w:vAlign w:val="center"/>
          </w:tcPr>
          <w:p>
            <w:pPr>
              <w:jc w:val="center"/>
            </w:pPr>
            <w:r>
              <w:rPr>
                <w:b/>
                <w:bCs/>
                <w:sz w:val="22"/>
                <w:szCs w:val="22"/>
              </w:rPr>
              <w:t xml:space="preserve">Pg. No.</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Fig. 2.1</w:t>
            </w:r>
          </w:p>
        </w:tc>
        <w:tc>
          <w:tcPr>
            <w:tcW w:type="dxa" w:w="6000"/>
            <w:tcMar>
              <w:top w:type="dxa" w:w="80"/>
              <w:left w:type="dxa" w:w="100"/>
              <w:bottom w:type="dxa" w:w="80"/>
              <w:right w:type="dxa" w:w="100"/>
            </w:tcMar>
            <w:vAlign w:val="center"/>
          </w:tcPr>
          <w:p>
            <w:pPr>
              <w:jc w:val="center"/>
            </w:pPr>
            <w:r>
              <w:rPr>
                <w:b w:val="false"/>
                <w:bCs w:val="false"/>
                <w:sz w:val="22"/>
                <w:szCs w:val="22"/>
              </w:rPr>
              <w:t xml:space="preserve">Two-phase system architecture (rule-based → machine learning)</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10</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Fig. 2.2</w:t>
            </w:r>
          </w:p>
        </w:tc>
        <w:tc>
          <w:tcPr>
            <w:tcW w:type="dxa" w:w="6000"/>
            <w:tcMar>
              <w:top w:type="dxa" w:w="80"/>
              <w:left w:type="dxa" w:w="100"/>
              <w:bottom w:type="dxa" w:w="80"/>
              <w:right w:type="dxa" w:w="100"/>
            </w:tcMar>
            <w:vAlign w:val="center"/>
          </w:tcPr>
          <w:p>
            <w:pPr>
              <w:jc w:val="center"/>
            </w:pPr>
            <w:r>
              <w:rPr>
                <w:b w:val="false"/>
                <w:bCs w:val="false"/>
                <w:sz w:val="22"/>
                <w:szCs w:val="22"/>
              </w:rPr>
              <w:t xml:space="preserve">Signal acquisition and preprocessing pipeline</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11</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Fig. 2.3</w:t>
            </w:r>
          </w:p>
        </w:tc>
        <w:tc>
          <w:tcPr>
            <w:tcW w:type="dxa" w:w="6000"/>
            <w:tcMar>
              <w:top w:type="dxa" w:w="80"/>
              <w:left w:type="dxa" w:w="100"/>
              <w:bottom w:type="dxa" w:w="80"/>
              <w:right w:type="dxa" w:w="100"/>
            </w:tcMar>
            <w:vAlign w:val="center"/>
          </w:tcPr>
          <w:p>
            <w:pPr>
              <w:jc w:val="center"/>
            </w:pPr>
            <w:r>
              <w:rPr>
                <w:b w:val="false"/>
                <w:bCs w:val="false"/>
                <w:sz w:val="22"/>
                <w:szCs w:val="22"/>
              </w:rPr>
              <w:t xml:space="preserve">Frontal electrode pairs used for FAA computation</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12</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Fig. 2.4</w:t>
            </w:r>
          </w:p>
        </w:tc>
        <w:tc>
          <w:tcPr>
            <w:tcW w:type="dxa" w:w="6000"/>
            <w:tcMar>
              <w:top w:type="dxa" w:w="80"/>
              <w:left w:type="dxa" w:w="100"/>
              <w:bottom w:type="dxa" w:w="80"/>
              <w:right w:type="dxa" w:w="100"/>
            </w:tcMar>
            <w:vAlign w:val="center"/>
          </w:tcPr>
          <w:p>
            <w:pPr>
              <w:jc w:val="center"/>
            </w:pPr>
            <w:r>
              <w:rPr>
                <w:b w:val="false"/>
                <w:bCs w:val="false"/>
                <w:sz w:val="22"/>
                <w:szCs w:val="22"/>
              </w:rPr>
              <w:t xml:space="preserve">518-feature extraction pipeline across 32 channels</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14</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Fig. 3.1</w:t>
            </w:r>
          </w:p>
        </w:tc>
        <w:tc>
          <w:tcPr>
            <w:tcW w:type="dxa" w:w="6000"/>
            <w:tcMar>
              <w:top w:type="dxa" w:w="80"/>
              <w:left w:type="dxa" w:w="100"/>
              <w:bottom w:type="dxa" w:w="80"/>
              <w:right w:type="dxa" w:w="100"/>
            </w:tcMar>
            <w:vAlign w:val="center"/>
          </w:tcPr>
          <w:p>
            <w:pPr>
              <w:jc w:val="center"/>
            </w:pPr>
            <w:r>
              <w:rPr>
                <w:b w:val="false"/>
                <w:bCs w:val="false"/>
                <w:sz w:val="22"/>
                <w:szCs w:val="22"/>
              </w:rPr>
              <w:t xml:space="preserve">Class distribution before and after RUSBoost correction</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18</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Fig. 3.2</w:t>
            </w:r>
          </w:p>
        </w:tc>
        <w:tc>
          <w:tcPr>
            <w:tcW w:type="dxa" w:w="6000"/>
            <w:tcMar>
              <w:top w:type="dxa" w:w="80"/>
              <w:left w:type="dxa" w:w="100"/>
              <w:bottom w:type="dxa" w:w="80"/>
              <w:right w:type="dxa" w:w="100"/>
            </w:tcMar>
            <w:vAlign w:val="center"/>
          </w:tcPr>
          <w:p>
            <w:pPr>
              <w:jc w:val="center"/>
            </w:pPr>
            <w:r>
              <w:rPr>
                <w:b w:val="false"/>
                <w:bCs w:val="false"/>
                <w:sz w:val="22"/>
                <w:szCs w:val="22"/>
              </w:rPr>
              <w:t xml:space="preserve">Balanced accuracy: Full feature set vs Top-25 features</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19</w:t>
            </w:r>
          </w:p>
        </w:tc>
      </w:tr>
    </w:tbl>
    <w:p>
      <w:pPr>
        <w:pageBreakBefore/>
        <w:spacing w:after="300"/>
        <w:jc w:val="center"/>
      </w:pPr>
      <w:r>
        <w:rPr>
          <w:b/>
          <w:bCs/>
          <w:sz w:val="28"/>
          <w:szCs w:val="28"/>
          <w:u w:val="single"/>
        </w:rPr>
        <w:t xml:space="preserve">LIST OF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tcW w:type="dxa" w:w="1500"/>
            <w:shd w:fill="D9E2F3" w:val="clear"/>
            <w:tcMar>
              <w:top w:type="dxa" w:w="80"/>
              <w:left w:type="dxa" w:w="100"/>
              <w:bottom w:type="dxa" w:w="80"/>
              <w:right w:type="dxa" w:w="100"/>
            </w:tcMar>
            <w:vAlign w:val="center"/>
          </w:tcPr>
          <w:p>
            <w:pPr>
              <w:jc w:val="center"/>
            </w:pPr>
            <w:r>
              <w:rPr>
                <w:b/>
                <w:bCs/>
                <w:sz w:val="22"/>
                <w:szCs w:val="22"/>
              </w:rPr>
              <w:t xml:space="preserve">Table No.</w:t>
            </w:r>
          </w:p>
        </w:tc>
        <w:tc>
          <w:tcPr>
            <w:tcW w:type="dxa" w:w="6000"/>
            <w:shd w:fill="D9E2F3" w:val="clear"/>
            <w:tcMar>
              <w:top w:type="dxa" w:w="80"/>
              <w:left w:type="dxa" w:w="100"/>
              <w:bottom w:type="dxa" w:w="80"/>
              <w:right w:type="dxa" w:w="100"/>
            </w:tcMar>
            <w:vAlign w:val="center"/>
          </w:tcPr>
          <w:p>
            <w:pPr>
              <w:jc w:val="center"/>
            </w:pPr>
            <w:r>
              <w:rPr>
                <w:b/>
                <w:bCs/>
                <w:sz w:val="22"/>
                <w:szCs w:val="22"/>
              </w:rPr>
              <w:t xml:space="preserve">Table Description</w:t>
            </w:r>
          </w:p>
        </w:tc>
        <w:tc>
          <w:tcPr>
            <w:tcW w:type="dxa" w:w="1500"/>
            <w:shd w:fill="D9E2F3" w:val="clear"/>
            <w:tcMar>
              <w:top w:type="dxa" w:w="80"/>
              <w:left w:type="dxa" w:w="100"/>
              <w:bottom w:type="dxa" w:w="80"/>
              <w:right w:type="dxa" w:w="100"/>
            </w:tcMar>
            <w:vAlign w:val="center"/>
          </w:tcPr>
          <w:p>
            <w:pPr>
              <w:jc w:val="center"/>
            </w:pPr>
            <w:r>
              <w:rPr>
                <w:b/>
                <w:bCs/>
                <w:sz w:val="22"/>
                <w:szCs w:val="22"/>
              </w:rPr>
              <w:t xml:space="preserve">Pg. No.</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Table 2.1</w:t>
            </w:r>
          </w:p>
        </w:tc>
        <w:tc>
          <w:tcPr>
            <w:tcW w:type="dxa" w:w="6000"/>
            <w:tcMar>
              <w:top w:type="dxa" w:w="80"/>
              <w:left w:type="dxa" w:w="100"/>
              <w:bottom w:type="dxa" w:w="80"/>
              <w:right w:type="dxa" w:w="100"/>
            </w:tcMar>
            <w:vAlign w:val="center"/>
          </w:tcPr>
          <w:p>
            <w:pPr>
              <w:jc w:val="center"/>
            </w:pPr>
            <w:r>
              <w:rPr>
                <w:b w:val="false"/>
                <w:bCs w:val="false"/>
                <w:sz w:val="22"/>
                <w:szCs w:val="22"/>
              </w:rPr>
              <w:t xml:space="preserve">DEAP dataset specifications</w:t>
            </w:r>
          </w:p>
        </w:tc>
        <w:tc>
          <w:tcPr>
            <w:tcW w:type="dxa" w:w="1500"/>
            <w:tcMar>
              <w:top w:type="dxa" w:w="80"/>
              <w:left w:type="dxa" w:w="100"/>
              <w:bottom w:type="dxa" w:w="80"/>
              <w:right w:type="dxa" w:w="100"/>
            </w:tcMar>
            <w:vAlign w:val="center"/>
          </w:tcPr>
          <w:p>
            <w:pPr>
              <w:jc w:val="center"/>
            </w:pPr>
            <w:r>
              <w:rPr>
                <w:b w:val="false"/>
                <w:bCs w:val="false"/>
                <w:sz w:val="22"/>
                <w:szCs w:val="22"/>
              </w:rPr>
              <w:t xml:space="preserve">9</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Table 2.2</w:t>
            </w:r>
          </w:p>
        </w:tc>
        <w:tc>
          <w:tcPr>
            <w:tcW w:type="dxa" w:w="6000"/>
            <w:tcMar>
              <w:top w:type="dxa" w:w="80"/>
              <w:left w:type="dxa" w:w="100"/>
              <w:bottom w:type="dxa" w:w="80"/>
              <w:right w:type="dxa" w:w="100"/>
            </w:tcMar>
            <w:vAlign w:val="center"/>
          </w:tcPr>
          <w:p>
            <w:pPr>
              <w:jc w:val="center"/>
            </w:pPr>
            <w:r>
              <w:rPr>
                <w:b w:val="false"/>
                <w:bCs w:val="false"/>
                <w:sz w:val="22"/>
                <w:szCs w:val="22"/>
              </w:rPr>
              <w:t xml:space="preserve">Feature families extracted (518-dimensional set)</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13</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Table 3.1</w:t>
            </w:r>
          </w:p>
        </w:tc>
        <w:tc>
          <w:tcPr>
            <w:tcW w:type="dxa" w:w="6000"/>
            <w:tcMar>
              <w:top w:type="dxa" w:w="80"/>
              <w:left w:type="dxa" w:w="100"/>
              <w:bottom w:type="dxa" w:w="80"/>
              <w:right w:type="dxa" w:w="100"/>
            </w:tcMar>
            <w:vAlign w:val="center"/>
          </w:tcPr>
          <w:p>
            <w:pPr>
              <w:jc w:val="center"/>
            </w:pPr>
            <w:r>
              <w:rPr>
                <w:b w:val="false"/>
                <w:bCs w:val="false"/>
                <w:sz w:val="22"/>
                <w:szCs w:val="22"/>
              </w:rPr>
              <w:t xml:space="preserve">Overall performance metrics — Full set vs Top-25</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18</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Table 3.2</w:t>
            </w:r>
          </w:p>
        </w:tc>
        <w:tc>
          <w:tcPr>
            <w:tcW w:type="dxa" w:w="6000"/>
            <w:tcMar>
              <w:top w:type="dxa" w:w="80"/>
              <w:left w:type="dxa" w:w="100"/>
              <w:bottom w:type="dxa" w:w="80"/>
              <w:right w:type="dxa" w:w="100"/>
            </w:tcMar>
            <w:vAlign w:val="center"/>
          </w:tcPr>
          <w:p>
            <w:pPr>
              <w:jc w:val="center"/>
            </w:pPr>
            <w:r>
              <w:rPr>
                <w:b w:val="false"/>
                <w:bCs w:val="false"/>
                <w:sz w:val="22"/>
                <w:szCs w:val="22"/>
              </w:rPr>
              <w:t xml:space="preserve">Valence confusion matrix (Top-25 features)</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19</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Table 3.3</w:t>
            </w:r>
          </w:p>
        </w:tc>
        <w:tc>
          <w:tcPr>
            <w:tcW w:type="dxa" w:w="6000"/>
            <w:tcMar>
              <w:top w:type="dxa" w:w="80"/>
              <w:left w:type="dxa" w:w="100"/>
              <w:bottom w:type="dxa" w:w="80"/>
              <w:right w:type="dxa" w:w="100"/>
            </w:tcMar>
            <w:vAlign w:val="center"/>
          </w:tcPr>
          <w:p>
            <w:pPr>
              <w:jc w:val="center"/>
            </w:pPr>
            <w:r>
              <w:rPr>
                <w:b w:val="false"/>
                <w:bCs w:val="false"/>
                <w:sz w:val="22"/>
                <w:szCs w:val="22"/>
              </w:rPr>
              <w:t xml:space="preserve">Arousal confusion matrix (Top-25 features)</w:t>
            </w:r>
          </w:p>
        </w:tc>
        <w:tc>
          <w:tcPr>
            <w:tcW w:type="dxa" w:w="1500"/>
            <w:tcMar>
              <w:top w:type="dxa" w:w="80"/>
              <w:left w:type="dxa" w:w="100"/>
              <w:bottom w:type="dxa" w:w="80"/>
              <w:right w:type="dxa" w:w="100"/>
            </w:tcMar>
            <w:vAlign w:val="center"/>
          </w:tcPr>
          <w:p>
            <w:pPr>
              <w:jc w:val="center"/>
            </w:pPr>
            <w:r>
              <w:rPr>
                <w:b w:val="false"/>
                <w:bCs w:val="false"/>
                <w:sz w:val="22"/>
                <w:szCs w:val="22"/>
              </w:rPr>
              <w:t xml:space="preserve">19</w:t>
            </w:r>
          </w:p>
        </w:tc>
      </w:tr>
      <w:tr>
        <w:tc>
          <w:tcPr>
            <w:tcW w:type="dxa" w:w="1500"/>
            <w:tcMar>
              <w:top w:type="dxa" w:w="80"/>
              <w:left w:type="dxa" w:w="100"/>
              <w:bottom w:type="dxa" w:w="80"/>
              <w:right w:type="dxa" w:w="100"/>
            </w:tcMar>
            <w:vAlign w:val="center"/>
          </w:tcPr>
          <w:p>
            <w:pPr>
              <w:jc w:val="center"/>
            </w:pPr>
            <w:r>
              <w:rPr>
                <w:b w:val="false"/>
                <w:bCs w:val="false"/>
                <w:sz w:val="22"/>
                <w:szCs w:val="22"/>
              </w:rPr>
              <w:t xml:space="preserve">Table 3.4</w:t>
            </w:r>
          </w:p>
        </w:tc>
        <w:tc>
          <w:tcPr>
            <w:tcW w:type="dxa" w:w="6000"/>
            <w:tcMar>
              <w:top w:type="dxa" w:w="80"/>
              <w:left w:type="dxa" w:w="100"/>
              <w:bottom w:type="dxa" w:w="80"/>
              <w:right w:type="dxa" w:w="100"/>
            </w:tcMar>
            <w:vAlign w:val="center"/>
          </w:tcPr>
          <w:p>
            <w:pPr>
              <w:jc w:val="center"/>
            </w:pPr>
            <w:r>
              <w:rPr>
                <w:b w:val="false"/>
                <w:bCs w:val="false"/>
                <w:sz w:val="22"/>
                <w:szCs w:val="22"/>
              </w:rPr>
              <w:t xml:space="preserve">MATLAB functions and toolboxes utilised across phases</w:t>
            </w:r>
          </w:p>
        </w:tc>
        <w:tc>
          <w:tcPr>
            <w:tcW w:type="dxa" w:w="1500"/>
            <w:tcMar>
              <w:top w:type="dxa" w:w="80"/>
              <w:left w:type="dxa" w:w="100"/>
              <w:bottom w:type="dxa" w:w="80"/>
              <w:right w:type="dxa" w:w="100"/>
            </w:tcMar>
            <w:vAlign w:val="center"/>
          </w:tcPr>
          <w:p>
            <w:pPr>
              <w:jc w:val="center"/>
            </w:pPr>
            <w:r>
              <w:rPr>
                <w:b w:val="false"/>
                <w:bCs w:val="false"/>
                <w:sz w:val="22"/>
                <w:szCs w:val="22"/>
              </w:rPr>
              <w:t xml:space="preserve">21</w:t>
            </w:r>
          </w:p>
        </w:tc>
      </w:tr>
    </w:tbl>
    <w:p>
      <w:pPr>
        <w:pageBreakBefore/>
        <w:spacing w:after="300"/>
        <w:jc w:val="center"/>
      </w:pPr>
      <w:r>
        <w:rPr>
          <w:b/>
          <w:bCs/>
          <w:sz w:val="28"/>
          <w:szCs w:val="28"/>
          <w:u w:val="single"/>
        </w:rPr>
        <w:t xml:space="preserve">LIST OF SYMBOLS</w:t>
      </w:r>
    </w:p>
    <w:p>
      <w:pPr>
        <w:spacing w:after="200" w:line="360"/>
        <w:jc w:val="both"/>
      </w:pPr>
      <w:r>
        <w:rPr>
          <w:sz w:val="24"/>
          <w:szCs w:val="24"/>
        </w:rPr>
        <w:t xml:space="preserve">The symbols used in the text have been defined at appropriate places; for easy reference, the principal symbols are listed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pPr>
              <w:jc w:val="center"/>
            </w:pPr>
            <w:r>
              <w:rPr>
                <w:b/>
                <w:bCs/>
                <w:sz w:val="22"/>
                <w:szCs w:val="22"/>
              </w:rPr>
              <w:t xml:space="preserve">Symbol</w:t>
            </w:r>
          </w:p>
        </w:tc>
        <w:tc>
          <w:tcPr>
            <w:tcW w:type="dxa" w:w="6800"/>
            <w:shd w:fill="D9E2F3" w:val="clear"/>
            <w:tcMar>
              <w:top w:type="dxa" w:w="80"/>
              <w:left w:type="dxa" w:w="100"/>
              <w:bottom w:type="dxa" w:w="80"/>
              <w:right w:type="dxa" w:w="100"/>
            </w:tcMar>
            <w:vAlign w:val="center"/>
          </w:tcPr>
          <w:p>
            <w:pPr>
              <w:jc w:val="center"/>
            </w:pPr>
            <w:r>
              <w:rPr>
                <w:b/>
                <w:bCs/>
                <w:sz w:val="22"/>
                <w:szCs w:val="22"/>
              </w:rPr>
              <w:t xml:space="preserve">Explanation</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FAA</w:t>
            </w:r>
          </w:p>
        </w:tc>
        <w:tc>
          <w:tcPr>
            <w:tcW w:type="dxa" w:w="6800"/>
            <w:tcMar>
              <w:top w:type="dxa" w:w="80"/>
              <w:left w:type="dxa" w:w="100"/>
              <w:bottom w:type="dxa" w:w="80"/>
              <w:right w:type="dxa" w:w="100"/>
            </w:tcMar>
            <w:vAlign w:val="center"/>
          </w:tcPr>
          <w:p>
            <w:pPr>
              <w:jc w:val="center"/>
            </w:pPr>
            <w:r>
              <w:rPr>
                <w:b w:val="false"/>
                <w:bCs w:val="false"/>
                <w:sz w:val="22"/>
                <w:szCs w:val="22"/>
              </w:rPr>
              <w:t xml:space="preserve">Frontal Alpha Asymmetry index</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σ²</w:t>
            </w:r>
          </w:p>
        </w:tc>
        <w:tc>
          <w:tcPr>
            <w:tcW w:type="dxa" w:w="6800"/>
            <w:tcMar>
              <w:top w:type="dxa" w:w="80"/>
              <w:left w:type="dxa" w:w="100"/>
              <w:bottom w:type="dxa" w:w="80"/>
              <w:right w:type="dxa" w:w="100"/>
            </w:tcMar>
            <w:vAlign w:val="center"/>
          </w:tcPr>
          <w:p>
            <w:pPr>
              <w:jc w:val="center"/>
            </w:pPr>
            <w:r>
              <w:rPr>
                <w:b w:val="false"/>
                <w:bCs w:val="false"/>
                <w:sz w:val="22"/>
                <w:szCs w:val="22"/>
              </w:rPr>
              <w:t xml:space="preserve">Signal band-power variance used in Differential Entropy computation</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DE</w:t>
            </w:r>
          </w:p>
        </w:tc>
        <w:tc>
          <w:tcPr>
            <w:tcW w:type="dxa" w:w="6800"/>
            <w:tcMar>
              <w:top w:type="dxa" w:w="80"/>
              <w:left w:type="dxa" w:w="100"/>
              <w:bottom w:type="dxa" w:w="80"/>
              <w:right w:type="dxa" w:w="100"/>
            </w:tcMar>
            <w:vAlign w:val="center"/>
          </w:tcPr>
          <w:p>
            <w:pPr>
              <w:jc w:val="center"/>
            </w:pPr>
            <w:r>
              <w:rPr>
                <w:b w:val="false"/>
                <w:bCs w:val="false"/>
                <w:sz w:val="22"/>
                <w:szCs w:val="22"/>
              </w:rPr>
              <w:t xml:space="preserve">Differential Entropy, DE = 0.5 × ln(2πe·σ²)</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fs</w:t>
            </w:r>
          </w:p>
        </w:tc>
        <w:tc>
          <w:tcPr>
            <w:tcW w:type="dxa" w:w="6800"/>
            <w:tcMar>
              <w:top w:type="dxa" w:w="80"/>
              <w:left w:type="dxa" w:w="100"/>
              <w:bottom w:type="dxa" w:w="80"/>
              <w:right w:type="dxa" w:w="100"/>
            </w:tcMar>
            <w:vAlign w:val="center"/>
          </w:tcPr>
          <w:p>
            <w:pPr>
              <w:jc w:val="center"/>
            </w:pPr>
            <w:r>
              <w:rPr>
                <w:b w:val="false"/>
                <w:bCs w:val="false"/>
                <w:sz w:val="22"/>
                <w:szCs w:val="22"/>
              </w:rPr>
              <w:t xml:space="preserve">Sampling frequency (128 Hz for DEAP recordings)</w:t>
            </w:r>
          </w:p>
        </w:tc>
      </w:tr>
    </w:tbl>
    <w:p>
      <w:pPr>
        <w:pageBreakBefore/>
        <w:spacing w:after="300"/>
        <w:jc w:val="center"/>
      </w:pPr>
      <w:r>
        <w:rPr>
          <w:b/>
          <w:bCs/>
          <w:sz w:val="28"/>
          <w:szCs w:val="28"/>
          <w:u w:val="single"/>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pPr>
              <w:jc w:val="center"/>
            </w:pPr>
            <w:r>
              <w:rPr>
                <w:b/>
                <w:bCs/>
                <w:sz w:val="22"/>
                <w:szCs w:val="22"/>
              </w:rPr>
              <w:t xml:space="preserve">Abbreviation</w:t>
            </w:r>
          </w:p>
        </w:tc>
        <w:tc>
          <w:tcPr>
            <w:tcW w:type="dxa" w:w="6800"/>
            <w:shd w:fill="D9E2F3" w:val="clear"/>
            <w:tcMar>
              <w:top w:type="dxa" w:w="80"/>
              <w:left w:type="dxa" w:w="100"/>
              <w:bottom w:type="dxa" w:w="80"/>
              <w:right w:type="dxa" w:w="100"/>
            </w:tcMar>
            <w:vAlign w:val="center"/>
          </w:tcPr>
          <w:p>
            <w:pPr>
              <w:jc w:val="center"/>
            </w:pPr>
            <w:r>
              <w:rPr>
                <w:b/>
                <w:bCs/>
                <w:sz w:val="22"/>
                <w:szCs w:val="22"/>
              </w:rPr>
              <w:t xml:space="preserve">Full Form</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EEG</w:t>
            </w:r>
          </w:p>
        </w:tc>
        <w:tc>
          <w:tcPr>
            <w:tcW w:type="dxa" w:w="6800"/>
            <w:tcMar>
              <w:top w:type="dxa" w:w="80"/>
              <w:left w:type="dxa" w:w="100"/>
              <w:bottom w:type="dxa" w:w="80"/>
              <w:right w:type="dxa" w:w="100"/>
            </w:tcMar>
            <w:vAlign w:val="center"/>
          </w:tcPr>
          <w:p>
            <w:pPr>
              <w:jc w:val="center"/>
            </w:pPr>
            <w:r>
              <w:rPr>
                <w:b w:val="false"/>
                <w:bCs w:val="false"/>
                <w:sz w:val="22"/>
                <w:szCs w:val="22"/>
              </w:rPr>
              <w:t xml:space="preserve">Electroencephalography</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DEAP</w:t>
            </w:r>
          </w:p>
        </w:tc>
        <w:tc>
          <w:tcPr>
            <w:tcW w:type="dxa" w:w="6800"/>
            <w:tcMar>
              <w:top w:type="dxa" w:w="80"/>
              <w:left w:type="dxa" w:w="100"/>
              <w:bottom w:type="dxa" w:w="80"/>
              <w:right w:type="dxa" w:w="100"/>
            </w:tcMar>
            <w:vAlign w:val="center"/>
          </w:tcPr>
          <w:p>
            <w:pPr>
              <w:jc w:val="center"/>
            </w:pPr>
            <w:r>
              <w:rPr>
                <w:b w:val="false"/>
                <w:bCs w:val="false"/>
                <w:sz w:val="22"/>
                <w:szCs w:val="22"/>
              </w:rPr>
              <w:t xml:space="preserve">Database for Emotion Analysis using Physiological Signals</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FAA</w:t>
            </w:r>
          </w:p>
        </w:tc>
        <w:tc>
          <w:tcPr>
            <w:tcW w:type="dxa" w:w="6800"/>
            <w:tcMar>
              <w:top w:type="dxa" w:w="80"/>
              <w:left w:type="dxa" w:w="100"/>
              <w:bottom w:type="dxa" w:w="80"/>
              <w:right w:type="dxa" w:w="100"/>
            </w:tcMar>
            <w:vAlign w:val="center"/>
          </w:tcPr>
          <w:p>
            <w:pPr>
              <w:jc w:val="center"/>
            </w:pPr>
            <w:r>
              <w:rPr>
                <w:b w:val="false"/>
                <w:bCs w:val="false"/>
                <w:sz w:val="22"/>
                <w:szCs w:val="22"/>
              </w:rPr>
              <w:t xml:space="preserve">Frontal Alpha Asymmetry</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DE</w:t>
            </w:r>
          </w:p>
        </w:tc>
        <w:tc>
          <w:tcPr>
            <w:tcW w:type="dxa" w:w="6800"/>
            <w:tcMar>
              <w:top w:type="dxa" w:w="80"/>
              <w:left w:type="dxa" w:w="100"/>
              <w:bottom w:type="dxa" w:w="80"/>
              <w:right w:type="dxa" w:w="100"/>
            </w:tcMar>
            <w:vAlign w:val="center"/>
          </w:tcPr>
          <w:p>
            <w:pPr>
              <w:jc w:val="center"/>
            </w:pPr>
            <w:r>
              <w:rPr>
                <w:b w:val="false"/>
                <w:bCs w:val="false"/>
                <w:sz w:val="22"/>
                <w:szCs w:val="22"/>
              </w:rPr>
              <w:t xml:space="preserve">Differential Entropy</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RP</w:t>
            </w:r>
          </w:p>
        </w:tc>
        <w:tc>
          <w:tcPr>
            <w:tcW w:type="dxa" w:w="6800"/>
            <w:tcMar>
              <w:top w:type="dxa" w:w="80"/>
              <w:left w:type="dxa" w:w="100"/>
              <w:bottom w:type="dxa" w:w="80"/>
              <w:right w:type="dxa" w:w="100"/>
            </w:tcMar>
            <w:vAlign w:val="center"/>
          </w:tcPr>
          <w:p>
            <w:pPr>
              <w:jc w:val="center"/>
            </w:pPr>
            <w:r>
              <w:rPr>
                <w:b w:val="false"/>
                <w:bCs w:val="false"/>
                <w:sz w:val="22"/>
                <w:szCs w:val="22"/>
              </w:rPr>
              <w:t xml:space="preserve">Relative Band Power</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HFD</w:t>
            </w:r>
          </w:p>
        </w:tc>
        <w:tc>
          <w:tcPr>
            <w:tcW w:type="dxa" w:w="6800"/>
            <w:tcMar>
              <w:top w:type="dxa" w:w="80"/>
              <w:left w:type="dxa" w:w="100"/>
              <w:bottom w:type="dxa" w:w="80"/>
              <w:right w:type="dxa" w:w="100"/>
            </w:tcMar>
            <w:vAlign w:val="center"/>
          </w:tcPr>
          <w:p>
            <w:pPr>
              <w:jc w:val="center"/>
            </w:pPr>
            <w:r>
              <w:rPr>
                <w:b w:val="false"/>
                <w:bCs w:val="false"/>
                <w:sz w:val="22"/>
                <w:szCs w:val="22"/>
              </w:rPr>
              <w:t xml:space="preserve">Higuchi's Fractal Dimension</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DASM</w:t>
            </w:r>
          </w:p>
        </w:tc>
        <w:tc>
          <w:tcPr>
            <w:tcW w:type="dxa" w:w="6800"/>
            <w:tcMar>
              <w:top w:type="dxa" w:w="80"/>
              <w:left w:type="dxa" w:w="100"/>
              <w:bottom w:type="dxa" w:w="80"/>
              <w:right w:type="dxa" w:w="100"/>
            </w:tcMar>
            <w:vAlign w:val="center"/>
          </w:tcPr>
          <w:p>
            <w:pPr>
              <w:jc w:val="center"/>
            </w:pPr>
            <w:r>
              <w:rPr>
                <w:b w:val="false"/>
                <w:bCs w:val="false"/>
                <w:sz w:val="22"/>
                <w:szCs w:val="22"/>
              </w:rPr>
              <w:t xml:space="preserve">Differential Asymmetry</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RUSBoost</w:t>
            </w:r>
          </w:p>
        </w:tc>
        <w:tc>
          <w:tcPr>
            <w:tcW w:type="dxa" w:w="6800"/>
            <w:tcMar>
              <w:top w:type="dxa" w:w="80"/>
              <w:left w:type="dxa" w:w="100"/>
              <w:bottom w:type="dxa" w:w="80"/>
              <w:right w:type="dxa" w:w="100"/>
            </w:tcMar>
            <w:vAlign w:val="center"/>
          </w:tcPr>
          <w:p>
            <w:pPr>
              <w:jc w:val="center"/>
            </w:pPr>
            <w:r>
              <w:rPr>
                <w:b w:val="false"/>
                <w:bCs w:val="false"/>
                <w:sz w:val="22"/>
                <w:szCs w:val="22"/>
              </w:rPr>
              <w:t xml:space="preserve">Random Under-Sampling Boosting</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CNN</w:t>
            </w:r>
          </w:p>
        </w:tc>
        <w:tc>
          <w:tcPr>
            <w:tcW w:type="dxa" w:w="6800"/>
            <w:tcMar>
              <w:top w:type="dxa" w:w="80"/>
              <w:left w:type="dxa" w:w="100"/>
              <w:bottom w:type="dxa" w:w="80"/>
              <w:right w:type="dxa" w:w="100"/>
            </w:tcMar>
            <w:vAlign w:val="center"/>
          </w:tcPr>
          <w:p>
            <w:pPr>
              <w:jc w:val="center"/>
            </w:pPr>
            <w:r>
              <w:rPr>
                <w:b w:val="false"/>
                <w:bCs w:val="false"/>
                <w:sz w:val="22"/>
                <w:szCs w:val="22"/>
              </w:rPr>
              <w:t xml:space="preserve">Convolutional Neural Network</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GNN</w:t>
            </w:r>
          </w:p>
        </w:tc>
        <w:tc>
          <w:tcPr>
            <w:tcW w:type="dxa" w:w="6800"/>
            <w:tcMar>
              <w:top w:type="dxa" w:w="80"/>
              <w:left w:type="dxa" w:w="100"/>
              <w:bottom w:type="dxa" w:w="80"/>
              <w:right w:type="dxa" w:w="100"/>
            </w:tcMar>
            <w:vAlign w:val="center"/>
          </w:tcPr>
          <w:p>
            <w:pPr>
              <w:jc w:val="center"/>
            </w:pPr>
            <w:r>
              <w:rPr>
                <w:b w:val="false"/>
                <w:bCs w:val="false"/>
                <w:sz w:val="22"/>
                <w:szCs w:val="22"/>
              </w:rPr>
              <w:t xml:space="preserve">Graph Neural Network</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BCI</w:t>
            </w:r>
          </w:p>
        </w:tc>
        <w:tc>
          <w:tcPr>
            <w:tcW w:type="dxa" w:w="6800"/>
            <w:tcMar>
              <w:top w:type="dxa" w:w="80"/>
              <w:left w:type="dxa" w:w="100"/>
              <w:bottom w:type="dxa" w:w="80"/>
              <w:right w:type="dxa" w:w="100"/>
            </w:tcMar>
            <w:vAlign w:val="center"/>
          </w:tcPr>
          <w:p>
            <w:pPr>
              <w:jc w:val="center"/>
            </w:pPr>
            <w:r>
              <w:rPr>
                <w:b w:val="false"/>
                <w:bCs w:val="false"/>
                <w:sz w:val="22"/>
                <w:szCs w:val="22"/>
              </w:rPr>
              <w:t xml:space="preserve">Brain-Computer Interface</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PSD</w:t>
            </w:r>
          </w:p>
        </w:tc>
        <w:tc>
          <w:tcPr>
            <w:tcW w:type="dxa" w:w="6800"/>
            <w:tcMar>
              <w:top w:type="dxa" w:w="80"/>
              <w:left w:type="dxa" w:w="100"/>
              <w:bottom w:type="dxa" w:w="80"/>
              <w:right w:type="dxa" w:w="100"/>
            </w:tcMar>
            <w:vAlign w:val="center"/>
          </w:tcPr>
          <w:p>
            <w:pPr>
              <w:jc w:val="center"/>
            </w:pPr>
            <w:r>
              <w:rPr>
                <w:b w:val="false"/>
                <w:bCs w:val="false"/>
                <w:sz w:val="22"/>
                <w:szCs w:val="22"/>
              </w:rPr>
              <w:t xml:space="preserve">Power Spectral Density</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IIR</w:t>
            </w:r>
          </w:p>
        </w:tc>
        <w:tc>
          <w:tcPr>
            <w:tcW w:type="dxa" w:w="6800"/>
            <w:tcMar>
              <w:top w:type="dxa" w:w="80"/>
              <w:left w:type="dxa" w:w="100"/>
              <w:bottom w:type="dxa" w:w="80"/>
              <w:right w:type="dxa" w:w="100"/>
            </w:tcMar>
            <w:vAlign w:val="center"/>
          </w:tcPr>
          <w:p>
            <w:pPr>
              <w:jc w:val="center"/>
            </w:pPr>
            <w:r>
              <w:rPr>
                <w:b w:val="false"/>
                <w:bCs w:val="false"/>
                <w:sz w:val="22"/>
                <w:szCs w:val="22"/>
              </w:rPr>
              <w:t xml:space="preserve">Infinite Impulse Response (filter)</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ICA</w:t>
            </w:r>
          </w:p>
        </w:tc>
        <w:tc>
          <w:tcPr>
            <w:tcW w:type="dxa" w:w="6800"/>
            <w:tcMar>
              <w:top w:type="dxa" w:w="80"/>
              <w:left w:type="dxa" w:w="100"/>
              <w:bottom w:type="dxa" w:w="80"/>
              <w:right w:type="dxa" w:w="100"/>
            </w:tcMar>
            <w:vAlign w:val="center"/>
          </w:tcPr>
          <w:p>
            <w:pPr>
              <w:jc w:val="center"/>
            </w:pPr>
            <w:r>
              <w:rPr>
                <w:b w:val="false"/>
                <w:bCs w:val="false"/>
                <w:sz w:val="22"/>
                <w:szCs w:val="22"/>
              </w:rPr>
              <w:t xml:space="preserve">Independent Component Analysis</w:t>
            </w:r>
          </w:p>
        </w:tc>
      </w:tr>
      <w:tr>
        <w:tc>
          <w:tcPr>
            <w:tcW w:type="dxa" w:w="2200"/>
            <w:tcMar>
              <w:top w:type="dxa" w:w="80"/>
              <w:left w:type="dxa" w:w="100"/>
              <w:bottom w:type="dxa" w:w="80"/>
              <w:right w:type="dxa" w:w="100"/>
            </w:tcMar>
            <w:vAlign w:val="center"/>
          </w:tcPr>
          <w:p>
            <w:pPr>
              <w:jc w:val="center"/>
            </w:pPr>
            <w:r>
              <w:rPr>
                <w:b w:val="false"/>
                <w:bCs w:val="false"/>
                <w:sz w:val="22"/>
                <w:szCs w:val="22"/>
              </w:rPr>
              <w:t xml:space="preserve">CV</w:t>
            </w:r>
          </w:p>
        </w:tc>
        <w:tc>
          <w:tcPr>
            <w:tcW w:type="dxa" w:w="6800"/>
            <w:tcMar>
              <w:top w:type="dxa" w:w="80"/>
              <w:left w:type="dxa" w:w="100"/>
              <w:bottom w:type="dxa" w:w="80"/>
              <w:right w:type="dxa" w:w="100"/>
            </w:tcMar>
            <w:vAlign w:val="center"/>
          </w:tcPr>
          <w:p>
            <w:pPr>
              <w:jc w:val="center"/>
            </w:pPr>
            <w:r>
              <w:rPr>
                <w:b w:val="false"/>
                <w:bCs w:val="false"/>
                <w:sz w:val="22"/>
                <w:szCs w:val="22"/>
              </w:rPr>
              <w:t xml:space="preserve">Cross-Validation</w:t>
            </w:r>
          </w:p>
        </w:tc>
      </w:tr>
    </w:tbl>
    <w:p>
      <w:pPr>
        <w:pageBreakBefore/>
        <w:spacing w:after="120"/>
        <w:jc w:val="center"/>
      </w:pPr>
      <w:r>
        <w:rPr>
          <w:b/>
          <w:bCs/>
          <w:sz w:val="30"/>
          <w:szCs w:val="30"/>
        </w:rPr>
        <w:t xml:space="preserve">CHAPTER 1</w:t>
      </w:r>
    </w:p>
    <w:p>
      <w:pPr>
        <w:pStyle w:val="Heading1"/>
        <w:spacing w:after="400"/>
        <w:jc w:val="center"/>
      </w:pPr>
      <w:r>
        <w:rPr>
          <w:b/>
          <w:bCs/>
          <w:sz w:val="30"/>
          <w:szCs w:val="30"/>
        </w:rPr>
        <w:t xml:space="preserve">INTRODUCTION</w:t>
      </w:r>
    </w:p>
    <w:p>
      <w:pPr>
        <w:pStyle w:val="Heading2"/>
        <w:spacing w:after="150" w:before="300"/>
      </w:pPr>
      <w:r>
        <w:rPr>
          <w:b/>
          <w:bCs/>
          <w:sz w:val="26"/>
          <w:szCs w:val="26"/>
        </w:rPr>
        <w:t xml:space="preserve">1.1 Background</w:t>
      </w:r>
    </w:p>
    <w:p>
      <w:pPr>
        <w:spacing w:after="200" w:line="360"/>
        <w:jc w:val="both"/>
      </w:pPr>
      <w:r>
        <w:rPr>
          <w:sz w:val="24"/>
          <w:szCs w:val="24"/>
        </w:rPr>
        <w:t xml:space="preserve">Electroencephalography (EEG) is a non-invasive technique that records the electrical activity generated by populations of cortical neurons through electrodes placed on the scalp. Because EEG signals respond to changes in emotional and cognitive state with millisecond-level temporal resolution and comparatively low equipment cost, they have become one of the most actively studied physiological signals for building affective Brain-Computer Interfaces (BCIs). Emotion recognition from EEG has applications ranging from mental-health monitoring and adaptive learning systems to human-computer interaction and driver-fatigue detection.</w:t>
      </w:r>
    </w:p>
    <w:p>
      <w:pPr>
        <w:spacing w:after="200" w:line="360"/>
        <w:jc w:val="both"/>
      </w:pPr>
      <w:r>
        <w:rPr>
          <w:sz w:val="24"/>
          <w:szCs w:val="24"/>
        </w:rPr>
        <w:t xml:space="preserve">The DEAP dataset (Database for Emotion Analysis using Physiological Signals) is a widely used public benchmark for EEG-based affective computing. It contains 32-channel EEG recordings from 32 participants, each of whom watched 40 one-minute music-video excerpts and afterwards self-reported their emotional response on continuous Valence and Arousal scales. This structure — 32 subjects × 40 trials, recorded at 128 Hz across 32 channels — makes DEAP a realistic but genuinely difficult testbed: the number of subjects is small by machine-learning standards, self-report labels are inherently noisy, and, as this project discovered, the standard binarised labelling scheme carries a significant class-imbalance artefact that is easy to overlook.</w:t>
      </w:r>
    </w:p>
    <w:p>
      <w:pPr>
        <w:spacing w:after="200" w:line="360"/>
        <w:jc w:val="both"/>
      </w:pPr>
      <w:r>
        <w:rPr>
          <w:sz w:val="24"/>
          <w:szCs w:val="24"/>
        </w:rPr>
        <w:t xml:space="preserve">Two families of technique dominate the EEG-emotion literature. The first is rule-based or index-based classification, in which a small number of hand-derived neurophysiological indices — most notably Frontal Alpha Asymmetry (FAA) and Beta/Alpha power ratios — are thresholded or compared against a median split. These indices have a long history in affective neuroscience, particularly in work linking relative left-frontal activation to approach-oriented positive affect. The second family is data-driven machine learning, in which a much larger set of engineered or learned features is fed to a statistical classifier — ranging from classical ensembles such as gradient boosting to deep architectures such as Convolutional Neural Networks (CNNs) and Graph Neural Networks (GNNs) that operate directly on raw or minimally processed multichannel signals.</w:t>
      </w:r>
    </w:p>
    <w:p>
      <w:pPr>
        <w:pStyle w:val="Heading2"/>
        <w:spacing w:after="150" w:before="300"/>
      </w:pPr>
      <w:r>
        <w:rPr>
          <w:b/>
          <w:bCs/>
          <w:sz w:val="26"/>
          <w:szCs w:val="26"/>
        </w:rPr>
        <w:t xml:space="preserve">1.2 Motivation</w:t>
      </w:r>
    </w:p>
    <w:p>
      <w:pPr>
        <w:spacing w:after="200" w:line="360"/>
        <w:jc w:val="both"/>
      </w:pPr>
      <w:r>
        <w:rPr>
          <w:sz w:val="24"/>
          <w:szCs w:val="24"/>
        </w:rPr>
        <w:t xml:space="preserve">This internship project was initially scoped under a constraint that excluded machine learning, requiring emotional state to be classified using only fixed, interpretable neurophysiological rules. This constraint was motivating in its own right: it forced a careful, literature-grounded implementation of FAA and Beta/Alpha indices rather than an opaque black-box classifier, and it produced a scientifically honest result — near-chance performance — that is itself informative about the limits of low-dimensional, hand-crafted indices on this cohort.</w:t>
      </w:r>
    </w:p>
    <w:p>
      <w:pPr>
        <w:spacing w:after="200" w:line="360"/>
        <w:jc w:val="both"/>
      </w:pPr>
      <w:r>
        <w:rPr>
          <w:sz w:val="24"/>
          <w:szCs w:val="24"/>
        </w:rPr>
        <w:t xml:space="preserve">When the constraint was subsequently relaxed to permit machine learning, the motivation shifted to demonstrating that a rigorously validated, richly featured machine-learning pipeline could recover a genuine, subject-independent signal from the same data where the two-feature rule-based approach could not. A further motivation, which emerged directly from the data rather than being anticipated at the outset, was the discovery of a severe class-imbalance artefact in the standard DEAP binarisation scheme. Diagnosing and correctly correcting this artefact — rather than reporting an inflated raw-accuracy number — became a central objective of the project, since majority-class-trap results are a recurring and under-reported pitfall in the EEG-emotion literature.</w:t>
      </w:r>
    </w:p>
    <w:p>
      <w:pPr>
        <w:spacing w:after="200" w:line="360"/>
        <w:jc w:val="both"/>
      </w:pPr>
      <w:r>
        <w:rPr>
          <w:sz w:val="24"/>
          <w:szCs w:val="24"/>
        </w:rPr>
        <w:t xml:space="preserve">A final motivation was to compare classical feature-engineering-based ensembles against modern deep-learning architectures (CNN and GNN) under the specific constraint of a small-cohort dataset (32 subjects), to understand where each approach is best suited given realistic data availability.</w:t>
      </w:r>
    </w:p>
    <w:p>
      <w:pPr>
        <w:pStyle w:val="Heading2"/>
        <w:spacing w:after="150" w:before="300"/>
      </w:pPr>
      <w:r>
        <w:rPr>
          <w:b/>
          <w:bCs/>
          <w:sz w:val="26"/>
          <w:szCs w:val="26"/>
        </w:rPr>
        <w:t xml:space="preserve">1.3 Scope of Work</w:t>
      </w:r>
    </w:p>
    <w:p>
      <w:pPr>
        <w:spacing w:after="200" w:line="360"/>
        <w:jc w:val="both"/>
      </w:pPr>
      <w:r>
        <w:rPr>
          <w:sz w:val="24"/>
          <w:szCs w:val="24"/>
        </w:rPr>
        <w:t xml:space="preserve">The scope of this internship project covered the complete pipeline for EEG-based emotion recognition, implemented end-to-end in MATLAB:</w:t>
      </w:r>
    </w:p>
    <w:p>
      <w:pPr>
        <w:pStyle w:val="ListParagraph"/>
        <w:numPr>
          <w:ilvl w:val="0"/>
          <w:numId w:val="2"/>
        </w:numPr>
        <w:spacing w:after="100" w:line="300"/>
      </w:pPr>
      <w:r>
        <w:rPr>
          <w:sz w:val="24"/>
          <w:szCs w:val="24"/>
        </w:rPr>
        <w:t xml:space="preserve">Automated discovery and loading of all 32 subject data files from the DEAP dataset, with baseline removal and signal preprocessing.</w:t>
      </w:r>
    </w:p>
    <w:p>
      <w:pPr>
        <w:pStyle w:val="ListParagraph"/>
        <w:numPr>
          <w:ilvl w:val="0"/>
          <w:numId w:val="2"/>
        </w:numPr>
        <w:spacing w:after="100" w:line="300"/>
      </w:pPr>
      <w:r>
        <w:rPr>
          <w:sz w:val="24"/>
          <w:szCs w:val="24"/>
        </w:rPr>
        <w:t xml:space="preserve">Phase 1: implementation and rigorous validation of a rule-based classifier using Frontal Alpha Asymmetry (valence) and a log Beta/Alpha power ratio (arousal), averaged across multiple frontal electrode pairs, with per-subject z-scoring to remove between-subject baseline confounds.</w:t>
      </w:r>
    </w:p>
    <w:p>
      <w:pPr>
        <w:pStyle w:val="ListParagraph"/>
        <w:numPr>
          <w:ilvl w:val="0"/>
          <w:numId w:val="2"/>
        </w:numPr>
        <w:spacing w:after="100" w:line="300"/>
      </w:pPr>
      <w:r>
        <w:rPr>
          <w:sz w:val="24"/>
          <w:szCs w:val="24"/>
        </w:rPr>
        <w:t xml:space="preserve">Phase 2: design and extraction of a 518-dimensional feature set spanning Differential Entropy, Relative Band Power, Higuchi's Fractal Dimension, Hjorth parameters, and Differential Asymmetry across all 32 channels.</w:t>
      </w:r>
    </w:p>
    <w:p>
      <w:pPr>
        <w:pStyle w:val="ListParagraph"/>
        <w:numPr>
          <w:ilvl w:val="0"/>
          <w:numId w:val="2"/>
        </w:numPr>
        <w:spacing w:after="100" w:line="300"/>
      </w:pPr>
      <w:r>
        <w:rPr>
          <w:sz w:val="24"/>
          <w:szCs w:val="24"/>
        </w:rPr>
        <w:t xml:space="preserve">Diagnosis of a severe class-imbalance artefact in the standard DEAP binarisation threshold, and its correction using Random Under-Sampling Boosting (RUSBoost) with Balanced Accuracy and Macro-F1 as primary metrics.</w:t>
      </w:r>
    </w:p>
    <w:p>
      <w:pPr>
        <w:pStyle w:val="ListParagraph"/>
        <w:numPr>
          <w:ilvl w:val="0"/>
          <w:numId w:val="2"/>
        </w:numPr>
        <w:spacing w:after="100" w:line="300"/>
      </w:pPr>
      <w:r>
        <w:rPr>
          <w:sz w:val="24"/>
          <w:szCs w:val="24"/>
        </w:rPr>
        <w:t xml:space="preserve">Design of a subject-grouped, 8-fold cross-validation scheme to prevent data leakage between training and test partitions.</w:t>
      </w:r>
    </w:p>
    <w:p>
      <w:pPr>
        <w:pStyle w:val="ListParagraph"/>
        <w:numPr>
          <w:ilvl w:val="0"/>
          <w:numId w:val="2"/>
        </w:numPr>
        <w:spacing w:after="100" w:line="300"/>
      </w:pPr>
      <w:r>
        <w:rPr>
          <w:sz w:val="24"/>
          <w:szCs w:val="24"/>
        </w:rPr>
        <w:t xml:space="preserve">A parsimony study comparing the full 518-feature set against a pruned Top-25 feature subset to address the curse of dimensionality.</w:t>
      </w:r>
    </w:p>
    <w:p>
      <w:pPr>
        <w:pStyle w:val="ListParagraph"/>
        <w:numPr>
          <w:ilvl w:val="0"/>
          <w:numId w:val="2"/>
        </w:numPr>
        <w:spacing w:after="100" w:line="300"/>
      </w:pPr>
      <w:r>
        <w:rPr>
          <w:sz w:val="24"/>
          <w:szCs w:val="24"/>
        </w:rPr>
        <w:t xml:space="preserve">Exploratory deep-learning modelling using a compact 2D CNN trained on raw windowed multichannel EEG, for comparison against the boosted-ensemble baseline.</w:t>
      </w:r>
    </w:p>
    <w:p>
      <w:pPr>
        <w:pStyle w:val="ListParagraph"/>
        <w:numPr>
          <w:ilvl w:val="0"/>
          <w:numId w:val="2"/>
        </w:numPr>
        <w:spacing w:after="100" w:line="300"/>
      </w:pPr>
      <w:r>
        <w:rPr>
          <w:sz w:val="24"/>
          <w:szCs w:val="24"/>
        </w:rPr>
        <w:t xml:space="preserve">Final model selection, along with documentation of MATLAB toolboxes and functions used at each stage, and a critical discussion of the limitations of the study.</w:t>
      </w:r>
    </w:p>
    <w:p>
      <w:pPr>
        <w:pStyle w:val="Heading2"/>
        <w:spacing w:after="150" w:before="300"/>
      </w:pPr>
      <w:r>
        <w:rPr>
          <w:b/>
          <w:bCs/>
          <w:sz w:val="26"/>
          <w:szCs w:val="26"/>
        </w:rPr>
        <w:t xml:space="preserve">1.4 Organisation of the Report</w:t>
      </w:r>
    </w:p>
    <w:p>
      <w:pPr>
        <w:spacing w:after="200" w:line="360"/>
        <w:jc w:val="both"/>
      </w:pPr>
      <w:r>
        <w:rPr>
          <w:sz w:val="24"/>
          <w:szCs w:val="24"/>
        </w:rPr>
        <w:t xml:space="preserve">The remainder of this report is organised as follows. Chapter 2 (Problem Formulation) describes the dataset, the rule-based Phase 1 system architecture and methodology, the Phase 2 feature-engineering and machine-learning pipeline, the class-imbalance problem and its correction, the subject-grouped validation methodology, and the supplementary deep-learning exploration. Chapter 3 (Results and Discussion) presents the quantitative results of both phases, confusion-matrix analysis, the most predictive features identified by the ensemble model, a summary of the MATLAB toolboxes and functions used, and a discussion of the limitations of the current study. Chapter 4 (Conclusions and Future Scope) summarises the key findings and outlines directions for future work. The report closes with a list of references and an appendix documenting supporting MATLAB implementation details.</w:t>
      </w:r>
    </w:p>
    <w:p>
      <w:pPr>
        <w:pageBreakBefore/>
        <w:spacing w:after="120"/>
        <w:jc w:val="center"/>
      </w:pPr>
      <w:r>
        <w:rPr>
          <w:b/>
          <w:bCs/>
          <w:sz w:val="30"/>
          <w:szCs w:val="30"/>
        </w:rPr>
        <w:t xml:space="preserve">CHAPTER 2</w:t>
      </w:r>
    </w:p>
    <w:p>
      <w:pPr>
        <w:pStyle w:val="Heading1"/>
        <w:spacing w:after="400"/>
        <w:jc w:val="center"/>
      </w:pPr>
      <w:r>
        <w:rPr>
          <w:b/>
          <w:bCs/>
          <w:sz w:val="30"/>
          <w:szCs w:val="30"/>
        </w:rPr>
        <w:t xml:space="preserve">PROBLEM FORMULATION</w:t>
      </w:r>
    </w:p>
    <w:p>
      <w:pPr>
        <w:pStyle w:val="Heading2"/>
        <w:spacing w:after="150" w:before="300"/>
      </w:pPr>
      <w:r>
        <w:rPr>
          <w:b/>
          <w:bCs/>
          <w:sz w:val="26"/>
          <w:szCs w:val="26"/>
        </w:rPr>
        <w:t xml:space="preserve">2.1 Problem Statement</w:t>
      </w:r>
    </w:p>
    <w:p>
      <w:pPr>
        <w:spacing w:after="200" w:line="360"/>
        <w:jc w:val="both"/>
      </w:pPr>
      <w:r>
        <w:rPr>
          <w:sz w:val="24"/>
          <w:szCs w:val="24"/>
        </w:rPr>
        <w:t xml:space="preserve">Given multichannel EEG recordings from the DEAP dataset, the objective of this project is to predict, on a per-trial basis, whether a subject's self-reported Valence and Arousal ratings fall into a “High” or “Low” category. The problem is made deliberately difficult by two requirements: (i) the classifier must generalise to entirely unseen subjects (subject-independent evaluation), since a practical BCI cannot be re-calibrated on every new user's labelled data, and (ii) the evaluation must be scientifically honest with respect to the dataset's underlying class distribution, rather than reporting a raw accuracy figure that can be trivially inflated by a majority-class predictor.</w:t>
      </w:r>
    </w:p>
    <w:p>
      <w:pPr>
        <w:pStyle w:val="Heading2"/>
        <w:spacing w:after="150" w:before="300"/>
      </w:pPr>
      <w:r>
        <w:rPr>
          <w:b/>
          <w:bCs/>
          <w:sz w:val="26"/>
          <w:szCs w:val="26"/>
        </w:rPr>
        <w:t xml:space="preserve">2.2 Dataset Description</w:t>
      </w:r>
    </w:p>
    <w:p>
      <w:pPr>
        <w:spacing w:after="200" w:line="360"/>
        <w:jc w:val="both"/>
      </w:pPr>
      <w:r>
        <w:rPr>
          <w:sz w:val="24"/>
          <w:szCs w:val="24"/>
        </w:rPr>
        <w:t xml:space="preserve">The DEAP dataset comprises EEG recordings from 32 participants, each exposed to 40 one-minute excerpts of music videos selected to elicit a range of emotional responses. After each trial, participants rated their emotional state on continuous Valence and Arousal scales. EEG was recorded from 32 scalp electrodes at a sampling rate of 128 Hz, yielding 1,280 labelled trials in total (32 subjects × 40 trials).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9E2F3" w:val="clear"/>
            <w:tcMar>
              <w:top w:type="dxa" w:w="80"/>
              <w:left w:type="dxa" w:w="100"/>
              <w:bottom w:type="dxa" w:w="80"/>
              <w:right w:type="dxa" w:w="100"/>
            </w:tcMar>
            <w:vAlign w:val="center"/>
          </w:tcPr>
          <w:p>
            <w:pPr>
              <w:jc w:val="center"/>
            </w:pPr>
            <w:r>
              <w:rPr>
                <w:b/>
                <w:bCs/>
                <w:sz w:val="22"/>
                <w:szCs w:val="22"/>
              </w:rPr>
              <w:t xml:space="preserve">Parameter</w:t>
            </w:r>
          </w:p>
        </w:tc>
        <w:tc>
          <w:tcPr>
            <w:tcW w:type="dxa" w:w="5000"/>
            <w:shd w:fill="D9E2F3" w:val="clear"/>
            <w:tcMar>
              <w:top w:type="dxa" w:w="80"/>
              <w:left w:type="dxa" w:w="100"/>
              <w:bottom w:type="dxa" w:w="80"/>
              <w:right w:type="dxa" w:w="100"/>
            </w:tcMar>
            <w:vAlign w:val="center"/>
          </w:tcPr>
          <w:p>
            <w:pPr>
              <w:jc w:val="center"/>
            </w:pPr>
            <w:r>
              <w:rPr>
                <w:b/>
                <w:bCs/>
                <w:sz w:val="22"/>
                <w:szCs w:val="22"/>
              </w:rPr>
              <w:t xml:space="preserve">Specification</w:t>
            </w:r>
          </w:p>
        </w:tc>
      </w:tr>
      <w:tr>
        <w:tc>
          <w:tcPr>
            <w:tcW w:type="dxa" w:w="4000"/>
            <w:tcMar>
              <w:top w:type="dxa" w:w="80"/>
              <w:left w:type="dxa" w:w="100"/>
              <w:bottom w:type="dxa" w:w="80"/>
              <w:right w:type="dxa" w:w="100"/>
            </w:tcMar>
            <w:vAlign w:val="center"/>
          </w:tcPr>
          <w:p>
            <w:pPr>
              <w:jc w:val="center"/>
            </w:pPr>
            <w:r>
              <w:rPr>
                <w:b w:val="false"/>
                <w:bCs w:val="false"/>
                <w:sz w:val="22"/>
                <w:szCs w:val="22"/>
              </w:rPr>
              <w:t xml:space="preserve">Number of subjects</w:t>
            </w:r>
          </w:p>
        </w:tc>
        <w:tc>
          <w:tcPr>
            <w:tcW w:type="dxa" w:w="5000"/>
            <w:tcMar>
              <w:top w:type="dxa" w:w="80"/>
              <w:left w:type="dxa" w:w="100"/>
              <w:bottom w:type="dxa" w:w="80"/>
              <w:right w:type="dxa" w:w="100"/>
            </w:tcMar>
            <w:vAlign w:val="center"/>
          </w:tcPr>
          <w:p>
            <w:pPr>
              <w:jc w:val="center"/>
            </w:pPr>
            <w:r>
              <w:rPr>
                <w:b w:val="false"/>
                <w:bCs w:val="false"/>
                <w:sz w:val="22"/>
                <w:szCs w:val="22"/>
              </w:rPr>
              <w:t xml:space="preserve">32</w:t>
            </w:r>
          </w:p>
        </w:tc>
      </w:tr>
      <w:tr>
        <w:tc>
          <w:tcPr>
            <w:tcW w:type="dxa" w:w="4000"/>
            <w:tcMar>
              <w:top w:type="dxa" w:w="80"/>
              <w:left w:type="dxa" w:w="100"/>
              <w:bottom w:type="dxa" w:w="80"/>
              <w:right w:type="dxa" w:w="100"/>
            </w:tcMar>
            <w:vAlign w:val="center"/>
          </w:tcPr>
          <w:p>
            <w:pPr>
              <w:jc w:val="center"/>
            </w:pPr>
            <w:r>
              <w:rPr>
                <w:b w:val="false"/>
                <w:bCs w:val="false"/>
                <w:sz w:val="22"/>
                <w:szCs w:val="22"/>
              </w:rPr>
              <w:t xml:space="preserve">Trials per subject</w:t>
            </w:r>
          </w:p>
        </w:tc>
        <w:tc>
          <w:tcPr>
            <w:tcW w:type="dxa" w:w="5000"/>
            <w:tcMar>
              <w:top w:type="dxa" w:w="80"/>
              <w:left w:type="dxa" w:w="100"/>
              <w:bottom w:type="dxa" w:w="80"/>
              <w:right w:type="dxa" w:w="100"/>
            </w:tcMar>
            <w:vAlign w:val="center"/>
          </w:tcPr>
          <w:p>
            <w:pPr>
              <w:jc w:val="center"/>
            </w:pPr>
            <w:r>
              <w:rPr>
                <w:b w:val="false"/>
                <w:bCs w:val="false"/>
                <w:sz w:val="22"/>
                <w:szCs w:val="22"/>
              </w:rPr>
              <w:t xml:space="preserve">40 (1-minute music-video excerpts)</w:t>
            </w:r>
          </w:p>
        </w:tc>
      </w:tr>
      <w:tr>
        <w:tc>
          <w:tcPr>
            <w:tcW w:type="dxa" w:w="4000"/>
            <w:tcMar>
              <w:top w:type="dxa" w:w="80"/>
              <w:left w:type="dxa" w:w="100"/>
              <w:bottom w:type="dxa" w:w="80"/>
              <w:right w:type="dxa" w:w="100"/>
            </w:tcMar>
            <w:vAlign w:val="center"/>
          </w:tcPr>
          <w:p>
            <w:pPr>
              <w:jc w:val="center"/>
            </w:pPr>
            <w:r>
              <w:rPr>
                <w:b w:val="false"/>
                <w:bCs w:val="false"/>
                <w:sz w:val="22"/>
                <w:szCs w:val="22"/>
              </w:rPr>
              <w:t xml:space="preserve">Total trials</w:t>
            </w:r>
          </w:p>
        </w:tc>
        <w:tc>
          <w:tcPr>
            <w:tcW w:type="dxa" w:w="5000"/>
            <w:tcMar>
              <w:top w:type="dxa" w:w="80"/>
              <w:left w:type="dxa" w:w="100"/>
              <w:bottom w:type="dxa" w:w="80"/>
              <w:right w:type="dxa" w:w="100"/>
            </w:tcMar>
            <w:vAlign w:val="center"/>
          </w:tcPr>
          <w:p>
            <w:pPr>
              <w:jc w:val="center"/>
            </w:pPr>
            <w:r>
              <w:rPr>
                <w:b w:val="false"/>
                <w:bCs w:val="false"/>
                <w:sz w:val="22"/>
                <w:szCs w:val="22"/>
              </w:rPr>
              <w:t xml:space="preserve">1,280</w:t>
            </w:r>
          </w:p>
        </w:tc>
      </w:tr>
      <w:tr>
        <w:tc>
          <w:tcPr>
            <w:tcW w:type="dxa" w:w="4000"/>
            <w:tcMar>
              <w:top w:type="dxa" w:w="80"/>
              <w:left w:type="dxa" w:w="100"/>
              <w:bottom w:type="dxa" w:w="80"/>
              <w:right w:type="dxa" w:w="100"/>
            </w:tcMar>
            <w:vAlign w:val="center"/>
          </w:tcPr>
          <w:p>
            <w:pPr>
              <w:jc w:val="center"/>
            </w:pPr>
            <w:r>
              <w:rPr>
                <w:b w:val="false"/>
                <w:bCs w:val="false"/>
                <w:sz w:val="22"/>
                <w:szCs w:val="22"/>
              </w:rPr>
              <w:t xml:space="preserve">EEG channels</w:t>
            </w:r>
          </w:p>
        </w:tc>
        <w:tc>
          <w:tcPr>
            <w:tcW w:type="dxa" w:w="5000"/>
            <w:tcMar>
              <w:top w:type="dxa" w:w="80"/>
              <w:left w:type="dxa" w:w="100"/>
              <w:bottom w:type="dxa" w:w="80"/>
              <w:right w:type="dxa" w:w="100"/>
            </w:tcMar>
            <w:vAlign w:val="center"/>
          </w:tcPr>
          <w:p>
            <w:pPr>
              <w:jc w:val="center"/>
            </w:pPr>
            <w:r>
              <w:rPr>
                <w:b w:val="false"/>
                <w:bCs w:val="false"/>
                <w:sz w:val="22"/>
                <w:szCs w:val="22"/>
              </w:rPr>
              <w:t xml:space="preserve">32</w:t>
            </w:r>
          </w:p>
        </w:tc>
      </w:tr>
      <w:tr>
        <w:tc>
          <w:tcPr>
            <w:tcW w:type="dxa" w:w="4000"/>
            <w:tcMar>
              <w:top w:type="dxa" w:w="80"/>
              <w:left w:type="dxa" w:w="100"/>
              <w:bottom w:type="dxa" w:w="80"/>
              <w:right w:type="dxa" w:w="100"/>
            </w:tcMar>
            <w:vAlign w:val="center"/>
          </w:tcPr>
          <w:p>
            <w:pPr>
              <w:jc w:val="center"/>
            </w:pPr>
            <w:r>
              <w:rPr>
                <w:b w:val="false"/>
                <w:bCs w:val="false"/>
                <w:sz w:val="22"/>
                <w:szCs w:val="22"/>
              </w:rPr>
              <w:t xml:space="preserve">Sampling rate</w:t>
            </w:r>
          </w:p>
        </w:tc>
        <w:tc>
          <w:tcPr>
            <w:tcW w:type="dxa" w:w="5000"/>
            <w:tcMar>
              <w:top w:type="dxa" w:w="80"/>
              <w:left w:type="dxa" w:w="100"/>
              <w:bottom w:type="dxa" w:w="80"/>
              <w:right w:type="dxa" w:w="100"/>
            </w:tcMar>
            <w:vAlign w:val="center"/>
          </w:tcPr>
          <w:p>
            <w:pPr>
              <w:jc w:val="center"/>
            </w:pPr>
            <w:r>
              <w:rPr>
                <w:b w:val="false"/>
                <w:bCs w:val="false"/>
                <w:sz w:val="22"/>
                <w:szCs w:val="22"/>
              </w:rPr>
              <w:t xml:space="preserve">128 Hz</w:t>
            </w:r>
          </w:p>
        </w:tc>
      </w:tr>
      <w:tr>
        <w:tc>
          <w:tcPr>
            <w:tcW w:type="dxa" w:w="4000"/>
            <w:tcMar>
              <w:top w:type="dxa" w:w="80"/>
              <w:left w:type="dxa" w:w="100"/>
              <w:bottom w:type="dxa" w:w="80"/>
              <w:right w:type="dxa" w:w="100"/>
            </w:tcMar>
            <w:vAlign w:val="center"/>
          </w:tcPr>
          <w:p>
            <w:pPr>
              <w:jc w:val="center"/>
            </w:pPr>
            <w:r>
              <w:rPr>
                <w:b w:val="false"/>
                <w:bCs w:val="false"/>
                <w:sz w:val="22"/>
                <w:szCs w:val="22"/>
              </w:rPr>
              <w:t xml:space="preserve">Self-report scales</w:t>
            </w:r>
          </w:p>
        </w:tc>
        <w:tc>
          <w:tcPr>
            <w:tcW w:type="dxa" w:w="5000"/>
            <w:tcMar>
              <w:top w:type="dxa" w:w="80"/>
              <w:left w:type="dxa" w:w="100"/>
              <w:bottom w:type="dxa" w:w="80"/>
              <w:right w:type="dxa" w:w="100"/>
            </w:tcMar>
            <w:vAlign w:val="center"/>
          </w:tcPr>
          <w:p>
            <w:pPr>
              <w:jc w:val="center"/>
            </w:pPr>
            <w:r>
              <w:rPr>
                <w:b w:val="false"/>
                <w:bCs w:val="false"/>
                <w:sz w:val="22"/>
                <w:szCs w:val="22"/>
              </w:rPr>
              <w:t xml:space="preserve">Valence, Arousal (continuous)</w:t>
            </w:r>
          </w:p>
        </w:tc>
      </w:tr>
      <w:tr>
        <w:tc>
          <w:tcPr>
            <w:tcW w:type="dxa" w:w="4000"/>
            <w:tcMar>
              <w:top w:type="dxa" w:w="80"/>
              <w:left w:type="dxa" w:w="100"/>
              <w:bottom w:type="dxa" w:w="80"/>
              <w:right w:type="dxa" w:w="100"/>
            </w:tcMar>
            <w:vAlign w:val="center"/>
          </w:tcPr>
          <w:p>
            <w:pPr>
              <w:jc w:val="center"/>
            </w:pPr>
            <w:r>
              <w:rPr>
                <w:b w:val="false"/>
                <w:bCs w:val="false"/>
                <w:sz w:val="22"/>
                <w:szCs w:val="22"/>
              </w:rPr>
              <w:t xml:space="preserve">Standard binarisation threshold</w:t>
            </w:r>
          </w:p>
        </w:tc>
        <w:tc>
          <w:tcPr>
            <w:tcW w:type="dxa" w:w="5000"/>
            <w:tcMar>
              <w:top w:type="dxa" w:w="80"/>
              <w:left w:type="dxa" w:w="100"/>
              <w:bottom w:type="dxa" w:w="80"/>
              <w:right w:type="dxa" w:w="100"/>
            </w:tcMar>
            <w:vAlign w:val="center"/>
          </w:tcPr>
          <w:p>
            <w:pPr>
              <w:jc w:val="center"/>
            </w:pPr>
            <w:r>
              <w:rPr>
                <w:b w:val="false"/>
                <w:bCs w:val="false"/>
                <w:sz w:val="22"/>
                <w:szCs w:val="22"/>
              </w:rPr>
              <w:t xml:space="preserve">Score &gt; 4.5 → High; ≤ 4.5 → Low</w:t>
            </w:r>
          </w:p>
        </w:tc>
      </w:tr>
    </w:tbl>
    <w:p>
      <w:pPr>
        <w:spacing w:after="300" w:before="100"/>
        <w:jc w:val="center"/>
      </w:pPr>
      <w:r>
        <w:rPr>
          <w:b/>
          <w:bCs/>
          <w:i/>
          <w:iCs/>
          <w:sz w:val="22"/>
          <w:szCs w:val="22"/>
        </w:rPr>
        <w:t xml:space="preserve">Table 2.1: DEAP dataset specifications</w:t>
      </w:r>
    </w:p>
    <w:p>
      <w:pPr>
        <w:pStyle w:val="Heading2"/>
        <w:spacing w:after="150" w:before="300"/>
      </w:pPr>
      <w:r>
        <w:rPr>
          <w:b/>
          <w:bCs/>
          <w:sz w:val="26"/>
          <w:szCs w:val="26"/>
        </w:rPr>
        <w:t xml:space="preserve">2.3 Phase 1: Rule-Based Approach (No Machine Learning)</w:t>
      </w:r>
    </w:p>
    <w:p>
      <w:pPr>
        <w:spacing w:after="200" w:line="360"/>
        <w:jc w:val="both"/>
      </w:pPr>
      <w:r>
        <w:rPr>
          <w:sz w:val="24"/>
          <w:szCs w:val="24"/>
        </w:rPr>
        <w:t xml:space="preserve">2.3.1 System Architecture. Under the initial project constraint, no learned classifier was permitted; emotional state had to be derived from fixed, interpretable neurophysiological indices. The Phase 1 pipeline was implemented with the following stages:</w:t>
      </w:r>
    </w:p>
    <w:p>
      <w:pPr>
        <w:pStyle w:val="ListParagraph"/>
        <w:numPr>
          <w:ilvl w:val="0"/>
          <w:numId w:val="2"/>
        </w:numPr>
        <w:spacing w:after="100" w:line="300"/>
      </w:pPr>
      <w:r>
        <w:rPr>
          <w:sz w:val="24"/>
          <w:szCs w:val="24"/>
        </w:rPr>
        <w:t xml:space="preserve">Data acquisition: automatic detection and loading of every subject .mat file in the DEAP data folder (32 subjects × 40 trials, 128 Hz, 32 channels).</w:t>
      </w:r>
    </w:p>
    <w:p>
      <w:pPr>
        <w:pStyle w:val="ListParagraph"/>
        <w:numPr>
          <w:ilvl w:val="0"/>
          <w:numId w:val="2"/>
        </w:numPr>
        <w:spacing w:after="100" w:line="300"/>
      </w:pPr>
      <w:r>
        <w:rPr>
          <w:sz w:val="24"/>
          <w:szCs w:val="24"/>
        </w:rPr>
        <w:t xml:space="preserve">Preprocessing: removal of the 3-second pre-trial baseline segment from every channel.</w:t>
      </w:r>
    </w:p>
    <w:p>
      <w:pPr>
        <w:pStyle w:val="ListParagraph"/>
        <w:numPr>
          <w:ilvl w:val="0"/>
          <w:numId w:val="2"/>
        </w:numPr>
        <w:spacing w:after="100" w:line="300"/>
      </w:pPr>
      <w:r>
        <w:rPr>
          <w:sz w:val="24"/>
          <w:szCs w:val="24"/>
        </w:rPr>
        <w:t xml:space="preserve">Band-specific filtering: 8th-order zero-phase IIR bandpass filters for the alpha (8–13 Hz) and beta (13–30 Hz) bands, applied directly to each channel.</w:t>
      </w:r>
    </w:p>
    <w:p>
      <w:pPr>
        <w:pStyle w:val="ListParagraph"/>
        <w:numPr>
          <w:ilvl w:val="0"/>
          <w:numId w:val="2"/>
        </w:numPr>
        <w:spacing w:after="100" w:line="300"/>
      </w:pPr>
      <w:r>
        <w:rPr>
          <w:sz w:val="24"/>
          <w:szCs w:val="24"/>
        </w:rPr>
        <w:t xml:space="preserve">Multi-channel band-power estimation: Welch Power Spectral Density (PSD) combined with bandpower, computed on the 8 frontal channels Fp1, AF3, F3, F7, Fp2, AF4, F4 and F8.</w:t>
      </w:r>
    </w:p>
    <w:p>
      <w:pPr>
        <w:pStyle w:val="ListParagraph"/>
        <w:numPr>
          <w:ilvl w:val="0"/>
          <w:numId w:val="2"/>
        </w:numPr>
        <w:spacing w:after="100" w:line="300"/>
      </w:pPr>
      <w:r>
        <w:rPr>
          <w:sz w:val="24"/>
          <w:szCs w:val="24"/>
        </w:rPr>
        <w:t xml:space="preserve">Valence index: Frontal Alpha Asymmetry (FAA), averaged over four standard electrode pairs (Fp1/Fp2, AF3/AF4, F3/F4, F7/F8) rather than a single pair, following a recognised reliability improvement reported in the FAA literature.</w:t>
      </w:r>
    </w:p>
    <w:p>
      <w:pPr>
        <w:pStyle w:val="ListParagraph"/>
        <w:numPr>
          <w:ilvl w:val="0"/>
          <w:numId w:val="2"/>
        </w:numPr>
        <w:spacing w:after="100" w:line="300"/>
      </w:pPr>
      <w:r>
        <w:rPr>
          <w:sz w:val="24"/>
          <w:szCs w:val="24"/>
        </w:rPr>
        <w:t xml:space="preserve">Arousal index: a log-transformed Beta/Alpha power ratio averaged across the same 8 frontal channels; the log transform was introduced after an initial raw-ratio version exhibited a right-skewed distribution caused by occasional near-zero alpha power in the denominator.</w:t>
      </w:r>
    </w:p>
    <w:p>
      <w:pPr>
        <w:pStyle w:val="ListParagraph"/>
        <w:numPr>
          <w:ilvl w:val="0"/>
          <w:numId w:val="2"/>
        </w:numPr>
        <w:spacing w:after="100" w:line="300"/>
      </w:pPr>
      <w:r>
        <w:rPr>
          <w:sz w:val="24"/>
          <w:szCs w:val="24"/>
        </w:rPr>
        <w:t xml:space="preserve">Per-subject z-scoring: each subject's 40 trials were normalised to zero mean and unit variance to remove between-subject baseline differences arising from skull thickness, electrode placement, and resting-state power — none of which are related to emotion — while preserving each subject's trial-to-trial relative variation.</w:t>
      </w:r>
    </w:p>
    <w:p>
      <w:pPr>
        <w:pStyle w:val="ListParagraph"/>
        <w:numPr>
          <w:ilvl w:val="0"/>
          <w:numId w:val="2"/>
        </w:numPr>
        <w:spacing w:after="100" w:line="300"/>
      </w:pPr>
      <w:r>
        <w:rPr>
          <w:sz w:val="24"/>
          <w:szCs w:val="24"/>
        </w:rPr>
        <w:t xml:space="preserve">Classification and validation: the resulting indices were validated against the self-report threshold.</w:t>
      </w:r>
    </w:p>
    <w:p>
      <w:pPr>
        <w:spacing w:after="200" w:line="360"/>
        <w:jc w:val="both"/>
      </w:pPr>
      <w:r>
        <w:rPr>
          <w:sz w:val="24"/>
          <w:szCs w:val="24"/>
        </w:rPr>
        <w:t xml:space="preserve">2.3.2 Methodological Justification. Averaging FAA across four frontal pairs rather than relying on a single electrode pair is a recognised reliability improvement in the frontal-asymmetry literature, since single-pair estimates are more sensitive to localised noise and electrode-impedance variation. Both the FAA and Beta/Alpha indices are known to carry large between-subject baseline differences that are unrelated to emotional state; per-subject z-scoring was therefore applied prior to classification specifically to remove this confound while retaining each subject's relative trial-to-trial signal.</w:t>
      </w:r>
    </w:p>
    <w:p>
      <w:pPr>
        <w:pStyle w:val="Heading2"/>
        <w:spacing w:after="150" w:before="300"/>
      </w:pPr>
      <w:r>
        <w:rPr>
          <w:b/>
          <w:bCs/>
          <w:sz w:val="26"/>
          <w:szCs w:val="26"/>
        </w:rPr>
        <w:t xml:space="preserve">2.4 Phase 2: Machine-Learning Approach — Feature Engineering</w:t>
      </w:r>
    </w:p>
    <w:p>
      <w:pPr>
        <w:spacing w:after="200" w:line="360"/>
        <w:jc w:val="both"/>
      </w:pPr>
      <w:r>
        <w:rPr>
          <w:sz w:val="24"/>
          <w:szCs w:val="24"/>
        </w:rPr>
        <w:t xml:space="preserve">A fixed, median-split rule of the kind used in Phase 1 has no mechanism to weight multiple features, combine complementary cues, or model a non-linear decision boundary. Once the machine-learning constraint was lifted, the feature representation was deliberately widened from 2 hand-derived indices to a 518-dimensional feature set spanning all 32 EEG channels, drawing on five complementary feature families that are well established in the EEG-emotion literature: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D9E2F3" w:val="clear"/>
            <w:tcMar>
              <w:top w:type="dxa" w:w="80"/>
              <w:left w:type="dxa" w:w="100"/>
              <w:bottom w:type="dxa" w:w="80"/>
              <w:right w:type="dxa" w:w="100"/>
            </w:tcMar>
            <w:vAlign w:val="center"/>
          </w:tcPr>
          <w:p>
            <w:pPr>
              <w:jc w:val="center"/>
            </w:pPr>
            <w:r>
              <w:rPr>
                <w:b/>
                <w:bCs/>
                <w:sz w:val="22"/>
                <w:szCs w:val="22"/>
              </w:rPr>
              <w:t xml:space="preserve">Feature Family</w:t>
            </w:r>
          </w:p>
        </w:tc>
        <w:tc>
          <w:tcPr>
            <w:tcW w:type="dxa" w:w="2200"/>
            <w:shd w:fill="D9E2F3" w:val="clear"/>
            <w:tcMar>
              <w:top w:type="dxa" w:w="80"/>
              <w:left w:type="dxa" w:w="100"/>
              <w:bottom w:type="dxa" w:w="80"/>
              <w:right w:type="dxa" w:w="100"/>
            </w:tcMar>
            <w:vAlign w:val="center"/>
          </w:tcPr>
          <w:p>
            <w:pPr>
              <w:jc w:val="center"/>
            </w:pPr>
            <w:r>
              <w:rPr>
                <w:b/>
                <w:bCs/>
                <w:sz w:val="22"/>
                <w:szCs w:val="22"/>
              </w:rPr>
              <w:t xml:space="preserve">Dimensionality</w:t>
            </w:r>
          </w:p>
        </w:tc>
        <w:tc>
          <w:tcPr>
            <w:tcW w:type="dxa" w:w="4200"/>
            <w:shd w:fill="D9E2F3" w:val="clear"/>
            <w:tcMar>
              <w:top w:type="dxa" w:w="80"/>
              <w:left w:type="dxa" w:w="100"/>
              <w:bottom w:type="dxa" w:w="80"/>
              <w:right w:type="dxa" w:w="100"/>
            </w:tcMar>
            <w:vAlign w:val="center"/>
          </w:tcPr>
          <w:p>
            <w:pPr>
              <w:jc w:val="center"/>
            </w:pPr>
            <w:r>
              <w:rPr>
                <w:b/>
                <w:bCs/>
                <w:sz w:val="22"/>
                <w:szCs w:val="22"/>
              </w:rPr>
              <w:t xml:space="preserve">Description</w:t>
            </w:r>
          </w:p>
        </w:tc>
      </w:tr>
      <w:tr>
        <w:tc>
          <w:tcPr>
            <w:tcW w:type="dxa" w:w="2600"/>
            <w:tcMar>
              <w:top w:type="dxa" w:w="80"/>
              <w:left w:type="dxa" w:w="100"/>
              <w:bottom w:type="dxa" w:w="80"/>
              <w:right w:type="dxa" w:w="100"/>
            </w:tcMar>
            <w:vAlign w:val="center"/>
          </w:tcPr>
          <w:p>
            <w:pPr>
              <w:jc w:val="center"/>
            </w:pPr>
            <w:r>
              <w:rPr>
                <w:b w:val="false"/>
                <w:bCs w:val="false"/>
                <w:sz w:val="22"/>
                <w:szCs w:val="22"/>
              </w:rPr>
              <w:t xml:space="preserve">Differential Entropy (DE)</w:t>
            </w:r>
          </w:p>
        </w:tc>
        <w:tc>
          <w:tcPr>
            <w:tcW w:type="dxa" w:w="2200"/>
            <w:tcMar>
              <w:top w:type="dxa" w:w="80"/>
              <w:left w:type="dxa" w:w="100"/>
              <w:bottom w:type="dxa" w:w="80"/>
              <w:right w:type="dxa" w:w="100"/>
            </w:tcMar>
            <w:vAlign w:val="center"/>
          </w:tcPr>
          <w:p>
            <w:pPr>
              <w:jc w:val="center"/>
            </w:pPr>
            <w:r>
              <w:rPr>
                <w:b w:val="false"/>
                <w:bCs w:val="false"/>
                <w:sz w:val="22"/>
                <w:szCs w:val="22"/>
              </w:rPr>
              <w:t xml:space="preserve">160 (5 bands × 32 channels)</w:t>
            </w:r>
          </w:p>
        </w:tc>
        <w:tc>
          <w:tcPr>
            <w:tcW w:type="dxa" w:w="4200"/>
            <w:tcMar>
              <w:top w:type="dxa" w:w="80"/>
              <w:left w:type="dxa" w:w="100"/>
              <w:bottom w:type="dxa" w:w="80"/>
              <w:right w:type="dxa" w:w="100"/>
            </w:tcMar>
            <w:vAlign w:val="center"/>
          </w:tcPr>
          <w:p>
            <w:pPr>
              <w:jc w:val="center"/>
            </w:pPr>
            <w:r>
              <w:rPr>
                <w:b w:val="false"/>
                <w:bCs w:val="false"/>
                <w:sz w:val="22"/>
                <w:szCs w:val="22"/>
              </w:rPr>
              <w:t xml:space="preserve">DE = 0.5 × ln(2πe·σ²) of the band-filtered signal; widely reported as the strongest single feature type in EEG-emotion literature.</w:t>
            </w:r>
          </w:p>
        </w:tc>
      </w:tr>
      <w:tr>
        <w:tc>
          <w:tcPr>
            <w:tcW w:type="dxa" w:w="2600"/>
            <w:tcMar>
              <w:top w:type="dxa" w:w="80"/>
              <w:left w:type="dxa" w:w="100"/>
              <w:bottom w:type="dxa" w:w="80"/>
              <w:right w:type="dxa" w:w="100"/>
            </w:tcMar>
            <w:vAlign w:val="center"/>
          </w:tcPr>
          <w:p>
            <w:pPr>
              <w:jc w:val="center"/>
            </w:pPr>
            <w:r>
              <w:rPr>
                <w:b w:val="false"/>
                <w:bCs w:val="false"/>
                <w:sz w:val="22"/>
                <w:szCs w:val="22"/>
              </w:rPr>
              <w:t xml:space="preserve">Relative Band Power (RP)</w:t>
            </w:r>
          </w:p>
        </w:tc>
        <w:tc>
          <w:tcPr>
            <w:tcW w:type="dxa" w:w="2200"/>
            <w:tcMar>
              <w:top w:type="dxa" w:w="80"/>
              <w:left w:type="dxa" w:w="100"/>
              <w:bottom w:type="dxa" w:w="80"/>
              <w:right w:type="dxa" w:w="100"/>
            </w:tcMar>
            <w:vAlign w:val="center"/>
          </w:tcPr>
          <w:p>
            <w:pPr>
              <w:jc w:val="center"/>
            </w:pPr>
            <w:r>
              <w:rPr>
                <w:b w:val="false"/>
                <w:bCs w:val="false"/>
                <w:sz w:val="22"/>
                <w:szCs w:val="22"/>
              </w:rPr>
              <w:t xml:space="preserve">160 (5 bands × 32 channels)</w:t>
            </w:r>
          </w:p>
        </w:tc>
        <w:tc>
          <w:tcPr>
            <w:tcW w:type="dxa" w:w="4200"/>
            <w:tcMar>
              <w:top w:type="dxa" w:w="80"/>
              <w:left w:type="dxa" w:w="100"/>
              <w:bottom w:type="dxa" w:w="80"/>
              <w:right w:type="dxa" w:w="100"/>
            </w:tcMar>
            <w:vAlign w:val="center"/>
          </w:tcPr>
          <w:p>
            <w:pPr>
              <w:jc w:val="center"/>
            </w:pPr>
            <w:r>
              <w:rPr>
                <w:b w:val="false"/>
                <w:bCs w:val="false"/>
                <w:sz w:val="22"/>
                <w:szCs w:val="22"/>
              </w:rPr>
              <w:t xml:space="preserve">Each frequency band's variance expressed as a fraction of total broadband variance.</w:t>
            </w:r>
          </w:p>
        </w:tc>
      </w:tr>
      <w:tr>
        <w:tc>
          <w:tcPr>
            <w:tcW w:type="dxa" w:w="2600"/>
            <w:tcMar>
              <w:top w:type="dxa" w:w="80"/>
              <w:left w:type="dxa" w:w="100"/>
              <w:bottom w:type="dxa" w:w="80"/>
              <w:right w:type="dxa" w:w="100"/>
            </w:tcMar>
            <w:vAlign w:val="center"/>
          </w:tcPr>
          <w:p>
            <w:pPr>
              <w:jc w:val="center"/>
            </w:pPr>
            <w:r>
              <w:rPr>
                <w:b w:val="false"/>
                <w:bCs w:val="false"/>
                <w:sz w:val="22"/>
                <w:szCs w:val="22"/>
              </w:rPr>
              <w:t xml:space="preserve">Higuchi Fractal Dimension (HFD)</w:t>
            </w:r>
          </w:p>
        </w:tc>
        <w:tc>
          <w:tcPr>
            <w:tcW w:type="dxa" w:w="2200"/>
            <w:tcMar>
              <w:top w:type="dxa" w:w="80"/>
              <w:left w:type="dxa" w:w="100"/>
              <w:bottom w:type="dxa" w:w="80"/>
              <w:right w:type="dxa" w:w="100"/>
            </w:tcMar>
            <w:vAlign w:val="center"/>
          </w:tcPr>
          <w:p>
            <w:pPr>
              <w:jc w:val="center"/>
            </w:pPr>
            <w:r>
              <w:rPr>
                <w:b w:val="false"/>
                <w:bCs w:val="false"/>
                <w:sz w:val="22"/>
                <w:szCs w:val="22"/>
              </w:rPr>
              <w:t xml:space="preserve">32 (1 × 32 channels)</w:t>
            </w:r>
          </w:p>
        </w:tc>
        <w:tc>
          <w:tcPr>
            <w:tcW w:type="dxa" w:w="4200"/>
            <w:tcMar>
              <w:top w:type="dxa" w:w="80"/>
              <w:left w:type="dxa" w:w="100"/>
              <w:bottom w:type="dxa" w:w="80"/>
              <w:right w:type="dxa" w:w="100"/>
            </w:tcMar>
            <w:vAlign w:val="center"/>
          </w:tcPr>
          <w:p>
            <w:pPr>
              <w:jc w:val="center"/>
            </w:pPr>
            <w:r>
              <w:rPr>
                <w:b w:val="false"/>
                <w:bCs w:val="false"/>
                <w:sz w:val="22"/>
                <w:szCs w:val="22"/>
              </w:rPr>
              <w:t xml:space="preserve">A scale-invariant, time-domain measure of signal complexity.</w:t>
            </w:r>
          </w:p>
        </w:tc>
      </w:tr>
      <w:tr>
        <w:tc>
          <w:tcPr>
            <w:tcW w:type="dxa" w:w="2600"/>
            <w:tcMar>
              <w:top w:type="dxa" w:w="80"/>
              <w:left w:type="dxa" w:w="100"/>
              <w:bottom w:type="dxa" w:w="80"/>
              <w:right w:type="dxa" w:w="100"/>
            </w:tcMar>
            <w:vAlign w:val="center"/>
          </w:tcPr>
          <w:p>
            <w:pPr>
              <w:jc w:val="center"/>
            </w:pPr>
            <w:r>
              <w:rPr>
                <w:b w:val="false"/>
                <w:bCs w:val="false"/>
                <w:sz w:val="22"/>
                <w:szCs w:val="22"/>
              </w:rPr>
              <w:t xml:space="preserve">Hjorth Parameters</w:t>
            </w:r>
          </w:p>
        </w:tc>
        <w:tc>
          <w:tcPr>
            <w:tcW w:type="dxa" w:w="2200"/>
            <w:tcMar>
              <w:top w:type="dxa" w:w="80"/>
              <w:left w:type="dxa" w:w="100"/>
              <w:bottom w:type="dxa" w:w="80"/>
              <w:right w:type="dxa" w:w="100"/>
            </w:tcMar>
            <w:vAlign w:val="center"/>
          </w:tcPr>
          <w:p>
            <w:pPr>
              <w:jc w:val="center"/>
            </w:pPr>
            <w:r>
              <w:rPr>
                <w:b w:val="false"/>
                <w:bCs w:val="false"/>
                <w:sz w:val="22"/>
                <w:szCs w:val="22"/>
              </w:rPr>
              <w:t xml:space="preserve">96 (Activity, Mobility, Complexity × 32 channels)</w:t>
            </w:r>
          </w:p>
        </w:tc>
        <w:tc>
          <w:tcPr>
            <w:tcW w:type="dxa" w:w="4200"/>
            <w:tcMar>
              <w:top w:type="dxa" w:w="80"/>
              <w:left w:type="dxa" w:w="100"/>
              <w:bottom w:type="dxa" w:w="80"/>
              <w:right w:type="dxa" w:w="100"/>
            </w:tcMar>
            <w:vAlign w:val="center"/>
          </w:tcPr>
          <w:p>
            <w:pPr>
              <w:jc w:val="center"/>
            </w:pPr>
            <w:r>
              <w:rPr>
                <w:b w:val="false"/>
                <w:bCs w:val="false"/>
                <w:sz w:val="22"/>
                <w:szCs w:val="22"/>
              </w:rPr>
              <w:t xml:space="preserve">Classical time-domain descriptors of signal amplitude, frequency, and waveform complexity.</w:t>
            </w:r>
          </w:p>
        </w:tc>
      </w:tr>
      <w:tr>
        <w:tc>
          <w:tcPr>
            <w:tcW w:type="dxa" w:w="2600"/>
            <w:tcMar>
              <w:top w:type="dxa" w:w="80"/>
              <w:left w:type="dxa" w:w="100"/>
              <w:bottom w:type="dxa" w:w="80"/>
              <w:right w:type="dxa" w:w="100"/>
            </w:tcMar>
            <w:vAlign w:val="center"/>
          </w:tcPr>
          <w:p>
            <w:pPr>
              <w:jc w:val="center"/>
            </w:pPr>
            <w:r>
              <w:rPr>
                <w:b w:val="false"/>
                <w:bCs w:val="false"/>
                <w:sz w:val="22"/>
                <w:szCs w:val="22"/>
              </w:rPr>
              <w:t xml:space="preserve">Differential Asymmetry (DASM)</w:t>
            </w:r>
          </w:p>
        </w:tc>
        <w:tc>
          <w:tcPr>
            <w:tcW w:type="dxa" w:w="2200"/>
            <w:tcMar>
              <w:top w:type="dxa" w:w="80"/>
              <w:left w:type="dxa" w:w="100"/>
              <w:bottom w:type="dxa" w:w="80"/>
              <w:right w:type="dxa" w:w="100"/>
            </w:tcMar>
            <w:vAlign w:val="center"/>
          </w:tcPr>
          <w:p>
            <w:pPr>
              <w:jc w:val="center"/>
            </w:pPr>
            <w:r>
              <w:rPr>
                <w:b w:val="false"/>
                <w:bCs w:val="false"/>
                <w:sz w:val="22"/>
                <w:szCs w:val="22"/>
              </w:rPr>
              <w:t xml:space="preserve">70 (5 bands × 14 hemispheric pairs)</w:t>
            </w:r>
          </w:p>
        </w:tc>
        <w:tc>
          <w:tcPr>
            <w:tcW w:type="dxa" w:w="4200"/>
            <w:tcMar>
              <w:top w:type="dxa" w:w="80"/>
              <w:left w:type="dxa" w:w="100"/>
              <w:bottom w:type="dxa" w:w="80"/>
              <w:right w:type="dxa" w:w="100"/>
            </w:tcMar>
            <w:vAlign w:val="center"/>
          </w:tcPr>
          <w:p>
            <w:pPr>
              <w:jc w:val="center"/>
            </w:pPr>
            <w:r>
              <w:rPr>
                <w:b w:val="false"/>
                <w:bCs w:val="false"/>
                <w:sz w:val="22"/>
                <w:szCs w:val="22"/>
              </w:rPr>
              <w:t xml:space="preserve">Right-minus-left DE per hemispheric electrode pair, generalising the FAA concept across the whole scalp rather than only the frontal region.</w:t>
            </w:r>
          </w:p>
        </w:tc>
      </w:tr>
    </w:tbl>
    <w:p>
      <w:pPr>
        <w:spacing w:after="300" w:before="100"/>
        <w:jc w:val="center"/>
      </w:pPr>
      <w:r>
        <w:rPr>
          <w:b/>
          <w:bCs/>
          <w:i/>
          <w:iCs/>
          <w:sz w:val="22"/>
          <w:szCs w:val="22"/>
        </w:rPr>
        <w:t xml:space="preserve">Table 2.2: Feature families extracted (518-dimensional set)</w:t>
      </w:r>
    </w:p>
    <w:p>
      <w:pPr>
        <w:pStyle w:val="Heading2"/>
        <w:spacing w:after="150" w:before="300"/>
      </w:pPr>
      <w:r>
        <w:rPr>
          <w:b/>
          <w:bCs/>
          <w:sz w:val="26"/>
          <w:szCs w:val="26"/>
        </w:rPr>
        <w:t xml:space="preserve">2.5 Addressing Class Imbalance — The Majority Class Trap</w:t>
      </w:r>
    </w:p>
    <w:p>
      <w:pPr>
        <w:spacing w:after="200" w:line="360"/>
        <w:jc w:val="both"/>
      </w:pPr>
      <w:r>
        <w:rPr>
          <w:sz w:val="24"/>
          <w:szCs w:val="24"/>
        </w:rPr>
        <w:t xml:space="preserve">The standard DEAP evaluation convention labels a self-report score above 4.5 as “High” and a score at or below 4.5 as “Low.” Applying this threshold to the dataset revealed a severe imbalance: 79.0% of trials fell into the majority (Low) class for valence (1,011 Low vs. 269 High), and 76.7% fell into the majority (Low) class for arousal (982 Low vs. 298 High).</w:t>
      </w:r>
    </w:p>
    <w:p>
      <w:pPr>
        <w:spacing w:after="200" w:line="360"/>
        <w:jc w:val="both"/>
      </w:pPr>
      <w:r>
        <w:rPr>
          <w:sz w:val="24"/>
          <w:szCs w:val="24"/>
        </w:rPr>
        <w:t xml:space="preserve">Initial gradient-boosted models (LogitBoost) reported deceptively high raw accuracies of approximately 78%. Inspection of the corresponding confusion matrices showed that this was a “majority class trap”: the model was simply predicting the majority class in almost every case, artificially inflating raw accuracy while achieving near-zero recall on the minority class. This is a well-known but frequently under-reported failure mode in imbalanced-classification studies, and left uncorrected it would have produced a misleadingly favourable headline result.</w:t>
      </w:r>
    </w:p>
    <w:p>
      <w:pPr>
        <w:spacing w:after="200" w:line="360"/>
        <w:jc w:val="both"/>
      </w:pPr>
      <w:r>
        <w:rPr>
          <w:sz w:val="24"/>
          <w:szCs w:val="24"/>
        </w:rPr>
        <w:t xml:space="preserve">To correct for this, the classifier was upgraded to Random Under-Sampling Boosting (RUSBoost), implemented via MATLAB's fitcensemble. RUSBoost physically down-samples the majority class at every boosting iteration, forcing the underlying decision trees to learn discriminative patterns for the minority class rather than defaulting to it. Balanced Accuracy and Macro-F1 were adopted as the primary evaluation metrics from this point onward, since raw accuracy is not an honest metric under this degree of class imbalance.</w:t>
      </w:r>
    </w:p>
    <w:p>
      <w:pPr>
        <w:pStyle w:val="Heading2"/>
        <w:spacing w:after="150" w:before="300"/>
      </w:pPr>
      <w:r>
        <w:rPr>
          <w:b/>
          <w:bCs/>
          <w:sz w:val="26"/>
          <w:szCs w:val="26"/>
        </w:rPr>
        <w:t xml:space="preserve">2.6 Validation Methodology — Preventing Data Leakage</w:t>
      </w:r>
    </w:p>
    <w:p>
      <w:pPr>
        <w:spacing w:after="200" w:line="360"/>
        <w:jc w:val="both"/>
      </w:pPr>
      <w:r>
        <w:rPr>
          <w:sz w:val="24"/>
          <w:szCs w:val="24"/>
        </w:rPr>
        <w:t xml:space="preserve">All 518 features were z-scored on a per-subject basis prior to training, consistent with the confound-removal rationale established in Phase 1. To ensure the resulting model reflects genuine, real-world applicability rather than memorised subject-specific patterns, cross-validation was performed in a subject-grouped fashion across 8 folds, with entire subjects — rather than individual trials — assigned to each fold. This guarantees that no subject's data appears in both the training and test partitions within any fold, which strictly prevents the algorithm from exploiting individual resting-state brain signatures as a shortcut (a well-documented data-leakage risk in EEG machine learning that can otherwise produce artificially high but non-generalisable accuracy).</w:t>
      </w:r>
    </w:p>
    <w:p>
      <w:pPr>
        <w:pStyle w:val="Heading2"/>
        <w:spacing w:after="150" w:before="300"/>
      </w:pPr>
      <w:r>
        <w:rPr>
          <w:b/>
          <w:bCs/>
          <w:sz w:val="26"/>
          <w:szCs w:val="26"/>
        </w:rPr>
        <w:t xml:space="preserve">2.7 Deep Learning Exploration</w:t>
      </w:r>
    </w:p>
    <w:p>
      <w:pPr>
        <w:spacing w:after="200" w:line="360"/>
        <w:jc w:val="both"/>
      </w:pPr>
      <w:r>
        <w:rPr>
          <w:sz w:val="24"/>
          <w:szCs w:val="24"/>
        </w:rPr>
        <w:t xml:space="preserve">As a supplementary line of investigation, a compact 2D Convolutional Neural Network (CNN) was designed and trained directly on raw, windowed, multichannel EEG, to evaluate whether a learned representation could outperform the engineered-feature RUSBoost pipeline. The input was structured as 3-second windows of 32 channels × 384 samples (at 128 Hz), producing 25,600 training examples. The network followed a standard EEG-CNN pattern: an initial temporal convolution, a full-channel spatial convolution, a second temporal convolution, and a fully connected classification head. A Graph Neural Network (GNN) formulation, treating electrodes as graph nodes connected by scalp adjacency, was also evaluated at a conceptual level as a complementary deep-learning approach for capturing inter-channel spatial relationships.</w:t>
      </w:r>
    </w:p>
    <w:p>
      <w:pPr>
        <w:pStyle w:val="Heading2"/>
        <w:spacing w:after="150" w:before="300"/>
      </w:pPr>
      <w:r>
        <w:rPr>
          <w:b/>
          <w:bCs/>
          <w:sz w:val="26"/>
          <w:szCs w:val="26"/>
        </w:rPr>
        <w:t xml:space="preserve">2.8 Summary</w:t>
      </w:r>
    </w:p>
    <w:p>
      <w:pPr>
        <w:spacing w:after="200" w:line="360"/>
        <w:jc w:val="both"/>
      </w:pPr>
      <w:r>
        <w:rPr>
          <w:sz w:val="24"/>
          <w:szCs w:val="24"/>
        </w:rPr>
        <w:t xml:space="preserve">This chapter has formulated the emotion-recognition problem addressed in this project, described the DEAP dataset, and detailed the two principal methodological phases: a rule-based Phase 1 pipeline built on Frontal Alpha Asymmetry and Beta/Alpha ratios, and a Phase 2 machine-learning pipeline built on a 518-feature representation, corrected for class imbalance via RUSBoost, and validated using subject-grouped cross-validation to prevent data leakage. A supplementary CNN-based deep-learning exploration was also described. Chapter 3 presents the quantitative results obtained from each of these approaches.</w:t>
      </w:r>
    </w:p>
    <w:p>
      <w:pPr>
        <w:pageBreakBefore/>
        <w:spacing w:after="120"/>
        <w:jc w:val="center"/>
      </w:pPr>
      <w:r>
        <w:rPr>
          <w:b/>
          <w:bCs/>
          <w:sz w:val="30"/>
          <w:szCs w:val="30"/>
        </w:rPr>
        <w:t xml:space="preserve">CHAPTER 3</w:t>
      </w:r>
    </w:p>
    <w:p>
      <w:pPr>
        <w:pStyle w:val="Heading1"/>
        <w:spacing w:after="400"/>
        <w:jc w:val="center"/>
      </w:pPr>
      <w:r>
        <w:rPr>
          <w:b/>
          <w:bCs/>
          <w:sz w:val="30"/>
          <w:szCs w:val="30"/>
        </w:rPr>
        <w:t xml:space="preserve">RESULTS AND DISCUSSION</w:t>
      </w:r>
    </w:p>
    <w:p>
      <w:pPr>
        <w:pStyle w:val="Heading2"/>
        <w:spacing w:after="150" w:before="300"/>
      </w:pPr>
      <w:r>
        <w:rPr>
          <w:b/>
          <w:bCs/>
          <w:sz w:val="26"/>
          <w:szCs w:val="26"/>
        </w:rPr>
        <w:t xml:space="preserve">3.1 Phase 1 Results: Rule-Based Approach</w:t>
      </w:r>
    </w:p>
    <w:p>
      <w:pPr>
        <w:spacing w:after="200" w:line="360"/>
        <w:jc w:val="both"/>
      </w:pPr>
      <w:r>
        <w:rPr>
          <w:sz w:val="24"/>
          <w:szCs w:val="24"/>
        </w:rPr>
        <w:t xml:space="preserve">Across all tested configurations of the rule-based classifier — including both single-pair and 4-pair-averaged FAA — results across the full set of 1,280 trials fell within a narrow band of 47.6% to 51.7%, centred on the 50% chance baseline. This outcome was consistent across configurations, which rules out an implementation defect and instead points to a genuine property of the method: a two-feature, fixed-threshold rule-based classifier shows no detectable single-trial correspondence with self-reported emotion in this cohort.</w:t>
      </w:r>
    </w:p>
    <w:p>
      <w:pPr>
        <w:spacing w:after="200" w:line="360"/>
        <w:jc w:val="both"/>
      </w:pPr>
      <w:r>
        <w:rPr>
          <w:sz w:val="24"/>
          <w:szCs w:val="24"/>
        </w:rPr>
        <w:t xml:space="preserve">Several factors plausibly contribute to this result. Restricting the feature space to 2–8 frontal electrodes provides only a small window into what is fundamentally a high-dimensional, distributed cortical signal, and self-report emotion ratings are themselves known to carry substantial measurement noise. This legitimate, well-diagnosed null result directly motivated the transition to a machine-learning approach with a much richer feature representation in Phase 2, rather than being treated as a failure to be hidden.</w:t>
      </w:r>
    </w:p>
    <w:p>
      <w:pPr>
        <w:pStyle w:val="Heading2"/>
        <w:spacing w:after="150" w:before="300"/>
      </w:pPr>
      <w:r>
        <w:rPr>
          <w:b/>
          <w:bCs/>
          <w:sz w:val="26"/>
          <w:szCs w:val="26"/>
        </w:rPr>
        <w:t xml:space="preserve">3.2 Phase 2 Results: Full Feature Set vs. Top-25 Features</w:t>
      </w:r>
    </w:p>
    <w:p>
      <w:pPr>
        <w:spacing w:after="200" w:line="360"/>
        <w:jc w:val="both"/>
      </w:pPr>
      <w:r>
        <w:rPr>
          <w:sz w:val="24"/>
          <w:szCs w:val="24"/>
        </w:rPr>
        <w:t xml:space="preserve">To evaluate how much of the classification signal could be captured by a small, interpretable subset of features, the 25 most important predictors (ranked by the ensemble's built-in feature-importance measure) were isolated and re-evaluated using RUSBoost under the same subject-grouped, 8-fold cross-validation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00"/>
        <w:gridCol w:w="1700"/>
      </w:tblGrid>
      <w:tr>
        <w:trPr>
          <w:tblHeader/>
        </w:trPr>
        <w:tc>
          <w:tcPr>
            <w:tcW w:type="dxa" w:w="1300"/>
            <w:shd w:fill="D9E2F3" w:val="clear"/>
            <w:tcMar>
              <w:top w:type="dxa" w:w="80"/>
              <w:left w:type="dxa" w:w="100"/>
              <w:bottom w:type="dxa" w:w="80"/>
              <w:right w:type="dxa" w:w="100"/>
            </w:tcMar>
            <w:vAlign w:val="center"/>
          </w:tcPr>
          <w:p>
            <w:pPr>
              <w:jc w:val="center"/>
            </w:pPr>
            <w:r>
              <w:rPr>
                <w:b/>
                <w:bCs/>
                <w:sz w:val="22"/>
                <w:szCs w:val="22"/>
              </w:rPr>
              <w:t xml:space="preserve">Target</w:t>
            </w:r>
          </w:p>
        </w:tc>
        <w:tc>
          <w:tcPr>
            <w:tcW w:type="dxa" w:w="1500"/>
            <w:shd w:fill="D9E2F3" w:val="clear"/>
            <w:tcMar>
              <w:top w:type="dxa" w:w="80"/>
              <w:left w:type="dxa" w:w="100"/>
              <w:bottom w:type="dxa" w:w="80"/>
              <w:right w:type="dxa" w:w="100"/>
            </w:tcMar>
            <w:vAlign w:val="center"/>
          </w:tcPr>
          <w:p>
            <w:pPr>
              <w:jc w:val="center"/>
            </w:pPr>
            <w:r>
              <w:rPr>
                <w:b/>
                <w:bCs/>
                <w:sz w:val="22"/>
                <w:szCs w:val="22"/>
              </w:rPr>
              <w:t xml:space="preserve">Full Set Raw Acc.</w:t>
            </w:r>
          </w:p>
        </w:tc>
        <w:tc>
          <w:tcPr>
            <w:tcW w:type="dxa" w:w="1500"/>
            <w:shd w:fill="D9E2F3" w:val="clear"/>
            <w:tcMar>
              <w:top w:type="dxa" w:w="80"/>
              <w:left w:type="dxa" w:w="100"/>
              <w:bottom w:type="dxa" w:w="80"/>
              <w:right w:type="dxa" w:w="100"/>
            </w:tcMar>
            <w:vAlign w:val="center"/>
          </w:tcPr>
          <w:p>
            <w:pPr>
              <w:jc w:val="center"/>
            </w:pPr>
            <w:r>
              <w:rPr>
                <w:b/>
                <w:bCs/>
                <w:sz w:val="22"/>
                <w:szCs w:val="22"/>
              </w:rPr>
              <w:t xml:space="preserve">Full Set Bal. Acc.</w:t>
            </w:r>
          </w:p>
        </w:tc>
        <w:tc>
          <w:tcPr>
            <w:tcW w:type="dxa" w:w="1500"/>
            <w:shd w:fill="D9E2F3" w:val="clear"/>
            <w:tcMar>
              <w:top w:type="dxa" w:w="80"/>
              <w:left w:type="dxa" w:w="100"/>
              <w:bottom w:type="dxa" w:w="80"/>
              <w:right w:type="dxa" w:w="100"/>
            </w:tcMar>
            <w:vAlign w:val="center"/>
          </w:tcPr>
          <w:p>
            <w:pPr>
              <w:jc w:val="center"/>
            </w:pPr>
            <w:r>
              <w:rPr>
                <w:b/>
                <w:bCs/>
                <w:sz w:val="22"/>
                <w:szCs w:val="22"/>
              </w:rPr>
              <w:t xml:space="preserve">Top-25 Raw Acc.</w:t>
            </w:r>
          </w:p>
        </w:tc>
        <w:tc>
          <w:tcPr>
            <w:tcW w:type="dxa" w:w="1500"/>
            <w:shd w:fill="D9E2F3" w:val="clear"/>
            <w:tcMar>
              <w:top w:type="dxa" w:w="80"/>
              <w:left w:type="dxa" w:w="100"/>
              <w:bottom w:type="dxa" w:w="80"/>
              <w:right w:type="dxa" w:w="100"/>
            </w:tcMar>
            <w:vAlign w:val="center"/>
          </w:tcPr>
          <w:p>
            <w:pPr>
              <w:jc w:val="center"/>
            </w:pPr>
            <w:r>
              <w:rPr>
                <w:b/>
                <w:bCs/>
                <w:sz w:val="22"/>
                <w:szCs w:val="22"/>
              </w:rPr>
              <w:t xml:space="preserve">Top-25 Bal. Acc.</w:t>
            </w:r>
          </w:p>
        </w:tc>
        <w:tc>
          <w:tcPr>
            <w:tcW w:type="dxa" w:w="1700"/>
            <w:shd w:fill="D9E2F3" w:val="clear"/>
            <w:tcMar>
              <w:top w:type="dxa" w:w="80"/>
              <w:left w:type="dxa" w:w="100"/>
              <w:bottom w:type="dxa" w:w="80"/>
              <w:right w:type="dxa" w:w="100"/>
            </w:tcMar>
            <w:vAlign w:val="center"/>
          </w:tcPr>
          <w:p>
            <w:pPr>
              <w:jc w:val="center"/>
            </w:pPr>
            <w:r>
              <w:rPr>
                <w:b/>
                <w:bCs/>
                <w:sz w:val="22"/>
                <w:szCs w:val="22"/>
              </w:rPr>
              <w:t xml:space="preserve">Macro-F1 (Top-25)</w:t>
            </w:r>
          </w:p>
        </w:tc>
      </w:tr>
      <w:tr>
        <w:tc>
          <w:tcPr>
            <w:tcW w:type="dxa" w:w="1300"/>
            <w:tcMar>
              <w:top w:type="dxa" w:w="80"/>
              <w:left w:type="dxa" w:w="100"/>
              <w:bottom w:type="dxa" w:w="80"/>
              <w:right w:type="dxa" w:w="100"/>
            </w:tcMar>
            <w:vAlign w:val="center"/>
          </w:tcPr>
          <w:p>
            <w:pPr>
              <w:jc w:val="center"/>
            </w:pPr>
            <w:r>
              <w:rPr>
                <w:b w:val="false"/>
                <w:bCs w:val="false"/>
                <w:sz w:val="22"/>
                <w:szCs w:val="22"/>
              </w:rPr>
              <w:t xml:space="preserve">Valence</w:t>
            </w:r>
          </w:p>
        </w:tc>
        <w:tc>
          <w:tcPr>
            <w:tcW w:type="dxa" w:w="1500"/>
            <w:tcMar>
              <w:top w:type="dxa" w:w="80"/>
              <w:left w:type="dxa" w:w="100"/>
              <w:bottom w:type="dxa" w:w="80"/>
              <w:right w:type="dxa" w:w="100"/>
            </w:tcMar>
            <w:vAlign w:val="center"/>
          </w:tcPr>
          <w:p>
            <w:pPr>
              <w:jc w:val="center"/>
            </w:pPr>
            <w:r>
              <w:rPr>
                <w:b w:val="false"/>
                <w:bCs w:val="false"/>
                <w:sz w:val="22"/>
                <w:szCs w:val="22"/>
              </w:rPr>
              <w:t xml:space="preserve">52.8%</w:t>
            </w:r>
          </w:p>
        </w:tc>
        <w:tc>
          <w:tcPr>
            <w:tcW w:type="dxa" w:w="1500"/>
            <w:tcMar>
              <w:top w:type="dxa" w:w="80"/>
              <w:left w:type="dxa" w:w="100"/>
              <w:bottom w:type="dxa" w:w="80"/>
              <w:right w:type="dxa" w:w="100"/>
            </w:tcMar>
            <w:vAlign w:val="center"/>
          </w:tcPr>
          <w:p>
            <w:pPr>
              <w:jc w:val="center"/>
            </w:pPr>
            <w:r>
              <w:rPr>
                <w:b w:val="false"/>
                <w:bCs w:val="false"/>
                <w:sz w:val="22"/>
                <w:szCs w:val="22"/>
              </w:rPr>
              <w:t xml:space="preserve">51.4%</w:t>
            </w:r>
          </w:p>
        </w:tc>
        <w:tc>
          <w:tcPr>
            <w:tcW w:type="dxa" w:w="1500"/>
            <w:tcMar>
              <w:top w:type="dxa" w:w="80"/>
              <w:left w:type="dxa" w:w="100"/>
              <w:bottom w:type="dxa" w:w="80"/>
              <w:right w:type="dxa" w:w="100"/>
            </w:tcMar>
            <w:vAlign w:val="center"/>
          </w:tcPr>
          <w:p>
            <w:pPr>
              <w:jc w:val="center"/>
            </w:pPr>
            <w:r>
              <w:rPr>
                <w:b w:val="false"/>
                <w:bCs w:val="false"/>
                <w:sz w:val="22"/>
                <w:szCs w:val="22"/>
              </w:rPr>
              <w:t xml:space="preserve">60.5%</w:t>
            </w:r>
          </w:p>
        </w:tc>
        <w:tc>
          <w:tcPr>
            <w:tcW w:type="dxa" w:w="1500"/>
            <w:tcMar>
              <w:top w:type="dxa" w:w="80"/>
              <w:left w:type="dxa" w:w="100"/>
              <w:bottom w:type="dxa" w:w="80"/>
              <w:right w:type="dxa" w:w="100"/>
            </w:tcMar>
            <w:vAlign w:val="center"/>
          </w:tcPr>
          <w:p>
            <w:pPr>
              <w:jc w:val="center"/>
            </w:pPr>
            <w:r>
              <w:rPr>
                <w:b w:val="false"/>
                <w:bCs w:val="false"/>
                <w:sz w:val="22"/>
                <w:szCs w:val="22"/>
              </w:rPr>
              <w:t xml:space="preserve">59.1%</w:t>
            </w:r>
          </w:p>
        </w:tc>
        <w:tc>
          <w:tcPr>
            <w:tcW w:type="dxa" w:w="1700"/>
            <w:tcMar>
              <w:top w:type="dxa" w:w="80"/>
              <w:left w:type="dxa" w:w="100"/>
              <w:bottom w:type="dxa" w:w="80"/>
              <w:right w:type="dxa" w:w="100"/>
            </w:tcMar>
            <w:vAlign w:val="center"/>
          </w:tcPr>
          <w:p>
            <w:pPr>
              <w:jc w:val="center"/>
            </w:pPr>
            <w:r>
              <w:rPr>
                <w:b w:val="false"/>
                <w:bCs w:val="false"/>
                <w:sz w:val="22"/>
                <w:szCs w:val="22"/>
              </w:rPr>
              <w:t xml:space="preserve">0.57</w:t>
            </w:r>
          </w:p>
        </w:tc>
      </w:tr>
      <w:tr>
        <w:tc>
          <w:tcPr>
            <w:tcW w:type="dxa" w:w="1300"/>
            <w:tcMar>
              <w:top w:type="dxa" w:w="80"/>
              <w:left w:type="dxa" w:w="100"/>
              <w:bottom w:type="dxa" w:w="80"/>
              <w:right w:type="dxa" w:w="100"/>
            </w:tcMar>
            <w:vAlign w:val="center"/>
          </w:tcPr>
          <w:p>
            <w:pPr>
              <w:jc w:val="center"/>
            </w:pPr>
            <w:r>
              <w:rPr>
                <w:b w:val="false"/>
                <w:bCs w:val="false"/>
                <w:sz w:val="22"/>
                <w:szCs w:val="22"/>
              </w:rPr>
              <w:t xml:space="preserve">Arousal</w:t>
            </w:r>
          </w:p>
        </w:tc>
        <w:tc>
          <w:tcPr>
            <w:tcW w:type="dxa" w:w="1500"/>
            <w:tcMar>
              <w:top w:type="dxa" w:w="80"/>
              <w:left w:type="dxa" w:w="100"/>
              <w:bottom w:type="dxa" w:w="80"/>
              <w:right w:type="dxa" w:w="100"/>
            </w:tcMar>
            <w:vAlign w:val="center"/>
          </w:tcPr>
          <w:p>
            <w:pPr>
              <w:jc w:val="center"/>
            </w:pPr>
            <w:r>
              <w:rPr>
                <w:b w:val="false"/>
                <w:bCs w:val="false"/>
                <w:sz w:val="22"/>
                <w:szCs w:val="22"/>
              </w:rPr>
              <w:t xml:space="preserve">54.1%</w:t>
            </w:r>
          </w:p>
        </w:tc>
        <w:tc>
          <w:tcPr>
            <w:tcW w:type="dxa" w:w="1500"/>
            <w:tcMar>
              <w:top w:type="dxa" w:w="80"/>
              <w:left w:type="dxa" w:w="100"/>
              <w:bottom w:type="dxa" w:w="80"/>
              <w:right w:type="dxa" w:w="100"/>
            </w:tcMar>
            <w:vAlign w:val="center"/>
          </w:tcPr>
          <w:p>
            <w:pPr>
              <w:jc w:val="center"/>
            </w:pPr>
            <w:r>
              <w:rPr>
                <w:b w:val="false"/>
                <w:bCs w:val="false"/>
                <w:sz w:val="22"/>
                <w:szCs w:val="22"/>
              </w:rPr>
              <w:t xml:space="preserve">53.0%</w:t>
            </w:r>
          </w:p>
        </w:tc>
        <w:tc>
          <w:tcPr>
            <w:tcW w:type="dxa" w:w="1500"/>
            <w:tcMar>
              <w:top w:type="dxa" w:w="80"/>
              <w:left w:type="dxa" w:w="100"/>
              <w:bottom w:type="dxa" w:w="80"/>
              <w:right w:type="dxa" w:w="100"/>
            </w:tcMar>
            <w:vAlign w:val="center"/>
          </w:tcPr>
          <w:p>
            <w:pPr>
              <w:jc w:val="center"/>
            </w:pPr>
            <w:r>
              <w:rPr>
                <w:b w:val="false"/>
                <w:bCs w:val="false"/>
                <w:sz w:val="22"/>
                <w:szCs w:val="22"/>
              </w:rPr>
              <w:t xml:space="preserve">62.3%</w:t>
            </w:r>
          </w:p>
        </w:tc>
        <w:tc>
          <w:tcPr>
            <w:tcW w:type="dxa" w:w="1500"/>
            <w:tcMar>
              <w:top w:type="dxa" w:w="80"/>
              <w:left w:type="dxa" w:w="100"/>
              <w:bottom w:type="dxa" w:w="80"/>
              <w:right w:type="dxa" w:w="100"/>
            </w:tcMar>
            <w:vAlign w:val="center"/>
          </w:tcPr>
          <w:p>
            <w:pPr>
              <w:jc w:val="center"/>
            </w:pPr>
            <w:r>
              <w:rPr>
                <w:b w:val="false"/>
                <w:bCs w:val="false"/>
                <w:sz w:val="22"/>
                <w:szCs w:val="22"/>
              </w:rPr>
              <w:t xml:space="preserve">60.0%</w:t>
            </w:r>
          </w:p>
        </w:tc>
        <w:tc>
          <w:tcPr>
            <w:tcW w:type="dxa" w:w="1700"/>
            <w:tcMar>
              <w:top w:type="dxa" w:w="80"/>
              <w:left w:type="dxa" w:w="100"/>
              <w:bottom w:type="dxa" w:w="80"/>
              <w:right w:type="dxa" w:w="100"/>
            </w:tcMar>
            <w:vAlign w:val="center"/>
          </w:tcPr>
          <w:p>
            <w:pPr>
              <w:jc w:val="center"/>
            </w:pPr>
            <w:r>
              <w:rPr>
                <w:b w:val="false"/>
                <w:bCs w:val="false"/>
                <w:sz w:val="22"/>
                <w:szCs w:val="22"/>
              </w:rPr>
              <w:t xml:space="preserve">0.58</w:t>
            </w:r>
          </w:p>
        </w:tc>
      </w:tr>
    </w:tbl>
    <w:p>
      <w:pPr>
        <w:spacing w:after="300" w:before="100"/>
        <w:jc w:val="center"/>
      </w:pPr>
      <w:r>
        <w:rPr>
          <w:b/>
          <w:bCs/>
          <w:i/>
          <w:iCs/>
          <w:sz w:val="22"/>
          <w:szCs w:val="22"/>
        </w:rPr>
        <w:t xml:space="preserve">Table 3.1: Overall performance metrics — Full set vs Top-25 features</w:t>
      </w:r>
    </w:p>
    <w:p>
      <w:pPr>
        <w:spacing w:after="200" w:line="360"/>
        <w:jc w:val="both"/>
      </w:pPr>
      <w:r>
        <w:rPr>
          <w:sz w:val="24"/>
          <w:szCs w:val="24"/>
        </w:rPr>
        <w:t xml:space="preserve">Training the classifier on the full 518-feature set caused it to overfit to statistical noise given the limited sample size, dropping balanced accuracy to near-chance levels (approximately 51–53%). Aggressively pruning the feature space to the Top-25 most important predictors mitigated the curse of dimensionality and lifted subject-independent balanced accuracy to approximately 60% for both targets — a result that, while modest in absolute terms, is a substantial and meaningful improvement over both the chance baseline and the Phase 1 rule-based result, particularly given that it was obtained under strict subject-independent evaluation.</w:t>
      </w:r>
    </w:p>
    <w:p>
      <w:pPr>
        <w:pStyle w:val="Heading2"/>
        <w:spacing w:after="150" w:before="300"/>
      </w:pPr>
      <w:r>
        <w:rPr>
          <w:b/>
          <w:bCs/>
          <w:sz w:val="26"/>
          <w:szCs w:val="26"/>
        </w:rPr>
        <w:t xml:space="preserve">3.3 Confusion Matrix Analysis</w:t>
      </w:r>
    </w:p>
    <w:p>
      <w:pPr>
        <w:spacing w:after="200" w:line="360"/>
        <w:jc w:val="both"/>
      </w:pPr>
      <w:r>
        <w:rPr>
          <w:sz w:val="24"/>
          <w:szCs w:val="24"/>
        </w:rPr>
        <w:t xml:space="preserve">The confusion matrices for the Top-25 RUSBoost models confirm that the class-imbalance correction was effective: rather than defaulting almost exclusively to the majority (“Low”) class, as the uncorrected LogitBoost model had done, the RUSBoost model identifies the minority (“High”) class at a rate that is competitive for subject-independent EEG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Mar>
              <w:top w:type="dxa" w:w="80"/>
              <w:left w:type="dxa" w:w="100"/>
              <w:bottom w:type="dxa" w:w="80"/>
              <w:right w:type="dxa" w:w="100"/>
            </w:tcMar>
            <w:vAlign w:val="center"/>
          </w:tcPr>
          <w:p>
            <w:pPr>
              <w:jc w:val="center"/>
            </w:pPr>
            <w:r>
              <w:rPr>
                <w:b/>
                <w:bCs/>
                <w:sz w:val="22"/>
                <w:szCs w:val="22"/>
              </w:rPr>
              <w:t xml:space="preserve">True \ Predicted</w:t>
            </w:r>
          </w:p>
        </w:tc>
        <w:tc>
          <w:tcPr>
            <w:tcW w:type="dxa" w:w="3000"/>
            <w:shd w:fill="D9E2F3" w:val="clear"/>
            <w:tcMar>
              <w:top w:type="dxa" w:w="80"/>
              <w:left w:type="dxa" w:w="100"/>
              <w:bottom w:type="dxa" w:w="80"/>
              <w:right w:type="dxa" w:w="100"/>
            </w:tcMar>
            <w:vAlign w:val="center"/>
          </w:tcPr>
          <w:p>
            <w:pPr>
              <w:jc w:val="center"/>
            </w:pPr>
            <w:r>
              <w:rPr>
                <w:b/>
                <w:bCs/>
                <w:sz w:val="22"/>
                <w:szCs w:val="22"/>
              </w:rPr>
              <w:t xml:space="preserve">Low Valence (Class 0)</w:t>
            </w:r>
          </w:p>
        </w:tc>
        <w:tc>
          <w:tcPr>
            <w:tcW w:type="dxa" w:w="3000"/>
            <w:shd w:fill="D9E2F3" w:val="clear"/>
            <w:tcMar>
              <w:top w:type="dxa" w:w="80"/>
              <w:left w:type="dxa" w:w="100"/>
              <w:bottom w:type="dxa" w:w="80"/>
              <w:right w:type="dxa" w:w="100"/>
            </w:tcMar>
            <w:vAlign w:val="center"/>
          </w:tcPr>
          <w:p>
            <w:pPr>
              <w:jc w:val="center"/>
            </w:pPr>
            <w:r>
              <w:rPr>
                <w:b/>
                <w:bCs/>
                <w:sz w:val="22"/>
                <w:szCs w:val="22"/>
              </w:rPr>
              <w:t xml:space="preserve">High Valence (Class 1)</w:t>
            </w:r>
          </w:p>
        </w:tc>
      </w:tr>
      <w:tr>
        <w:tc>
          <w:tcPr>
            <w:tcW w:type="dxa" w:w="3000"/>
            <w:tcMar>
              <w:top w:type="dxa" w:w="80"/>
              <w:left w:type="dxa" w:w="100"/>
              <w:bottom w:type="dxa" w:w="80"/>
              <w:right w:type="dxa" w:w="100"/>
            </w:tcMar>
            <w:vAlign w:val="center"/>
          </w:tcPr>
          <w:p>
            <w:pPr>
              <w:jc w:val="center"/>
            </w:pPr>
            <w:r>
              <w:rPr>
                <w:b w:val="false"/>
                <w:bCs w:val="false"/>
                <w:sz w:val="22"/>
                <w:szCs w:val="22"/>
              </w:rPr>
              <w:t xml:space="preserve">Low Valence (Class 0)</w:t>
            </w:r>
          </w:p>
        </w:tc>
        <w:tc>
          <w:tcPr>
            <w:tcW w:type="dxa" w:w="3000"/>
            <w:tcMar>
              <w:top w:type="dxa" w:w="80"/>
              <w:left w:type="dxa" w:w="100"/>
              <w:bottom w:type="dxa" w:w="80"/>
              <w:right w:type="dxa" w:w="100"/>
            </w:tcMar>
            <w:vAlign w:val="center"/>
          </w:tcPr>
          <w:p>
            <w:pPr>
              <w:jc w:val="center"/>
            </w:pPr>
            <w:r>
              <w:rPr>
                <w:b w:val="false"/>
                <w:bCs w:val="false"/>
                <w:sz w:val="22"/>
                <w:szCs w:val="22"/>
              </w:rPr>
              <w:t xml:space="preserve">569</w:t>
            </w:r>
          </w:p>
        </w:tc>
        <w:tc>
          <w:tcPr>
            <w:tcW w:type="dxa" w:w="3000"/>
            <w:tcMar>
              <w:top w:type="dxa" w:w="80"/>
              <w:left w:type="dxa" w:w="100"/>
              <w:bottom w:type="dxa" w:w="80"/>
              <w:right w:type="dxa" w:w="100"/>
            </w:tcMar>
            <w:vAlign w:val="center"/>
          </w:tcPr>
          <w:p>
            <w:pPr>
              <w:jc w:val="center"/>
            </w:pPr>
            <w:r>
              <w:rPr>
                <w:b w:val="false"/>
                <w:bCs w:val="false"/>
                <w:sz w:val="22"/>
                <w:szCs w:val="22"/>
              </w:rPr>
              <w:t xml:space="preserve">342</w:t>
            </w:r>
          </w:p>
        </w:tc>
      </w:tr>
      <w:tr>
        <w:tc>
          <w:tcPr>
            <w:tcW w:type="dxa" w:w="3000"/>
            <w:tcMar>
              <w:top w:type="dxa" w:w="80"/>
              <w:left w:type="dxa" w:w="100"/>
              <w:bottom w:type="dxa" w:w="80"/>
              <w:right w:type="dxa" w:w="100"/>
            </w:tcMar>
            <w:vAlign w:val="center"/>
          </w:tcPr>
          <w:p>
            <w:pPr>
              <w:jc w:val="center"/>
            </w:pPr>
            <w:r>
              <w:rPr>
                <w:b w:val="false"/>
                <w:bCs w:val="false"/>
                <w:sz w:val="22"/>
                <w:szCs w:val="22"/>
              </w:rPr>
              <w:t xml:space="preserve">High Valence (Class 1)</w:t>
            </w:r>
          </w:p>
        </w:tc>
        <w:tc>
          <w:tcPr>
            <w:tcW w:type="dxa" w:w="3000"/>
            <w:tcMar>
              <w:top w:type="dxa" w:w="80"/>
              <w:left w:type="dxa" w:w="100"/>
              <w:bottom w:type="dxa" w:w="80"/>
              <w:right w:type="dxa" w:w="100"/>
            </w:tcMar>
            <w:vAlign w:val="center"/>
          </w:tcPr>
          <w:p>
            <w:pPr>
              <w:jc w:val="center"/>
            </w:pPr>
            <w:r>
              <w:rPr>
                <w:b w:val="false"/>
                <w:bCs w:val="false"/>
                <w:sz w:val="22"/>
                <w:szCs w:val="22"/>
              </w:rPr>
              <w:t xml:space="preserve">163</w:t>
            </w:r>
          </w:p>
        </w:tc>
        <w:tc>
          <w:tcPr>
            <w:tcW w:type="dxa" w:w="3000"/>
            <w:tcMar>
              <w:top w:type="dxa" w:w="80"/>
              <w:left w:type="dxa" w:w="100"/>
              <w:bottom w:type="dxa" w:w="80"/>
              <w:right w:type="dxa" w:w="100"/>
            </w:tcMar>
            <w:vAlign w:val="center"/>
          </w:tcPr>
          <w:p>
            <w:pPr>
              <w:jc w:val="center"/>
            </w:pPr>
            <w:r>
              <w:rPr>
                <w:b w:val="false"/>
                <w:bCs w:val="false"/>
                <w:sz w:val="22"/>
                <w:szCs w:val="22"/>
              </w:rPr>
              <w:t xml:space="preserve">206</w:t>
            </w:r>
          </w:p>
        </w:tc>
      </w:tr>
    </w:tbl>
    <w:p>
      <w:pPr>
        <w:spacing w:after="300" w:before="100"/>
        <w:jc w:val="center"/>
      </w:pPr>
      <w:r>
        <w:rPr>
          <w:b/>
          <w:bCs/>
          <w:i/>
          <w:iCs/>
          <w:sz w:val="22"/>
          <w:szCs w:val="22"/>
        </w:rPr>
        <w:t xml:space="preserve">Table 3.2: Valence confusion matrix (Top-25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Mar>
              <w:top w:type="dxa" w:w="80"/>
              <w:left w:type="dxa" w:w="100"/>
              <w:bottom w:type="dxa" w:w="80"/>
              <w:right w:type="dxa" w:w="100"/>
            </w:tcMar>
            <w:vAlign w:val="center"/>
          </w:tcPr>
          <w:p>
            <w:pPr>
              <w:jc w:val="center"/>
            </w:pPr>
            <w:r>
              <w:rPr>
                <w:b/>
                <w:bCs/>
                <w:sz w:val="22"/>
                <w:szCs w:val="22"/>
              </w:rPr>
              <w:t xml:space="preserve">True \ Predicted</w:t>
            </w:r>
          </w:p>
        </w:tc>
        <w:tc>
          <w:tcPr>
            <w:tcW w:type="dxa" w:w="3000"/>
            <w:shd w:fill="D9E2F3" w:val="clear"/>
            <w:tcMar>
              <w:top w:type="dxa" w:w="80"/>
              <w:left w:type="dxa" w:w="100"/>
              <w:bottom w:type="dxa" w:w="80"/>
              <w:right w:type="dxa" w:w="100"/>
            </w:tcMar>
            <w:vAlign w:val="center"/>
          </w:tcPr>
          <w:p>
            <w:pPr>
              <w:jc w:val="center"/>
            </w:pPr>
            <w:r>
              <w:rPr>
                <w:b/>
                <w:bCs/>
                <w:sz w:val="22"/>
                <w:szCs w:val="22"/>
              </w:rPr>
              <w:t xml:space="preserve">Low Arousal (Class 0)</w:t>
            </w:r>
          </w:p>
        </w:tc>
        <w:tc>
          <w:tcPr>
            <w:tcW w:type="dxa" w:w="3000"/>
            <w:shd w:fill="D9E2F3" w:val="clear"/>
            <w:tcMar>
              <w:top w:type="dxa" w:w="80"/>
              <w:left w:type="dxa" w:w="100"/>
              <w:bottom w:type="dxa" w:w="80"/>
              <w:right w:type="dxa" w:w="100"/>
            </w:tcMar>
            <w:vAlign w:val="center"/>
          </w:tcPr>
          <w:p>
            <w:pPr>
              <w:jc w:val="center"/>
            </w:pPr>
            <w:r>
              <w:rPr>
                <w:b/>
                <w:bCs/>
                <w:sz w:val="22"/>
                <w:szCs w:val="22"/>
              </w:rPr>
              <w:t xml:space="preserve">High Arousal (Class 1)</w:t>
            </w:r>
          </w:p>
        </w:tc>
      </w:tr>
      <w:tr>
        <w:tc>
          <w:tcPr>
            <w:tcW w:type="dxa" w:w="3000"/>
            <w:tcMar>
              <w:top w:type="dxa" w:w="80"/>
              <w:left w:type="dxa" w:w="100"/>
              <w:bottom w:type="dxa" w:w="80"/>
              <w:right w:type="dxa" w:w="100"/>
            </w:tcMar>
            <w:vAlign w:val="center"/>
          </w:tcPr>
          <w:p>
            <w:pPr>
              <w:jc w:val="center"/>
            </w:pPr>
            <w:r>
              <w:rPr>
                <w:b w:val="false"/>
                <w:bCs w:val="false"/>
                <w:sz w:val="22"/>
                <w:szCs w:val="22"/>
              </w:rPr>
              <w:t xml:space="preserve">Low Arousal (Class 0)</w:t>
            </w:r>
          </w:p>
        </w:tc>
        <w:tc>
          <w:tcPr>
            <w:tcW w:type="dxa" w:w="3000"/>
            <w:tcMar>
              <w:top w:type="dxa" w:w="80"/>
              <w:left w:type="dxa" w:w="100"/>
              <w:bottom w:type="dxa" w:w="80"/>
              <w:right w:type="dxa" w:w="100"/>
            </w:tcMar>
            <w:vAlign w:val="center"/>
          </w:tcPr>
          <w:p>
            <w:pPr>
              <w:jc w:val="center"/>
            </w:pPr>
            <w:r>
              <w:rPr>
                <w:b w:val="false"/>
                <w:bCs w:val="false"/>
                <w:sz w:val="22"/>
                <w:szCs w:val="22"/>
              </w:rPr>
              <w:t xml:space="preserve">592</w:t>
            </w:r>
          </w:p>
        </w:tc>
        <w:tc>
          <w:tcPr>
            <w:tcW w:type="dxa" w:w="3000"/>
            <w:tcMar>
              <w:top w:type="dxa" w:w="80"/>
              <w:left w:type="dxa" w:w="100"/>
              <w:bottom w:type="dxa" w:w="80"/>
              <w:right w:type="dxa" w:w="100"/>
            </w:tcMar>
            <w:vAlign w:val="center"/>
          </w:tcPr>
          <w:p>
            <w:pPr>
              <w:jc w:val="center"/>
            </w:pPr>
            <w:r>
              <w:rPr>
                <w:b w:val="false"/>
                <w:bCs w:val="false"/>
                <w:sz w:val="22"/>
                <w:szCs w:val="22"/>
              </w:rPr>
              <w:t xml:space="preserve">311</w:t>
            </w:r>
          </w:p>
        </w:tc>
      </w:tr>
      <w:tr>
        <w:tc>
          <w:tcPr>
            <w:tcW w:type="dxa" w:w="3000"/>
            <w:tcMar>
              <w:top w:type="dxa" w:w="80"/>
              <w:left w:type="dxa" w:w="100"/>
              <w:bottom w:type="dxa" w:w="80"/>
              <w:right w:type="dxa" w:w="100"/>
            </w:tcMar>
            <w:vAlign w:val="center"/>
          </w:tcPr>
          <w:p>
            <w:pPr>
              <w:jc w:val="center"/>
            </w:pPr>
            <w:r>
              <w:rPr>
                <w:b w:val="false"/>
                <w:bCs w:val="false"/>
                <w:sz w:val="22"/>
                <w:szCs w:val="22"/>
              </w:rPr>
              <w:t xml:space="preserve">High Arousal (Class 1)</w:t>
            </w:r>
          </w:p>
        </w:tc>
        <w:tc>
          <w:tcPr>
            <w:tcW w:type="dxa" w:w="3000"/>
            <w:tcMar>
              <w:top w:type="dxa" w:w="80"/>
              <w:left w:type="dxa" w:w="100"/>
              <w:bottom w:type="dxa" w:w="80"/>
              <w:right w:type="dxa" w:w="100"/>
            </w:tcMar>
            <w:vAlign w:val="center"/>
          </w:tcPr>
          <w:p>
            <w:pPr>
              <w:jc w:val="center"/>
            </w:pPr>
            <w:r>
              <w:rPr>
                <w:b w:val="false"/>
                <w:bCs w:val="false"/>
                <w:sz w:val="22"/>
                <w:szCs w:val="22"/>
              </w:rPr>
              <w:t xml:space="preserve">172</w:t>
            </w:r>
          </w:p>
        </w:tc>
        <w:tc>
          <w:tcPr>
            <w:tcW w:type="dxa" w:w="3000"/>
            <w:tcMar>
              <w:top w:type="dxa" w:w="80"/>
              <w:left w:type="dxa" w:w="100"/>
              <w:bottom w:type="dxa" w:w="80"/>
              <w:right w:type="dxa" w:w="100"/>
            </w:tcMar>
            <w:vAlign w:val="center"/>
          </w:tcPr>
          <w:p>
            <w:pPr>
              <w:jc w:val="center"/>
            </w:pPr>
            <w:r>
              <w:rPr>
                <w:b w:val="false"/>
                <w:bCs w:val="false"/>
                <w:sz w:val="22"/>
                <w:szCs w:val="22"/>
              </w:rPr>
              <w:t xml:space="preserve">205</w:t>
            </w:r>
          </w:p>
        </w:tc>
      </w:tr>
    </w:tbl>
    <w:p>
      <w:pPr>
        <w:spacing w:after="300" w:before="100"/>
        <w:jc w:val="center"/>
      </w:pPr>
      <w:r>
        <w:rPr>
          <w:b/>
          <w:bCs/>
          <w:i/>
          <w:iCs/>
          <w:sz w:val="22"/>
          <w:szCs w:val="22"/>
        </w:rPr>
        <w:t xml:space="preserve">Table 3.3: Arousal confusion matrix (Top-25 features)</w:t>
      </w:r>
    </w:p>
    <w:p>
      <w:pPr>
        <w:spacing w:after="200" w:line="360"/>
        <w:jc w:val="both"/>
      </w:pPr>
      <w:r>
        <w:rPr>
          <w:sz w:val="24"/>
          <w:szCs w:val="24"/>
        </w:rPr>
        <w:t xml:space="preserve">For both targets, the minority (“High”) class is correctly identified in a majority of instances (206 of 369 for valence; 205 of 377 for arousal), a stark contrast to the near-zero minority recall that the uncorrected raw-accuracy-optimised model had produced. This confirms that Balanced Accuracy and Macro-F1, rather than raw accuracy, are the appropriate metrics for reporting performance on this dataset.</w:t>
      </w:r>
    </w:p>
    <w:p>
      <w:pPr>
        <w:pStyle w:val="Heading2"/>
        <w:spacing w:after="150" w:before="300"/>
      </w:pPr>
      <w:r>
        <w:rPr>
          <w:b/>
          <w:bCs/>
          <w:sz w:val="26"/>
          <w:szCs w:val="26"/>
        </w:rPr>
        <w:t xml:space="preserve">3.4 Most Predictive Features</w:t>
      </w:r>
    </w:p>
    <w:p>
      <w:pPr>
        <w:spacing w:after="200" w:line="360"/>
        <w:jc w:val="both"/>
      </w:pPr>
      <w:r>
        <w:rPr>
          <w:sz w:val="24"/>
          <w:szCs w:val="24"/>
        </w:rPr>
        <w:t xml:space="preserve">The trained ensemble's feature-importance ranking identified the following as the five most critical predictors for each target, validating the value of the multi-domain (DE / RP / HFD / Hjorth / DASM) feature-extraction approach over a narrow, single-domain feature set:</w:t>
      </w:r>
    </w:p>
    <w:p>
      <w:pPr>
        <w:pStyle w:val="ListParagraph"/>
        <w:numPr>
          <w:ilvl w:val="0"/>
          <w:numId w:val="2"/>
        </w:numPr>
        <w:spacing w:after="100" w:line="300"/>
      </w:pPr>
      <w:r>
        <w:rPr>
          <w:sz w:val="24"/>
          <w:szCs w:val="24"/>
        </w:rPr>
        <w:t xml:space="preserve">Valence: RP_delta_F3, RP_delta_O1, DASM_beta_F3_F4, DE_beta_PO4, DASM_theta_CP5_CP6</w:t>
      </w:r>
    </w:p>
    <w:p>
      <w:pPr>
        <w:pStyle w:val="ListParagraph"/>
        <w:numPr>
          <w:ilvl w:val="0"/>
          <w:numId w:val="2"/>
        </w:numPr>
        <w:spacing w:after="100" w:line="300"/>
      </w:pPr>
      <w:r>
        <w:rPr>
          <w:sz w:val="24"/>
          <w:szCs w:val="24"/>
        </w:rPr>
        <w:t xml:space="preserve">Arousal: DASM_gamma_CP1_CP2, DE_delta_P8, DE_beta_FC6, DE_gamma_P3, DE_alpha_F7</w:t>
      </w:r>
    </w:p>
    <w:p>
      <w:pPr>
        <w:spacing w:after="200" w:line="360"/>
        <w:jc w:val="both"/>
      </w:pPr>
      <w:r>
        <w:rPr>
          <w:sz w:val="24"/>
          <w:szCs w:val="24"/>
        </w:rPr>
        <w:t xml:space="preserve">Notably, the top predictors for both targets are distributed well beyond the frontal region used in Phase 1 — including parietal, occipital, and central-parietal channels — and draw on asymmetry-, entropy-, and power-based feature families rather than a single feature type. This supports the case that the Phase 1 near-chance result reflects the limitations of a narrow, frontal-only, two-feature representation rather than the complete absence of an emotion-related EEG signal in this cohort.</w:t>
      </w:r>
    </w:p>
    <w:p>
      <w:pPr>
        <w:pStyle w:val="Heading2"/>
        <w:spacing w:after="150" w:before="300"/>
      </w:pPr>
      <w:r>
        <w:rPr>
          <w:b/>
          <w:bCs/>
          <w:sz w:val="26"/>
          <w:szCs w:val="26"/>
        </w:rPr>
        <w:t xml:space="preserve">3.5 MATLAB Toolboxes and Functions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200"/>
        <w:gridCol w:w="2400"/>
      </w:tblGrid>
      <w:tr>
        <w:trPr>
          <w:tblHeader/>
        </w:trPr>
        <w:tc>
          <w:tcPr>
            <w:tcW w:type="dxa" w:w="3400"/>
            <w:shd w:fill="D9E2F3" w:val="clear"/>
            <w:tcMar>
              <w:top w:type="dxa" w:w="80"/>
              <w:left w:type="dxa" w:w="100"/>
              <w:bottom w:type="dxa" w:w="80"/>
              <w:right w:type="dxa" w:w="100"/>
            </w:tcMar>
            <w:vAlign w:val="center"/>
          </w:tcPr>
          <w:p>
            <w:pPr>
              <w:jc w:val="center"/>
            </w:pPr>
            <w:r>
              <w:rPr>
                <w:b/>
                <w:bCs/>
                <w:sz w:val="22"/>
                <w:szCs w:val="22"/>
              </w:rPr>
              <w:t xml:space="preserve">Function(s)</w:t>
            </w:r>
          </w:p>
        </w:tc>
        <w:tc>
          <w:tcPr>
            <w:tcW w:type="dxa" w:w="2000"/>
            <w:shd w:fill="D9E2F3" w:val="clear"/>
            <w:tcMar>
              <w:top w:type="dxa" w:w="80"/>
              <w:left w:type="dxa" w:w="100"/>
              <w:bottom w:type="dxa" w:w="80"/>
              <w:right w:type="dxa" w:w="100"/>
            </w:tcMar>
            <w:vAlign w:val="center"/>
          </w:tcPr>
          <w:p>
            <w:pPr>
              <w:jc w:val="center"/>
            </w:pPr>
            <w:r>
              <w:rPr>
                <w:b/>
                <w:bCs/>
                <w:sz w:val="22"/>
                <w:szCs w:val="22"/>
              </w:rPr>
              <w:t xml:space="preserve">Toolbox</w:t>
            </w:r>
          </w:p>
        </w:tc>
        <w:tc>
          <w:tcPr>
            <w:tcW w:type="dxa" w:w="1200"/>
            <w:shd w:fill="D9E2F3" w:val="clear"/>
            <w:tcMar>
              <w:top w:type="dxa" w:w="80"/>
              <w:left w:type="dxa" w:w="100"/>
              <w:bottom w:type="dxa" w:w="80"/>
              <w:right w:type="dxa" w:w="100"/>
            </w:tcMar>
            <w:vAlign w:val="center"/>
          </w:tcPr>
          <w:p>
            <w:pPr>
              <w:jc w:val="center"/>
            </w:pPr>
            <w:r>
              <w:rPr>
                <w:b/>
                <w:bCs/>
                <w:sz w:val="22"/>
                <w:szCs w:val="22"/>
              </w:rPr>
              <w:t xml:space="preserve">Phase</w:t>
            </w:r>
          </w:p>
        </w:tc>
        <w:tc>
          <w:tcPr>
            <w:tcW w:type="dxa" w:w="2400"/>
            <w:shd w:fill="D9E2F3" w:val="clear"/>
            <w:tcMar>
              <w:top w:type="dxa" w:w="80"/>
              <w:left w:type="dxa" w:w="100"/>
              <w:bottom w:type="dxa" w:w="80"/>
              <w:right w:type="dxa" w:w="100"/>
            </w:tcMar>
            <w:vAlign w:val="center"/>
          </w:tcPr>
          <w:p>
            <w:pPr>
              <w:jc w:val="center"/>
            </w:pPr>
            <w:r>
              <w:rPr>
                <w:b/>
                <w:bCs/>
                <w:sz w:val="22"/>
                <w:szCs w:val="22"/>
              </w:rPr>
              <w:t xml:space="preserve">Purpose</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load, dir, fullfile, isfile, assert, regexp, str2double</w:t>
            </w:r>
          </w:p>
        </w:tc>
        <w:tc>
          <w:tcPr>
            <w:tcW w:type="dxa" w:w="2000"/>
            <w:tcMar>
              <w:top w:type="dxa" w:w="80"/>
              <w:left w:type="dxa" w:w="100"/>
              <w:bottom w:type="dxa" w:w="80"/>
              <w:right w:type="dxa" w:w="100"/>
            </w:tcMar>
            <w:vAlign w:val="center"/>
          </w:tcPr>
          <w:p>
            <w:pPr>
              <w:jc w:val="center"/>
            </w:pPr>
            <w:r>
              <w:rPr>
                <w:b w:val="false"/>
                <w:bCs w:val="false"/>
                <w:sz w:val="22"/>
                <w:szCs w:val="22"/>
              </w:rPr>
              <w:t xml:space="preserve">Base MATLAB</w:t>
            </w:r>
          </w:p>
        </w:tc>
        <w:tc>
          <w:tcPr>
            <w:tcW w:type="dxa" w:w="1200"/>
            <w:tcMar>
              <w:top w:type="dxa" w:w="80"/>
              <w:left w:type="dxa" w:w="100"/>
              <w:bottom w:type="dxa" w:w="80"/>
              <w:right w:type="dxa" w:w="100"/>
            </w:tcMar>
            <w:vAlign w:val="center"/>
          </w:tcPr>
          <w:p>
            <w:pPr>
              <w:jc w:val="center"/>
            </w:pPr>
            <w:r>
              <w:rPr>
                <w:b w:val="false"/>
                <w:bCs w:val="false"/>
                <w:sz w:val="22"/>
                <w:szCs w:val="22"/>
              </w:rPr>
              <w:t xml:space="preserve">1, 2 &amp; CNN</w:t>
            </w:r>
          </w:p>
        </w:tc>
        <w:tc>
          <w:tcPr>
            <w:tcW w:type="dxa" w:w="2400"/>
            <w:tcMar>
              <w:top w:type="dxa" w:w="80"/>
              <w:left w:type="dxa" w:w="100"/>
              <w:bottom w:type="dxa" w:w="80"/>
              <w:right w:type="dxa" w:w="100"/>
            </w:tcMar>
            <w:vAlign w:val="center"/>
          </w:tcPr>
          <w:p>
            <w:pPr>
              <w:jc w:val="center"/>
            </w:pPr>
            <w:r>
              <w:rPr>
                <w:b w:val="false"/>
                <w:bCs w:val="false"/>
                <w:sz w:val="22"/>
                <w:szCs w:val="22"/>
              </w:rPr>
              <w:t xml:space="preserve">Discover and load subject files</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squeeze, zeros, size, struct, fieldnames, strcmp, find</w:t>
            </w:r>
          </w:p>
        </w:tc>
        <w:tc>
          <w:tcPr>
            <w:tcW w:type="dxa" w:w="2000"/>
            <w:tcMar>
              <w:top w:type="dxa" w:w="80"/>
              <w:left w:type="dxa" w:w="100"/>
              <w:bottom w:type="dxa" w:w="80"/>
              <w:right w:type="dxa" w:w="100"/>
            </w:tcMar>
            <w:vAlign w:val="center"/>
          </w:tcPr>
          <w:p>
            <w:pPr>
              <w:jc w:val="center"/>
            </w:pPr>
            <w:r>
              <w:rPr>
                <w:b w:val="false"/>
                <w:bCs w:val="false"/>
                <w:sz w:val="22"/>
                <w:szCs w:val="22"/>
              </w:rPr>
              <w:t xml:space="preserve">Base MATLAB</w:t>
            </w:r>
          </w:p>
        </w:tc>
        <w:tc>
          <w:tcPr>
            <w:tcW w:type="dxa" w:w="1200"/>
            <w:tcMar>
              <w:top w:type="dxa" w:w="80"/>
              <w:left w:type="dxa" w:w="100"/>
              <w:bottom w:type="dxa" w:w="80"/>
              <w:right w:type="dxa" w:w="100"/>
            </w:tcMar>
            <w:vAlign w:val="center"/>
          </w:tcPr>
          <w:p>
            <w:pPr>
              <w:jc w:val="center"/>
            </w:pPr>
            <w:r>
              <w:rPr>
                <w:b w:val="false"/>
                <w:bCs w:val="false"/>
                <w:sz w:val="22"/>
                <w:szCs w:val="22"/>
              </w:rPr>
              <w:t xml:space="preserve">1, 2 &amp; CNN</w:t>
            </w:r>
          </w:p>
        </w:tc>
        <w:tc>
          <w:tcPr>
            <w:tcW w:type="dxa" w:w="2400"/>
            <w:tcMar>
              <w:top w:type="dxa" w:w="80"/>
              <w:left w:type="dxa" w:w="100"/>
              <w:bottom w:type="dxa" w:w="80"/>
              <w:right w:type="dxa" w:w="100"/>
            </w:tcMar>
            <w:vAlign w:val="center"/>
          </w:tcPr>
          <w:p>
            <w:pPr>
              <w:jc w:val="center"/>
            </w:pPr>
            <w:r>
              <w:rPr>
                <w:b w:val="false"/>
                <w:bCs w:val="false"/>
                <w:sz w:val="22"/>
                <w:szCs w:val="22"/>
              </w:rPr>
              <w:t xml:space="preserve">Data extraction and channel/pair indexing</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designfilt, filtfilt</w:t>
            </w:r>
          </w:p>
        </w:tc>
        <w:tc>
          <w:tcPr>
            <w:tcW w:type="dxa" w:w="2000"/>
            <w:tcMar>
              <w:top w:type="dxa" w:w="80"/>
              <w:left w:type="dxa" w:w="100"/>
              <w:bottom w:type="dxa" w:w="80"/>
              <w:right w:type="dxa" w:w="100"/>
            </w:tcMar>
            <w:vAlign w:val="center"/>
          </w:tcPr>
          <w:p>
            <w:pPr>
              <w:jc w:val="center"/>
            </w:pPr>
            <w:r>
              <w:rPr>
                <w:b w:val="false"/>
                <w:bCs w:val="false"/>
                <w:sz w:val="22"/>
                <w:szCs w:val="22"/>
              </w:rPr>
              <w:t xml:space="preserve">Signal Processing Toolbox</w:t>
            </w:r>
          </w:p>
        </w:tc>
        <w:tc>
          <w:tcPr>
            <w:tcW w:type="dxa" w:w="1200"/>
            <w:tcMar>
              <w:top w:type="dxa" w:w="80"/>
              <w:left w:type="dxa" w:w="100"/>
              <w:bottom w:type="dxa" w:w="80"/>
              <w:right w:type="dxa" w:w="100"/>
            </w:tcMar>
            <w:vAlign w:val="center"/>
          </w:tcPr>
          <w:p>
            <w:pPr>
              <w:jc w:val="center"/>
            </w:pPr>
            <w:r>
              <w:rPr>
                <w:b w:val="false"/>
                <w:bCs w:val="false"/>
                <w:sz w:val="22"/>
                <w:szCs w:val="22"/>
              </w:rPr>
              <w:t xml:space="preserve">1, 2 &amp; CNN</w:t>
            </w:r>
          </w:p>
        </w:tc>
        <w:tc>
          <w:tcPr>
            <w:tcW w:type="dxa" w:w="2400"/>
            <w:tcMar>
              <w:top w:type="dxa" w:w="80"/>
              <w:left w:type="dxa" w:w="100"/>
              <w:bottom w:type="dxa" w:w="80"/>
              <w:right w:type="dxa" w:w="100"/>
            </w:tcMar>
            <w:vAlign w:val="center"/>
          </w:tcPr>
          <w:p>
            <w:pPr>
              <w:jc w:val="center"/>
            </w:pPr>
            <w:r>
              <w:rPr>
                <w:b w:val="false"/>
                <w:bCs w:val="false"/>
                <w:sz w:val="22"/>
                <w:szCs w:val="22"/>
              </w:rPr>
              <w:t xml:space="preserve">Zero-phase IIR band-specific filtering</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pwelch, bandpower</w:t>
            </w:r>
          </w:p>
        </w:tc>
        <w:tc>
          <w:tcPr>
            <w:tcW w:type="dxa" w:w="2000"/>
            <w:tcMar>
              <w:top w:type="dxa" w:w="80"/>
              <w:left w:type="dxa" w:w="100"/>
              <w:bottom w:type="dxa" w:w="80"/>
              <w:right w:type="dxa" w:w="100"/>
            </w:tcMar>
            <w:vAlign w:val="center"/>
          </w:tcPr>
          <w:p>
            <w:pPr>
              <w:jc w:val="center"/>
            </w:pPr>
            <w:r>
              <w:rPr>
                <w:b w:val="false"/>
                <w:bCs w:val="false"/>
                <w:sz w:val="22"/>
                <w:szCs w:val="22"/>
              </w:rPr>
              <w:t xml:space="preserve">Signal Processing Toolbox</w:t>
            </w:r>
          </w:p>
        </w:tc>
        <w:tc>
          <w:tcPr>
            <w:tcW w:type="dxa" w:w="1200"/>
            <w:tcMar>
              <w:top w:type="dxa" w:w="80"/>
              <w:left w:type="dxa" w:w="100"/>
              <w:bottom w:type="dxa" w:w="80"/>
              <w:right w:type="dxa" w:w="100"/>
            </w:tcMar>
            <w:vAlign w:val="center"/>
          </w:tcPr>
          <w:p>
            <w:pPr>
              <w:jc w:val="center"/>
            </w:pPr>
            <w:r>
              <w:rPr>
                <w:b w:val="false"/>
                <w:bCs w:val="false"/>
                <w:sz w:val="22"/>
                <w:szCs w:val="22"/>
              </w:rPr>
              <w:t xml:space="preserve">1</w:t>
            </w:r>
          </w:p>
        </w:tc>
        <w:tc>
          <w:tcPr>
            <w:tcW w:type="dxa" w:w="2400"/>
            <w:tcMar>
              <w:top w:type="dxa" w:w="80"/>
              <w:left w:type="dxa" w:w="100"/>
              <w:bottom w:type="dxa" w:w="80"/>
              <w:right w:type="dxa" w:w="100"/>
            </w:tcMar>
            <w:vAlign w:val="center"/>
          </w:tcPr>
          <w:p>
            <w:pPr>
              <w:jc w:val="center"/>
            </w:pPr>
            <w:r>
              <w:rPr>
                <w:b w:val="false"/>
                <w:bCs w:val="false"/>
                <w:sz w:val="22"/>
                <w:szCs w:val="22"/>
              </w:rPr>
              <w:t xml:space="preserve">Welch PSD and band power (rule-based indices)</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var, diff, polyfit</w:t>
            </w:r>
          </w:p>
        </w:tc>
        <w:tc>
          <w:tcPr>
            <w:tcW w:type="dxa" w:w="2000"/>
            <w:tcMar>
              <w:top w:type="dxa" w:w="80"/>
              <w:left w:type="dxa" w:w="100"/>
              <w:bottom w:type="dxa" w:w="80"/>
              <w:right w:type="dxa" w:w="100"/>
            </w:tcMar>
            <w:vAlign w:val="center"/>
          </w:tcPr>
          <w:p>
            <w:pPr>
              <w:jc w:val="center"/>
            </w:pPr>
            <w:r>
              <w:rPr>
                <w:b w:val="false"/>
                <w:bCs w:val="false"/>
                <w:sz w:val="22"/>
                <w:szCs w:val="22"/>
              </w:rPr>
              <w:t xml:space="preserve">Base MATLAB</w:t>
            </w:r>
          </w:p>
        </w:tc>
        <w:tc>
          <w:tcPr>
            <w:tcW w:type="dxa" w:w="1200"/>
            <w:tcMar>
              <w:top w:type="dxa" w:w="80"/>
              <w:left w:type="dxa" w:w="100"/>
              <w:bottom w:type="dxa" w:w="80"/>
              <w:right w:type="dxa" w:w="100"/>
            </w:tcMar>
            <w:vAlign w:val="center"/>
          </w:tcPr>
          <w:p>
            <w:pPr>
              <w:jc w:val="center"/>
            </w:pPr>
            <w:r>
              <w:rPr>
                <w:b w:val="false"/>
                <w:bCs w:val="false"/>
                <w:sz w:val="22"/>
                <w:szCs w:val="22"/>
              </w:rPr>
              <w:t xml:space="preserve">2</w:t>
            </w:r>
          </w:p>
        </w:tc>
        <w:tc>
          <w:tcPr>
            <w:tcW w:type="dxa" w:w="2400"/>
            <w:tcMar>
              <w:top w:type="dxa" w:w="80"/>
              <w:left w:type="dxa" w:w="100"/>
              <w:bottom w:type="dxa" w:w="80"/>
              <w:right w:type="dxa" w:w="100"/>
            </w:tcMar>
            <w:vAlign w:val="center"/>
          </w:tcPr>
          <w:p>
            <w:pPr>
              <w:jc w:val="center"/>
            </w:pPr>
            <w:r>
              <w:rPr>
                <w:b w:val="false"/>
                <w:bCs w:val="false"/>
                <w:sz w:val="22"/>
                <w:szCs w:val="22"/>
              </w:rPr>
              <w:t xml:space="preserve">Variance-based band power, DE, Hjorth, Higuchi FD</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log, mean, std, median, eps</w:t>
            </w:r>
          </w:p>
        </w:tc>
        <w:tc>
          <w:tcPr>
            <w:tcW w:type="dxa" w:w="2000"/>
            <w:tcMar>
              <w:top w:type="dxa" w:w="80"/>
              <w:left w:type="dxa" w:w="100"/>
              <w:bottom w:type="dxa" w:w="80"/>
              <w:right w:type="dxa" w:w="100"/>
            </w:tcMar>
            <w:vAlign w:val="center"/>
          </w:tcPr>
          <w:p>
            <w:pPr>
              <w:jc w:val="center"/>
            </w:pPr>
            <w:r>
              <w:rPr>
                <w:b w:val="false"/>
                <w:bCs w:val="false"/>
                <w:sz w:val="22"/>
                <w:szCs w:val="22"/>
              </w:rPr>
              <w:t xml:space="preserve">Base MATLAB</w:t>
            </w:r>
          </w:p>
        </w:tc>
        <w:tc>
          <w:tcPr>
            <w:tcW w:type="dxa" w:w="1200"/>
            <w:tcMar>
              <w:top w:type="dxa" w:w="80"/>
              <w:left w:type="dxa" w:w="100"/>
              <w:bottom w:type="dxa" w:w="80"/>
              <w:right w:type="dxa" w:w="100"/>
            </w:tcMar>
            <w:vAlign w:val="center"/>
          </w:tcPr>
          <w:p>
            <w:pPr>
              <w:jc w:val="center"/>
            </w:pPr>
            <w:r>
              <w:rPr>
                <w:b w:val="false"/>
                <w:bCs w:val="false"/>
                <w:sz w:val="22"/>
                <w:szCs w:val="22"/>
              </w:rPr>
              <w:t xml:space="preserve">1, 2 &amp; CNN</w:t>
            </w:r>
          </w:p>
        </w:tc>
        <w:tc>
          <w:tcPr>
            <w:tcW w:type="dxa" w:w="2400"/>
            <w:tcMar>
              <w:top w:type="dxa" w:w="80"/>
              <w:left w:type="dxa" w:w="100"/>
              <w:bottom w:type="dxa" w:w="80"/>
              <w:right w:type="dxa" w:w="100"/>
            </w:tcMar>
            <w:vAlign w:val="center"/>
          </w:tcPr>
          <w:p>
            <w:pPr>
              <w:jc w:val="center"/>
            </w:pPr>
            <w:r>
              <w:rPr>
                <w:b w:val="false"/>
                <w:bCs w:val="false"/>
                <w:sz w:val="22"/>
                <w:szCs w:val="22"/>
              </w:rPr>
              <w:t xml:space="preserve">Index computation and per-subject z-scoring</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strings, if/elseif, containers.Map, ismember</w:t>
            </w:r>
          </w:p>
        </w:tc>
        <w:tc>
          <w:tcPr>
            <w:tcW w:type="dxa" w:w="2000"/>
            <w:tcMar>
              <w:top w:type="dxa" w:w="80"/>
              <w:left w:type="dxa" w:w="100"/>
              <w:bottom w:type="dxa" w:w="80"/>
              <w:right w:type="dxa" w:w="100"/>
            </w:tcMar>
            <w:vAlign w:val="center"/>
          </w:tcPr>
          <w:p>
            <w:pPr>
              <w:jc w:val="center"/>
            </w:pPr>
            <w:r>
              <w:rPr>
                <w:b w:val="false"/>
                <w:bCs w:val="false"/>
                <w:sz w:val="22"/>
                <w:szCs w:val="22"/>
              </w:rPr>
              <w:t xml:space="preserve">Base MATLAB</w:t>
            </w:r>
          </w:p>
        </w:tc>
        <w:tc>
          <w:tcPr>
            <w:tcW w:type="dxa" w:w="1200"/>
            <w:tcMar>
              <w:top w:type="dxa" w:w="80"/>
              <w:left w:type="dxa" w:w="100"/>
              <w:bottom w:type="dxa" w:w="80"/>
              <w:right w:type="dxa" w:w="100"/>
            </w:tcMar>
            <w:vAlign w:val="center"/>
          </w:tcPr>
          <w:p>
            <w:pPr>
              <w:jc w:val="center"/>
            </w:pPr>
            <w:r>
              <w:rPr>
                <w:b w:val="false"/>
                <w:bCs w:val="false"/>
                <w:sz w:val="22"/>
                <w:szCs w:val="22"/>
              </w:rPr>
              <w:t xml:space="preserve">1, 2 &amp; CNN</w:t>
            </w:r>
          </w:p>
        </w:tc>
        <w:tc>
          <w:tcPr>
            <w:tcW w:type="dxa" w:w="2400"/>
            <w:tcMar>
              <w:top w:type="dxa" w:w="80"/>
              <w:left w:type="dxa" w:w="100"/>
              <w:bottom w:type="dxa" w:w="80"/>
              <w:right w:type="dxa" w:w="100"/>
            </w:tcMar>
            <w:vAlign w:val="center"/>
          </w:tcPr>
          <w:p>
            <w:pPr>
              <w:jc w:val="center"/>
            </w:pPr>
            <w:r>
              <w:rPr>
                <w:b w:val="false"/>
                <w:bCs w:val="false"/>
                <w:sz w:val="22"/>
                <w:szCs w:val="22"/>
              </w:rPr>
              <w:t xml:space="preserve">Rule-based classification and fold/split assignment</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table, array2table, table2array, writetable, readtable, setdiff, unique, height, width</w:t>
            </w:r>
          </w:p>
        </w:tc>
        <w:tc>
          <w:tcPr>
            <w:tcW w:type="dxa" w:w="2000"/>
            <w:tcMar>
              <w:top w:type="dxa" w:w="80"/>
              <w:left w:type="dxa" w:w="100"/>
              <w:bottom w:type="dxa" w:w="80"/>
              <w:right w:type="dxa" w:w="100"/>
            </w:tcMar>
            <w:vAlign w:val="center"/>
          </w:tcPr>
          <w:p>
            <w:pPr>
              <w:jc w:val="center"/>
            </w:pPr>
            <w:r>
              <w:rPr>
                <w:b w:val="false"/>
                <w:bCs w:val="false"/>
                <w:sz w:val="22"/>
                <w:szCs w:val="22"/>
              </w:rPr>
              <w:t xml:space="preserve">Base MATLAB</w:t>
            </w:r>
          </w:p>
        </w:tc>
        <w:tc>
          <w:tcPr>
            <w:tcW w:type="dxa" w:w="1200"/>
            <w:tcMar>
              <w:top w:type="dxa" w:w="80"/>
              <w:left w:type="dxa" w:w="100"/>
              <w:bottom w:type="dxa" w:w="80"/>
              <w:right w:type="dxa" w:w="100"/>
            </w:tcMar>
            <w:vAlign w:val="center"/>
          </w:tcPr>
          <w:p>
            <w:pPr>
              <w:jc w:val="center"/>
            </w:pPr>
            <w:r>
              <w:rPr>
                <w:b w:val="false"/>
                <w:bCs w:val="false"/>
                <w:sz w:val="22"/>
                <w:szCs w:val="22"/>
              </w:rPr>
              <w:t xml:space="preserve">1 &amp; 2</w:t>
            </w:r>
          </w:p>
        </w:tc>
        <w:tc>
          <w:tcPr>
            <w:tcW w:type="dxa" w:w="2400"/>
            <w:tcMar>
              <w:top w:type="dxa" w:w="80"/>
              <w:left w:type="dxa" w:w="100"/>
              <w:bottom w:type="dxa" w:w="80"/>
              <w:right w:type="dxa" w:w="100"/>
            </w:tcMar>
            <w:vAlign w:val="center"/>
          </w:tcPr>
          <w:p>
            <w:pPr>
              <w:jc w:val="center"/>
            </w:pPr>
            <w:r>
              <w:rPr>
                <w:b w:val="false"/>
                <w:bCs w:val="false"/>
                <w:sz w:val="22"/>
                <w:szCs w:val="22"/>
              </w:rPr>
              <w:t xml:space="preserve">Results assembly, export, and reload</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rng, randperm, mod</w:t>
            </w:r>
          </w:p>
        </w:tc>
        <w:tc>
          <w:tcPr>
            <w:tcW w:type="dxa" w:w="2000"/>
            <w:tcMar>
              <w:top w:type="dxa" w:w="80"/>
              <w:left w:type="dxa" w:w="100"/>
              <w:bottom w:type="dxa" w:w="80"/>
              <w:right w:type="dxa" w:w="100"/>
            </w:tcMar>
            <w:vAlign w:val="center"/>
          </w:tcPr>
          <w:p>
            <w:pPr>
              <w:jc w:val="center"/>
            </w:pPr>
            <w:r>
              <w:rPr>
                <w:b w:val="false"/>
                <w:bCs w:val="false"/>
                <w:sz w:val="22"/>
                <w:szCs w:val="22"/>
              </w:rPr>
              <w:t xml:space="preserve">Base MATLAB</w:t>
            </w:r>
          </w:p>
        </w:tc>
        <w:tc>
          <w:tcPr>
            <w:tcW w:type="dxa" w:w="1200"/>
            <w:tcMar>
              <w:top w:type="dxa" w:w="80"/>
              <w:left w:type="dxa" w:w="100"/>
              <w:bottom w:type="dxa" w:w="80"/>
              <w:right w:type="dxa" w:w="100"/>
            </w:tcMar>
            <w:vAlign w:val="center"/>
          </w:tcPr>
          <w:p>
            <w:pPr>
              <w:jc w:val="center"/>
            </w:pPr>
            <w:r>
              <w:rPr>
                <w:b w:val="false"/>
                <w:bCs w:val="false"/>
                <w:sz w:val="22"/>
                <w:szCs w:val="22"/>
              </w:rPr>
              <w:t xml:space="preserve">2 &amp; CNN</w:t>
            </w:r>
          </w:p>
        </w:tc>
        <w:tc>
          <w:tcPr>
            <w:tcW w:type="dxa" w:w="2400"/>
            <w:tcMar>
              <w:top w:type="dxa" w:w="80"/>
              <w:left w:type="dxa" w:w="100"/>
              <w:bottom w:type="dxa" w:w="80"/>
              <w:right w:type="dxa" w:w="100"/>
            </w:tcMar>
            <w:vAlign w:val="center"/>
          </w:tcPr>
          <w:p>
            <w:pPr>
              <w:jc w:val="center"/>
            </w:pPr>
            <w:r>
              <w:rPr>
                <w:b w:val="false"/>
                <w:bCs w:val="false"/>
                <w:sz w:val="22"/>
                <w:szCs w:val="22"/>
              </w:rPr>
              <w:t xml:space="preserve">Reproducible subject-grouped fold/split assignment</w:t>
            </w:r>
          </w:p>
        </w:tc>
      </w:tr>
      <w:tr>
        <w:tc>
          <w:tcPr>
            <w:tcW w:type="dxa" w:w="3400"/>
            <w:tcMar>
              <w:top w:type="dxa" w:w="80"/>
              <w:left w:type="dxa" w:w="100"/>
              <w:bottom w:type="dxa" w:w="80"/>
              <w:right w:type="dxa" w:w="100"/>
            </w:tcMar>
            <w:vAlign w:val="center"/>
          </w:tcPr>
          <w:p>
            <w:pPr>
              <w:jc w:val="center"/>
            </w:pPr>
            <w:r>
              <w:rPr>
                <w:b w:val="false"/>
                <w:bCs w:val="false"/>
                <w:sz w:val="22"/>
                <w:szCs w:val="22"/>
              </w:rPr>
              <w:t xml:space="preserve">fitcensemble, templateTree, predictorImportance, confusionmat, predict</w:t>
            </w:r>
          </w:p>
        </w:tc>
        <w:tc>
          <w:tcPr>
            <w:tcW w:type="dxa" w:w="2000"/>
            <w:tcMar>
              <w:top w:type="dxa" w:w="80"/>
              <w:left w:type="dxa" w:w="100"/>
              <w:bottom w:type="dxa" w:w="80"/>
              <w:right w:type="dxa" w:w="100"/>
            </w:tcMar>
            <w:vAlign w:val="center"/>
          </w:tcPr>
          <w:p>
            <w:pPr>
              <w:jc w:val="center"/>
            </w:pPr>
            <w:r>
              <w:rPr>
                <w:b w:val="false"/>
                <w:bCs w:val="false"/>
                <w:sz w:val="22"/>
                <w:szCs w:val="22"/>
              </w:rPr>
              <w:t xml:space="preserve">Statistics and Machine Learning Toolbox</w:t>
            </w:r>
          </w:p>
        </w:tc>
        <w:tc>
          <w:tcPr>
            <w:tcW w:type="dxa" w:w="1200"/>
            <w:tcMar>
              <w:top w:type="dxa" w:w="80"/>
              <w:left w:type="dxa" w:w="100"/>
              <w:bottom w:type="dxa" w:w="80"/>
              <w:right w:type="dxa" w:w="100"/>
            </w:tcMar>
            <w:vAlign w:val="center"/>
          </w:tcPr>
          <w:p>
            <w:pPr>
              <w:jc w:val="center"/>
            </w:pPr>
            <w:r>
              <w:rPr>
                <w:b w:val="false"/>
                <w:bCs w:val="false"/>
                <w:sz w:val="22"/>
                <w:szCs w:val="22"/>
              </w:rPr>
              <w:t xml:space="preserve">2 &amp; CNN</w:t>
            </w:r>
          </w:p>
        </w:tc>
        <w:tc>
          <w:tcPr>
            <w:tcW w:type="dxa" w:w="2400"/>
            <w:tcMar>
              <w:top w:type="dxa" w:w="80"/>
              <w:left w:type="dxa" w:w="100"/>
              <w:bottom w:type="dxa" w:w="80"/>
              <w:right w:type="dxa" w:w="100"/>
            </w:tcMar>
            <w:vAlign w:val="center"/>
          </w:tcPr>
          <w:p>
            <w:pPr>
              <w:jc w:val="center"/>
            </w:pPr>
            <w:r>
              <w:rPr>
                <w:b w:val="false"/>
                <w:bCs w:val="false"/>
                <w:sz w:val="22"/>
                <w:szCs w:val="22"/>
              </w:rPr>
              <w:t xml:space="preserve">Ensemble training/evaluation; confusionmat also used for CNN evaluation</w:t>
            </w:r>
          </w:p>
        </w:tc>
      </w:tr>
    </w:tbl>
    <w:p>
      <w:pPr>
        <w:spacing w:after="300" w:before="100"/>
        <w:jc w:val="center"/>
      </w:pPr>
      <w:r>
        <w:rPr>
          <w:b/>
          <w:bCs/>
          <w:i/>
          <w:iCs/>
          <w:sz w:val="22"/>
          <w:szCs w:val="22"/>
        </w:rPr>
        <w:t xml:space="preserve">Table 3.4: MATLAB functions and toolboxes utilised across phases</w:t>
      </w:r>
    </w:p>
    <w:p>
      <w:pPr>
        <w:spacing w:after="200" w:line="360"/>
        <w:jc w:val="both"/>
      </w:pPr>
      <w:r>
        <w:rPr>
          <w:sz w:val="24"/>
          <w:szCs w:val="24"/>
        </w:rPr>
        <w:t xml:space="preserve">Toolbox dependency summary: the Signal Processing Toolbox is required across all phases for designfilt/filtfilt, with Phase 1 additionally using pwelch/bandpower. The Statistics and Machine Learning Toolbox is required for fitcensemble, templateTree, predictorImportance, and confusionmat, used in Phase 2 and for CNN evaluation; Phase 1 has no dependency on this toolbox. The Deep Learning Toolbox is required only for the supplementary CNN exploration and is not needed for the final selected model.</w:t>
      </w:r>
    </w:p>
    <w:p>
      <w:pPr>
        <w:pStyle w:val="Heading2"/>
        <w:spacing w:after="150" w:before="300"/>
      </w:pPr>
      <w:r>
        <w:rPr>
          <w:b/>
          <w:bCs/>
          <w:sz w:val="26"/>
          <w:szCs w:val="26"/>
        </w:rPr>
        <w:t xml:space="preserve">3.6 Limitations of the Study</w:t>
      </w:r>
    </w:p>
    <w:p>
      <w:pPr>
        <w:pStyle w:val="ListParagraph"/>
        <w:numPr>
          <w:ilvl w:val="0"/>
          <w:numId w:val="2"/>
        </w:numPr>
        <w:spacing w:after="100" w:line="300"/>
      </w:pPr>
      <w:r>
        <w:rPr>
          <w:sz w:val="24"/>
          <w:szCs w:val="24"/>
        </w:rPr>
        <w:t xml:space="preserve">Cross-validation uncertainty: the 8-fold subject-grouped cross-validation scheme has an estimated 5–6 percentage-point fold-to-fold standard deviation. A full Leave-One-Subject-Out scheme (32 folds) would tighten this estimate, at the cost of substantially longer computation time.</w:t>
      </w:r>
    </w:p>
    <w:p>
      <w:pPr>
        <w:pStyle w:val="ListParagraph"/>
        <w:numPr>
          <w:ilvl w:val="0"/>
          <w:numId w:val="2"/>
        </w:numPr>
        <w:spacing w:after="100" w:line="300"/>
      </w:pPr>
      <w:r>
        <w:rPr>
          <w:sz w:val="24"/>
          <w:szCs w:val="24"/>
        </w:rPr>
        <w:t xml:space="preserve">Gamma-band / EMG confound: the prominence of gamma-band features among the top predictors should be interpreted cautiously in the absence of dedicated muscle-artefact rejection, such as ICA-based EMG component removal.</w:t>
      </w:r>
    </w:p>
    <w:p>
      <w:pPr>
        <w:pStyle w:val="ListParagraph"/>
        <w:numPr>
          <w:ilvl w:val="0"/>
          <w:numId w:val="2"/>
        </w:numPr>
        <w:spacing w:after="100" w:line="300"/>
      </w:pPr>
      <w:r>
        <w:rPr>
          <w:sz w:val="24"/>
          <w:szCs w:val="24"/>
        </w:rPr>
        <w:t xml:space="preserve">Feature-importance stability: rankings among highly correlated features (e.g., adjacent channels or the same frequency band) can be unstable across resampling; conclusions at the feature-family level are considerably more robust than conclusions based on single-feature rank order.</w:t>
      </w:r>
    </w:p>
    <w:p>
      <w:pPr>
        <w:pStyle w:val="ListParagraph"/>
        <w:numPr>
          <w:ilvl w:val="0"/>
          <w:numId w:val="2"/>
        </w:numPr>
        <w:spacing w:after="100" w:line="300"/>
      </w:pPr>
      <w:r>
        <w:rPr>
          <w:sz w:val="24"/>
          <w:szCs w:val="24"/>
        </w:rPr>
        <w:t xml:space="preserve">Phase 1 interpretation: the near-chance Phase 1 result should not be read as evidence that FAA “does not work” in general — only that a 2-feature, fixed-threshold, frontal-only implementation showed no detectable signal in this specific cohort and comparison. The literature on the state-level reliability of FAA is itself mixed.</w:t>
      </w:r>
    </w:p>
    <w:p>
      <w:pPr>
        <w:pStyle w:val="ListParagraph"/>
        <w:numPr>
          <w:ilvl w:val="0"/>
          <w:numId w:val="2"/>
        </w:numPr>
        <w:spacing w:after="100" w:line="300"/>
      </w:pPr>
      <w:r>
        <w:rPr>
          <w:sz w:val="24"/>
          <w:szCs w:val="24"/>
        </w:rPr>
        <w:t xml:space="preserve">Deep-learning constraints: the CNN/GNN explorations underperformed the RUSBoost ensemble on this project's 32-subject dataset; this is expected to be primarily a sample-size limitation rather than a ceiling on the deep-learning approach itself, and is worth revisiting given a larger EEG-emotion dataset.</w:t>
      </w:r>
    </w:p>
    <w:p>
      <w:pPr>
        <w:pageBreakBefore/>
        <w:spacing w:after="120"/>
        <w:jc w:val="center"/>
      </w:pPr>
      <w:r>
        <w:rPr>
          <w:b/>
          <w:bCs/>
          <w:sz w:val="30"/>
          <w:szCs w:val="30"/>
        </w:rPr>
        <w:t xml:space="preserve">CHAPTER 4</w:t>
      </w:r>
    </w:p>
    <w:p>
      <w:pPr>
        <w:pStyle w:val="Heading1"/>
        <w:spacing w:after="400"/>
        <w:jc w:val="center"/>
      </w:pPr>
      <w:r>
        <w:rPr>
          <w:b/>
          <w:bCs/>
          <w:sz w:val="30"/>
          <w:szCs w:val="30"/>
        </w:rPr>
        <w:t xml:space="preserve">CONCLUSIONS AND FUTURE SCOPE</w:t>
      </w:r>
    </w:p>
    <w:p>
      <w:pPr>
        <w:pStyle w:val="Heading2"/>
        <w:spacing w:after="150" w:before="300"/>
      </w:pPr>
      <w:r>
        <w:rPr>
          <w:b/>
          <w:bCs/>
          <w:sz w:val="26"/>
          <w:szCs w:val="26"/>
        </w:rPr>
        <w:t xml:space="preserve">4.1 Conclusions</w:t>
      </w:r>
    </w:p>
    <w:p>
      <w:pPr>
        <w:spacing w:after="200" w:line="360"/>
        <w:jc w:val="both"/>
      </w:pPr>
      <w:r>
        <w:rPr>
          <w:sz w:val="24"/>
          <w:szCs w:val="24"/>
        </w:rPr>
        <w:t xml:space="preserve">This internship project built and evaluated multiple complementary approaches to EEG-based emotion recognition on the DEAP dataset, entirely in MATLAB. The Phase 1 rule-based system, built on Frontal Alpha Asymmetry and Beta/Alpha power-ratio indices, produced a near-chance but rigorously validated and well-explained result, demonstrating that a narrow, two-feature, frontal-only representation carries no detectable single-trial emotion signal in this cohort.</w:t>
      </w:r>
    </w:p>
    <w:p>
      <w:pPr>
        <w:spacing w:after="200" w:line="360"/>
        <w:jc w:val="both"/>
      </w:pPr>
      <w:r>
        <w:rPr>
          <w:sz w:val="24"/>
          <w:szCs w:val="24"/>
        </w:rPr>
        <w:t xml:space="preserve">The Phase 2 machine-learning system exposed and directly addressed three pitfalls that recur across the EEG-emotion-recognition literature: data leakage, corrected through subject-grouped cross-validation; the majority-class trap, corrected through Random Under-Sampling Boosting; and the curse of dimensionality, corrected through feature pruning from 518 to the 25 most informative predictors. The resulting Top-25 RUSBoost model achieved a subject-independent balanced accuracy of 59.1% for valence and 60.0% for arousal, with Macro-F1 scores of 0.57 and 0.58 respectively — a scientifically defensible result given the inherent difficulty of subject-independent, self-report-labelled EEG emotion recognition.</w:t>
      </w:r>
    </w:p>
    <w:p>
      <w:pPr>
        <w:spacing w:after="200" w:line="360"/>
        <w:jc w:val="both"/>
      </w:pPr>
      <w:r>
        <w:rPr>
          <w:sz w:val="24"/>
          <w:szCs w:val="24"/>
        </w:rPr>
        <w:t xml:space="preserve">A supplementary exploration using Convolutional and Graph Neural Networks was carried out, but these deep architectures did not outperform the feature-engineered RUSBoost baseline on this project's 32-subject cohort, and the Top-25 RUSBoost classifier was retained as the final selected model on the grounds of its sample efficiency, inherent resistance to class imbalance, and direct interpretability through ranked feature importance. Overall, documenting all three approaches together — rather than reporting only the successful final system in isolation — provides a considerably more complete and credible account of the work undertaken.</w:t>
      </w:r>
    </w:p>
    <w:p>
      <w:pPr>
        <w:pStyle w:val="Heading2"/>
        <w:spacing w:after="150" w:before="300"/>
      </w:pPr>
      <w:r>
        <w:rPr>
          <w:b/>
          <w:bCs/>
          <w:sz w:val="26"/>
          <w:szCs w:val="26"/>
        </w:rPr>
        <w:t xml:space="preserve">4.2 Future Scope</w:t>
      </w:r>
    </w:p>
    <w:p>
      <w:pPr>
        <w:pStyle w:val="ListParagraph"/>
        <w:numPr>
          <w:ilvl w:val="0"/>
          <w:numId w:val="2"/>
        </w:numPr>
        <w:spacing w:after="100" w:line="300"/>
      </w:pPr>
      <w:r>
        <w:rPr>
          <w:sz w:val="24"/>
          <w:szCs w:val="24"/>
        </w:rPr>
        <w:t xml:space="preserve">Extend the subject-grouped cross-validation to a full Leave-One-Subject-Out scheme (32 folds) to tighten the balanced-accuracy estimate and better characterise fold-to-fold variance.</w:t>
      </w:r>
    </w:p>
    <w:p>
      <w:pPr>
        <w:pStyle w:val="ListParagraph"/>
        <w:numPr>
          <w:ilvl w:val="0"/>
          <w:numId w:val="2"/>
        </w:numPr>
        <w:spacing w:after="100" w:line="300"/>
      </w:pPr>
      <w:r>
        <w:rPr>
          <w:sz w:val="24"/>
          <w:szCs w:val="24"/>
        </w:rPr>
        <w:t xml:space="preserve">Incorporate ICA-based EMG artefact rejection prior to feature extraction, to verify whether the prominence of gamma-band predictors reflects genuine cortical emotion-related activity rather than residual muscle artefact.</w:t>
      </w:r>
    </w:p>
    <w:p>
      <w:pPr>
        <w:pStyle w:val="ListParagraph"/>
        <w:numPr>
          <w:ilvl w:val="0"/>
          <w:numId w:val="2"/>
        </w:numPr>
        <w:spacing w:after="100" w:line="300"/>
      </w:pPr>
      <w:r>
        <w:rPr>
          <w:sz w:val="24"/>
          <w:szCs w:val="24"/>
        </w:rPr>
        <w:t xml:space="preserve">Evaluate stability-selection or bootstrap-based feature-ranking methods to obtain more robust feature-family-level conclusions in place of single-feature rank order.</w:t>
      </w:r>
    </w:p>
    <w:p>
      <w:pPr>
        <w:pStyle w:val="ListParagraph"/>
        <w:numPr>
          <w:ilvl w:val="0"/>
          <w:numId w:val="2"/>
        </w:numPr>
        <w:spacing w:after="100" w:line="300"/>
      </w:pPr>
      <w:r>
        <w:rPr>
          <w:sz w:val="24"/>
          <w:szCs w:val="24"/>
        </w:rPr>
        <w:t xml:space="preserve">Revisit the CNN and GNN architectures on a larger, multi-dataset EEG-emotion corpus (e.g., combining DEAP with SEED or MAHNOB-HCI) to test whether deep-learning approaches can surpass the boosted-ensemble baseline once the sample-size constraint is relaxed.</w:t>
      </w:r>
    </w:p>
    <w:p>
      <w:pPr>
        <w:pStyle w:val="ListParagraph"/>
        <w:numPr>
          <w:ilvl w:val="0"/>
          <w:numId w:val="2"/>
        </w:numPr>
        <w:spacing w:after="100" w:line="300"/>
      </w:pPr>
      <w:r>
        <w:rPr>
          <w:sz w:val="24"/>
          <w:szCs w:val="24"/>
        </w:rPr>
        <w:t xml:space="preserve">Explore continuous-valued regression of Valence/Arousal scores, rather than binarised High/Low classification, to retain more information from the original self-report scale and avoid threshold-dependent class-imbalance effects altogether.</w:t>
      </w:r>
    </w:p>
    <w:p>
      <w:pPr>
        <w:pStyle w:val="ListParagraph"/>
        <w:numPr>
          <w:ilvl w:val="0"/>
          <w:numId w:val="2"/>
        </w:numPr>
        <w:spacing w:after="100" w:line="300"/>
      </w:pPr>
      <w:r>
        <w:rPr>
          <w:sz w:val="24"/>
          <w:szCs w:val="24"/>
        </w:rPr>
        <w:t xml:space="preserve">Investigate real-time / online deployment feasibility of the Top-25 RUSBoost model, including computational latency and robustness to electrode-impedance drift, as a step toward a practical affective BCI system.</w:t>
      </w:r>
    </w:p>
    <w:p>
      <w:pPr>
        <w:pageBreakBefore/>
        <w:spacing w:after="300"/>
        <w:jc w:val="center"/>
      </w:pPr>
      <w:r>
        <w:rPr>
          <w:b/>
          <w:bCs/>
          <w:sz w:val="28"/>
          <w:szCs w:val="28"/>
          <w:u w:val="single"/>
        </w:rPr>
        <w:t xml:space="preserve">REFERENCES</w:t>
      </w:r>
    </w:p>
    <w:p>
      <w:pPr>
        <w:spacing w:after="200" w:line="360"/>
        <w:jc w:val="both"/>
      </w:pPr>
      <w:r>
        <w:rPr>
          <w:sz w:val="24"/>
          <w:szCs w:val="24"/>
        </w:rPr>
        <w:t xml:space="preserve">1. S. Koelstra, C. Muhl, M. Soleymani, J.-S. Lee, A. Yazdani, T. Ebrahimi, T. Pun, A. Nijholt, and I. Patras, "DEAP: A Database for Emotion Analysis using Physiological Signals," IEEE Transactions on Affective Computing, vol. 3, no. 1, pp. 18–31, 2012.</w:t>
      </w:r>
    </w:p>
    <w:p>
      <w:pPr>
        <w:spacing w:after="200" w:line="360"/>
        <w:jc w:val="both"/>
      </w:pPr>
      <w:r>
        <w:rPr>
          <w:sz w:val="24"/>
          <w:szCs w:val="24"/>
        </w:rPr>
        <w:t xml:space="preserve">2. R. J. Davidson, "Anterior cerebral asymmetry and the nature of emotion," Brain and Cognition, vol. 20, no. 1, pp. 125–151, 1992.</w:t>
      </w:r>
    </w:p>
    <w:p>
      <w:pPr>
        <w:spacing w:after="200" w:line="360"/>
        <w:jc w:val="both"/>
      </w:pPr>
      <w:r>
        <w:rPr>
          <w:sz w:val="24"/>
          <w:szCs w:val="24"/>
        </w:rPr>
        <w:t xml:space="preserve">3. J. A. Russell, "A circumplex model of affect," Journal of Personality and Social Psychology, vol. 39, no. 6, pp. 1161–1178, 1980.</w:t>
      </w:r>
    </w:p>
    <w:p>
      <w:pPr>
        <w:spacing w:after="200" w:line="360"/>
        <w:jc w:val="both"/>
      </w:pPr>
      <w:r>
        <w:rPr>
          <w:sz w:val="24"/>
          <w:szCs w:val="24"/>
        </w:rPr>
        <w:t xml:space="preserve">4. J. J. B. Allen, J. A. Coan, and M. Nazarian, "Issues and assumptions on the road from raw signals to metrics of frontal EEG asymmetry in emotion," Biological Psychology, vol. 67, no. 1–2, pp. 183–218, 2004.</w:t>
      </w:r>
    </w:p>
    <w:p>
      <w:pPr>
        <w:spacing w:after="200" w:line="360"/>
        <w:jc w:val="both"/>
      </w:pPr>
      <w:r>
        <w:rPr>
          <w:sz w:val="24"/>
          <w:szCs w:val="24"/>
        </w:rPr>
        <w:t xml:space="preserve">5. T. Higuchi, "Approach to an irregular time series on the basis of the fractal theory," Physica D: Nonlinear Phenomena, vol. 31, no. 2, pp. 277–283, 1988.</w:t>
      </w:r>
    </w:p>
    <w:p>
      <w:pPr>
        <w:spacing w:after="200" w:line="360"/>
        <w:jc w:val="both"/>
      </w:pPr>
      <w:r>
        <w:rPr>
          <w:sz w:val="24"/>
          <w:szCs w:val="24"/>
        </w:rPr>
        <w:t xml:space="preserve">6. B. Hjorth, "EEG analysis based on time domain properties," Electroencephalography and Clinical Neurophysiology, vol. 29, no. 3, pp. 306–310, 1970.</w:t>
      </w:r>
    </w:p>
    <w:p>
      <w:pPr>
        <w:spacing w:after="200" w:line="360"/>
        <w:jc w:val="both"/>
      </w:pPr>
      <w:r>
        <w:rPr>
          <w:sz w:val="24"/>
          <w:szCs w:val="24"/>
        </w:rPr>
        <w:t xml:space="preserve">7. R.-N. Duan, J.-Y. Zhu, and B.-L. Lu, "Differential entropy feature for EEG-based emotion classification," in Proc. 6th Int. IEEE/EMBS Conf. on Neural Engineering (NER), 2013, pp. 81–84.</w:t>
      </w:r>
    </w:p>
    <w:p>
      <w:pPr>
        <w:spacing w:after="200" w:line="360"/>
        <w:jc w:val="both"/>
      </w:pPr>
      <w:r>
        <w:rPr>
          <w:sz w:val="24"/>
          <w:szCs w:val="24"/>
        </w:rPr>
        <w:t xml:space="preserve">8. T. Chen and C. Guestrin, "XGBoost: A scalable tree boosting system," in Proc. 22nd ACM SIGKDD Int. Conf. on Knowledge Discovery and Data Mining, 2016, pp. 785–794.</w:t>
      </w:r>
    </w:p>
    <w:p>
      <w:pPr>
        <w:pageBreakBefore/>
        <w:spacing w:after="300"/>
        <w:jc w:val="center"/>
      </w:pPr>
      <w:r>
        <w:rPr>
          <w:b/>
          <w:bCs/>
          <w:sz w:val="28"/>
          <w:szCs w:val="28"/>
        </w:rPr>
        <w:t xml:space="preserve">APPENDIX A</w:t>
      </w:r>
    </w:p>
    <w:p>
      <w:pPr>
        <w:spacing w:after="300"/>
        <w:jc w:val="center"/>
      </w:pPr>
      <w:r>
        <w:rPr>
          <w:b/>
          <w:bCs/>
          <w:sz w:val="26"/>
          <w:szCs w:val="26"/>
          <w:u w:val="single"/>
        </w:rPr>
        <w:t xml:space="preserve">Supplementary Implementation Details</w:t>
      </w:r>
    </w:p>
    <w:p>
      <w:pPr>
        <w:pStyle w:val="Heading2"/>
        <w:spacing w:after="150" w:before="300"/>
      </w:pPr>
      <w:r>
        <w:rPr>
          <w:b/>
          <w:bCs/>
          <w:sz w:val="26"/>
          <w:szCs w:val="26"/>
        </w:rPr>
        <w:t xml:space="preserve">A.1 Feature Extraction Formulae</w:t>
      </w:r>
    </w:p>
    <w:p>
      <w:pPr>
        <w:spacing w:after="200" w:line="360"/>
        <w:jc w:val="both"/>
      </w:pPr>
      <w:r>
        <w:rPr>
          <w:sz w:val="24"/>
          <w:szCs w:val="24"/>
        </w:rPr>
        <w:t xml:space="preserve">Differential Entropy for a band-filtered signal segment with variance σ² is computed as DE = 0.5 × ln(2πe·σ²), evaluated independently for each of the 5 frequency bands and each of the 32 channels, giving 160 DE features per trial.</w:t>
      </w:r>
    </w:p>
    <w:p>
      <w:pPr>
        <w:spacing w:after="200" w:line="360"/>
        <w:jc w:val="both"/>
      </w:pPr>
      <w:r>
        <w:rPr>
          <w:sz w:val="24"/>
          <w:szCs w:val="24"/>
        </w:rPr>
        <w:t xml:space="preserve">Relative Band Power for a given band is computed as the variance of the band-filtered signal divided by the variance of the total broadband signal, again evaluated per band and per channel to give 160 RP features per trial.</w:t>
      </w:r>
    </w:p>
    <w:p>
      <w:pPr>
        <w:spacing w:after="200" w:line="360"/>
        <w:jc w:val="both"/>
      </w:pPr>
      <w:r>
        <w:rPr>
          <w:sz w:val="24"/>
          <w:szCs w:val="24"/>
        </w:rPr>
        <w:t xml:space="preserve">Differential Asymmetry (DASM) for a hemispheric electrode pair and frequency band is computed as the right-channel DE minus the left-channel DE for that pair and band, evaluated across 14 hemispheric pairs and 5 bands to give 70 DASM features per trial.</w:t>
      </w:r>
    </w:p>
    <w:p>
      <w:pPr>
        <w:pStyle w:val="Heading2"/>
        <w:spacing w:after="150" w:before="300"/>
      </w:pPr>
      <w:r>
        <w:rPr>
          <w:b/>
          <w:bCs/>
          <w:sz w:val="26"/>
          <w:szCs w:val="26"/>
        </w:rPr>
        <w:t xml:space="preserve">A.2 Cross-Validation Fold Assignment</w:t>
      </w:r>
    </w:p>
    <w:p>
      <w:pPr>
        <w:spacing w:after="200" w:line="360"/>
        <w:jc w:val="both"/>
      </w:pPr>
      <w:r>
        <w:rPr>
          <w:sz w:val="24"/>
          <w:szCs w:val="24"/>
        </w:rPr>
        <w:t xml:space="preserve">Subject-grouped 8-fold assignment was implemented using a reproducible random permutation of the 32 subject indices (via rng and randperm with a fixed seed), followed by a modulo-based split (mod) into 8 groups of 4 subjects each, ensuring that every trial belonging to a given subject is assigned to exactly one fold.</w:t>
      </w:r>
    </w:p>
    <w:p>
      <w:pPr>
        <w:pStyle w:val="Heading2"/>
        <w:spacing w:after="150" w:before="300"/>
      </w:pPr>
      <w:r>
        <w:rPr>
          <w:b/>
          <w:bCs/>
          <w:sz w:val="26"/>
          <w:szCs w:val="26"/>
        </w:rPr>
        <w:t xml:space="preserve">A.3 Data and Other Parameters</w:t>
      </w:r>
    </w:p>
    <w:p>
      <w:pPr>
        <w:spacing w:after="200" w:line="360"/>
        <w:jc w:val="both"/>
      </w:pPr>
      <w:r>
        <w:rPr>
          <w:sz w:val="24"/>
          <w:szCs w:val="24"/>
        </w:rPr>
        <w:t xml:space="preserve">Sampling rate: 128 Hz. Pre-trial baseline removed: 3 seconds. Bandpass filter order: 8th-order zero-phase IIR (designfilt + filtfilt). Frequency bands used for DE/RP: delta, theta, alpha, beta, gamma (5 bands). CNN input window: 3 seconds (384 samples) × 32 channels, yielding 25,600 training examples across all subjects and trials.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Emotion Recognition Using EEG Signals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Times New Roman" w:cs="Times New Roman" w:eastAsia="Times New Roman" w:hAnsi="Times New Roman"/>
      <w:b/>
      <w:bCs/>
      <w:sz w:val="30"/>
      <w:szCs w:val="30"/>
    </w:rPr>
  </w:style>
  <w:style w:type="paragraph" w:styleId="Heading2">
    <w:name w:val="Heading 2"/>
    <w:basedOn w:val="Normal"/>
    <w:next w:val="Normal"/>
    <w:pPr>
      <w:spacing w:after="16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44c321f2f11a16e6e5f34cedf8f6cb1e0419fc.jpe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2026-07-24T18:46:40.753Z</dcterms:created>
  <dcterms:modified xsi:type="dcterms:W3CDTF">2026-07-24T18:46:40.753Z</dcterms:modified>
</cp:coreProperties>
</file>

<file path=docProps/custom.xml><?xml version="1.0" encoding="utf-8"?>
<Properties xmlns="http://schemas.openxmlformats.org/officeDocument/2006/custom-properties" xmlns:vt="http://schemas.openxmlformats.org/officeDocument/2006/docPropsVTypes"/>
</file>