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papertitle"/>
      </w:pPr>
      <w:r>
        <w:t xml:space="preserve">EEG-Based Emotion Recognition on the DEAP Dataset: A Two-Phase Study Combining Frontal Asymmetry Analysis and RUSBoost Ensemble Learning</w:t>
      </w:r>
    </w:p>
    <w:p>
      <w:pPr>
        <w:sectPr>
          <w:footerReference w:type="first" r:id="rId8"/>
          <w:pgSz w:w="595.30pt" w:h="841.90pt" w:code="9"/>
          <w:pgMar w:top="27pt" w:right="44.65pt" w:bottom="72pt" w:left="44.65pt" w:header="36pt" w:footer="36pt" w:gutter="0pt"/>
          <w:cols w:space="36pt"/>
          <w:titlePg/>
          <w:docGrid w:linePitch="360"/>
        </w:sectPr>
      </w:pPr>
    </w:p>
    <w:p>
      <w:pPr>
        <w:pStyle w:val="Author"/>
      </w:pPr>
      <w:r>
        <w:rPr>
          <w:sz w:val="18"/>
          <w:szCs w:val="18"/>
        </w:rPr>
        <w:t xml:space="preserve">Srishti Tiwari</w:t>
      </w:r>
      <w:r>
        <w:rPr>
          <w:sz w:val="18"/>
          <w:szCs w:val="18"/>
        </w:rPr>
        <w:br/>
      </w:r>
      <w:r>
        <w:rPr>
          <w:i/>
          <w:sz w:val="18"/>
          <w:szCs w:val="18"/>
        </w:rPr>
        <w:t xml:space="preserve">Dept. of Electronics and Communication Engineering</w:t>
      </w:r>
      <w:r>
        <w:rPr>
          <w:i/>
          <w:sz w:val="18"/>
          <w:szCs w:val="18"/>
        </w:rPr>
        <w:br/>
      </w:r>
      <w:r>
        <w:rPr>
          <w:i/>
          <w:sz w:val="18"/>
          <w:szCs w:val="18"/>
        </w:rPr>
        <w:t xml:space="preserve">JSS Academy of Technical Education</w:t>
      </w:r>
      <w:r>
        <w:rPr>
          <w:sz w:val="18"/>
          <w:szCs w:val="18"/>
        </w:rPr>
        <w:br/>
      </w:r>
      <w:r>
        <w:rPr>
          <w:sz w:val="18"/>
          <w:szCs w:val="18"/>
        </w:rPr>
        <w:t xml:space="preserve">Noida, India</w:t>
      </w:r>
      <w:r>
        <w:rPr>
          <w:sz w:val="18"/>
          <w:szCs w:val="18"/>
        </w:rPr>
        <w:br/>
      </w:r>
      <w:r>
        <w:rPr>
          <w:sz w:val="18"/>
          <w:szCs w:val="18"/>
        </w:rPr>
        <w:t xml:space="preserve">tiwari.srishti16@gmail.com</w:t>
      </w:r>
      <w:r>
        <w:br w:type="column"/>
      </w:r>
      <w:r>
        <w:rPr>
          <w:sz w:val="18"/>
          <w:szCs w:val="18"/>
        </w:rPr>
        <w:t xml:space="preserve">Shubhanshi Katiyar</w:t>
      </w:r>
      <w:r>
        <w:rPr>
          <w:sz w:val="18"/>
          <w:szCs w:val="18"/>
        </w:rPr>
        <w:br/>
      </w:r>
      <w:r>
        <w:rPr>
          <w:i/>
          <w:sz w:val="18"/>
          <w:szCs w:val="18"/>
        </w:rPr>
        <w:t xml:space="preserve">Dept. of Electronics and Communication Engineering</w:t>
      </w:r>
      <w:r>
        <w:rPr>
          <w:i/>
          <w:sz w:val="18"/>
          <w:szCs w:val="18"/>
        </w:rPr>
        <w:br/>
      </w:r>
      <w:r>
        <w:rPr>
          <w:i/>
          <w:sz w:val="18"/>
          <w:szCs w:val="18"/>
        </w:rPr>
        <w:t xml:space="preserve">JSS Academy of Technical Education</w:t>
      </w:r>
      <w:r>
        <w:rPr>
          <w:sz w:val="18"/>
          <w:szCs w:val="18"/>
        </w:rPr>
        <w:br/>
      </w:r>
      <w:r>
        <w:rPr>
          <w:sz w:val="18"/>
          <w:szCs w:val="18"/>
        </w:rPr>
        <w:t xml:space="preserve">Noida, India</w:t>
      </w:r>
      <w:r>
        <w:rPr>
          <w:sz w:val="18"/>
          <w:szCs w:val="18"/>
        </w:rPr>
        <w:br/>
      </w:r>
      <w:r>
        <w:rPr>
          <w:sz w:val="18"/>
          <w:szCs w:val="18"/>
        </w:rPr>
        <w:t xml:space="preserve">shubhanshikat15@gmail.com</w:t>
      </w:r>
      <w:r>
        <w:br w:type="column"/>
      </w:r>
      <w:r>
        <w:rPr>
          <w:sz w:val="18"/>
          <w:szCs w:val="18"/>
        </w:rPr>
        <w:t xml:space="preserve">Geetik Sharma</w:t>
      </w:r>
      <w:r>
        <w:rPr>
          <w:sz w:val="18"/>
          <w:szCs w:val="18"/>
        </w:rPr>
        <w:br/>
      </w:r>
      <w:r>
        <w:rPr>
          <w:i/>
          <w:sz w:val="18"/>
          <w:szCs w:val="18"/>
        </w:rPr>
        <w:t xml:space="preserve">Dept. of Electronics and Communication Engineering</w:t>
      </w:r>
      <w:r>
        <w:rPr>
          <w:i/>
          <w:sz w:val="18"/>
          <w:szCs w:val="18"/>
        </w:rPr>
        <w:br/>
      </w:r>
      <w:r>
        <w:rPr>
          <w:i/>
          <w:sz w:val="18"/>
          <w:szCs w:val="18"/>
        </w:rPr>
        <w:t xml:space="preserve">JSS Academy of Technical Education</w:t>
      </w:r>
      <w:r>
        <w:rPr>
          <w:sz w:val="18"/>
          <w:szCs w:val="18"/>
        </w:rPr>
        <w:br/>
      </w:r>
      <w:r>
        <w:rPr>
          <w:sz w:val="18"/>
          <w:szCs w:val="18"/>
        </w:rPr>
        <w:t xml:space="preserve">Noida, India</w:t>
      </w:r>
      <w:r>
        <w:rPr>
          <w:sz w:val="18"/>
          <w:szCs w:val="18"/>
        </w:rPr>
        <w:br/>
      </w:r>
      <w:r>
        <w:rPr>
          <w:sz w:val="18"/>
          <w:szCs w:val="18"/>
        </w:rPr>
        <w:t xml:space="preserve">sharmageetik@gmail.com</w:t>
      </w:r>
    </w:p>
    <w:p>
      <w:pPr>
        <w:sectPr>
          <w:type w:val="continuous"/>
          <w:pgSz w:w="595.30pt" w:h="841.90pt" w:code="9"/>
          <w:pgMar w:top="22.50pt" w:right="44.65pt" w:bottom="72pt" w:left="44.65pt" w:header="36pt" w:footer="36pt" w:gutter="0pt"/>
          <w:cols w:num="3" w:space="36pt"/>
          <w:docGrid w:linePitch="360"/>
        </w:sectPr>
      </w:pPr>
    </w:p>
    <w:p>
      <w:pPr>
        <w:pStyle w:val="Abstract"/>
      </w:pPr>
      <w:r>
        <w:rPr>
          <w:i/>
          <w:iCs/>
        </w:rPr>
        <w:t xml:space="preserve">Abstract</w:t>
      </w:r>
      <w:r>
        <w:t xml:space="preserve">—This paper presents a two-phase approach to EEG-based emotion recognition on the DEAP dataset. In the first phase, a rule-based classifier used Frontal Alpha Asymmetry (FAA) for valence and a Beta/Alpha power ratio for arousal; under rigorous evaluation this produced near-chance accuracy, motivating a shift to machine learning. In the second phase, a 518-dimensional feature set spanning Differential Entropy (DE), Relative Band Power (RP), Higuchi Fractal Dimension (HFD), Hjorth parameters and Differential Asymmetry (DASM) was extracted from all 32 channels. A pronounced class imbalance (79.0% majority class for valence, 76.7% for arousal) was identified and mitigated using Random Under-Sampling Boosting (RUSBoost) together with subject-grouped cross-validation to prevent data leakage. Pruning to the 25 most informative features raised subject-independent balanced accuracy to 59.1% for valence and 60.0% for arousal (Macro-F1 of 0.57 and 0.58), outperforming exploratory convolutional and graph neural network architectures evaluated on the same cohort. The results indicate that principled handling of class imbalance and dimensionality, rather than model complexity alone, is decisive for reliable single-trial EEG emotion recognition.</w:t>
      </w:r>
    </w:p>
    <w:p>
      <w:pPr>
        <w:pStyle w:val="Keywords"/>
      </w:pPr>
      <w:r>
        <w:rPr>
          <w:b/>
          <w:bCs/>
          <w:i/>
        </w:rPr>
        <w:t xml:space="preserve">Keywords</w:t>
      </w:r>
      <w:r>
        <w:rPr>
          <w:i/>
        </w:rPr>
        <w:t xml:space="preserve">—EEG, emotion recognition, DEAP dataset, frontal alpha asymmetry, RUSBoost, class imbalance, feature extraction, MATLAB</w:t>
      </w:r>
    </w:p>
    <w:p>
      <w:pPr>
        <w:pStyle w:val="Heading1"/>
      </w:pPr>
      <w:r>
        <w:t xml:space="preserve">Introduction</w:t>
      </w:r>
    </w:p>
    <w:p>
      <w:pPr>
        <w:pStyle w:val="BodyText"/>
      </w:pPr>
      <w:r>
        <w:t xml:space="preserve">Automatic recognition of emotional state from the electroencephalogram (EEG) is a core problem in affective brain–computer interfacing, with applications ranging from mental-health monitoring to adaptive human–computer interaction. The DEAP dataset [1], comprising 32-channel EEG recordings from 32 subjects across 40 trials each, together with continuous self-reported valence and arousal, is a widely used benchmark for this task. Despite its popularity, single-trial emotion decoding from EEG remains difficult: the signal-to-noise ratio is low, inter-subject variability is large, and self-report labels are themselves noisy.</w:t>
      </w:r>
    </w:p>
    <w:p>
      <w:pPr>
        <w:pStyle w:val="BodyText"/>
      </w:pPr>
      <w:r>
        <w:t xml:space="preserve">This paper documents two complementary approaches developed and evaluated on DEAP under evolving design constraints. Phase 1 was built under an initial no-machine-learning constraint and applies a fixed decision rule based on two established neurophysiological indices — Frontal Alpha Asymmetry (FAA) [2] for valence and a Beta/Alpha power ratio for arousal. Phase 2, developed once the machine-learning constraint was relaxed, replaces the fixed rule with a boosted ensemble trained on a 518-feature representation spanning all 32 channels, and explicitly addresses class imbalance and data leakage — two failure modes that are common but often under-reported in EEG emotion-recognition studies.</w:t>
      </w:r>
    </w:p>
    <w:p>
      <w:pPr>
        <w:pStyle w:val="BodyText"/>
      </w:pPr>
      <w:r>
        <w:t xml:space="preserve">The contributions of this work are threefold: (i) a rigorous, well-diagnosed negative result for a minimal frontal-asymmetry rule-based classifier on DEAP; (ii) a systematic treatment of the majority-class trap in DEAP's binarized valence/arousal labels using RUSBoost and subject-grouped cross-validation; and (iii) a comparison against exploratory deep-learning baselines (CNN, GNN) that shows a compact, engineered-feature ensemble remains more sample-efficient at this cohort size.</w:t>
      </w:r>
    </w:p>
    <w:p>
      <w:pPr>
        <w:pStyle w:val="Heading1"/>
      </w:pPr>
      <w:r>
        <w:t xml:space="preserve">Related Work</w:t>
      </w:r>
    </w:p>
    <w:p>
      <w:pPr>
        <w:pStyle w:val="BodyText"/>
      </w:pPr>
      <w:r>
        <w:t xml:space="preserve">Frontal alpha asymmetry has long been studied as a correlate of approach/withdrawal motivation and affective valence [2], [4], though its reliability as a state-level (single-trial) marker is debated in the literature. Differential Entropy has repeatedly been reported as one of the strongest individual EEG feature types for emotion classification [7], motivating its inclusion as the largest single family in the Phase 2 feature set. Higuchi's fractal dimension [5] and Hjorth parameters [6] provide complementary time-domain descriptors of signal complexity and are commonly combined with spectral features in EEG-based affective computing pipelines. Ensemble methods such as boosting are frequently used for tabular EEG feature sets because of their sample efficiency relative to deep architectures on small cohorts [8].</w:t>
      </w:r>
    </w:p>
    <w:p>
      <w:pPr>
        <w:pStyle w:val="Heading1"/>
      </w:pPr>
      <w:r>
        <w:t xml:space="preserve">Phase 1: Rule-Based Frontal Asymmetry Approach</w:t>
      </w:r>
    </w:p>
    <w:p>
      <w:pPr>
        <w:pStyle w:val="Heading2"/>
      </w:pPr>
      <w:r>
        <w:t xml:space="preserve">System and Preprocessing</w:t>
      </w:r>
    </w:p>
    <w:p>
      <w:pPr>
        <w:pStyle w:val="BodyText"/>
      </w:pPr>
      <w:r>
        <w:t xml:space="preserve">All 32 subject files in the DEAP dataset (32 subjects × 40 trials, 128 Hz, 32 channels) were loaded automatically, and the 3 s pre-trial baseline was removed from every channel. Band-specific filtering used 8th-order zero-phase IIR bandpass filters (alpha: 8–13 Hz, beta: 13–30 Hz). Welch power spectral density and band power were computed on eight frontal channels (Fp1, AF3, F3, F7, Fp2, AF4, F4, F8).</w:t>
      </w:r>
    </w:p>
    <w:p>
      <w:pPr>
        <w:pStyle w:val="Heading2"/>
      </w:pPr>
      <w:r>
        <w:t xml:space="preserve">Valence and Arousal Indices</w:t>
      </w:r>
    </w:p>
    <w:p>
      <w:pPr>
        <w:pStyle w:val="BodyText"/>
      </w:pPr>
      <w:r>
        <w:t xml:space="preserve">Valence was estimated as the Frontal Alpha Asymmetry, averaged over four standard electrode pairs (Fp1/Fp2, AF3/AF4, F3/F4, F7/F8):</w:t>
      </w:r>
    </w:p>
    <w:p>
      <w:pPr>
        <w:pStyle w:val="equation"/>
      </w:pPr>
      <w:r>
        <w:tab/>
      </w:r>
      <w:r>
        <w:rPr>
          <w:rFonts w:ascii="Times New Roman" w:hAnsi="Times New Roman" w:cs="Times New Roman"/>
          <w:i/>
        </w:rPr>
        <w:t xml:space="preserve">FAA = ln(α_right) − ln(α_left)</w:t>
      </w:r>
      <w:r>
        <w:tab/>
      </w:r>
      <w:r>
        <w:rPr>
          <w:rFonts w:ascii="Times New Roman" w:hAnsi="Times New Roman" w:cs="Times New Roman"/>
        </w:rPr>
        <w:t xml:space="preserve">(1)</w:t>
      </w:r>
    </w:p>
    <w:p>
      <w:pPr>
        <w:pStyle w:val="BodyText"/>
      </w:pPr>
      <w:r>
        <w:t xml:space="preserve">Arousal was computed as the log-transformed ratio of mean beta to mean alpha power across the same eight channels, the log transform being introduced after an initial raw-ratio version showed a right-skewed distribution caused by near-zero alpha power in the denominator:</w:t>
      </w:r>
    </w:p>
    <w:p>
      <w:pPr>
        <w:pStyle w:val="equation"/>
      </w:pPr>
      <w:r>
        <w:tab/>
      </w:r>
      <w:r>
        <w:rPr>
          <w:rFonts w:ascii="Times New Roman" w:hAnsi="Times New Roman" w:cs="Times New Roman"/>
          <w:i/>
        </w:rPr>
        <w:t xml:space="preserve">Arousal = log10(P_β / P_α)</w:t>
      </w:r>
      <w:r>
        <w:tab/>
      </w:r>
      <w:r>
        <w:rPr>
          <w:rFonts w:ascii="Times New Roman" w:hAnsi="Times New Roman" w:cs="Times New Roman"/>
        </w:rPr>
        <w:t xml:space="preserve">(2)</w:t>
      </w:r>
    </w:p>
    <w:p>
      <w:pPr>
        <w:pStyle w:val="BodyText"/>
      </w:pPr>
      <w:r>
        <w:t xml:space="preserve">Both indices carry large between-subject baseline offsets unrelated to emotion. Each subject's 40 trials were therefore z-scored per subject before classification:</w:t>
      </w:r>
    </w:p>
    <w:p>
      <w:pPr>
        <w:pStyle w:val="equation"/>
      </w:pPr>
      <w:r>
        <w:tab/>
      </w:r>
      <w:r>
        <w:rPr>
          <w:rFonts w:ascii="Times New Roman" w:hAnsi="Times New Roman" w:cs="Times New Roman"/>
          <w:i/>
        </w:rPr>
        <w:t xml:space="preserve">z = (x − μ) / σ</w:t>
      </w:r>
      <w:r>
        <w:tab/>
      </w:r>
      <w:r>
        <w:rPr>
          <w:rFonts w:ascii="Times New Roman" w:hAnsi="Times New Roman" w:cs="Times New Roman"/>
        </w:rPr>
        <w:t xml:space="preserve">(3)</w:t>
      </w:r>
    </w:p>
    <w:p>
      <w:pPr>
        <w:pStyle w:val="Heading2"/>
      </w:pPr>
      <w:r>
        <w:t xml:space="preserve">Results and Discussion</w:t>
      </w:r>
    </w:p>
    <w:p>
      <w:pPr>
        <w:pStyle w:val="BodyText"/>
      </w:pPr>
      <w:r>
        <w:t xml:space="preserve">Across single-pair and 4-pair-averaged configurations, classification accuracy over 1,280 trials fell within a narrow 47.6%–51.7% band around the 50% chance baseline. This rules out an implementation defect and instead reflects a genuine property of the method: a two-feature, fixed-threshold rule shows no detectable single-trial correspondence with self-reported emotion in this cohort, most plausibly due to feature scarcity (2–8 electrodes is a small window into a high-dimensional signal) and self-report noise. This well-diagnosed negative result directly motivated the switch to a learned, higher-dimensional classifier in Phase 2.</w:t>
      </w:r>
    </w:p>
    <w:p>
      <w:pPr>
        <w:pStyle w:val="Heading1"/>
      </w:pPr>
      <w:r>
        <w:t xml:space="preserve">Phase 2: Machine-Learning Approach</w:t>
      </w:r>
    </w:p>
    <w:p>
      <w:pPr>
        <w:pStyle w:val="Heading2"/>
      </w:pPr>
      <w:r>
        <w:t xml:space="preserve">Feature Engineering</w:t>
      </w:r>
    </w:p>
    <w:p>
      <w:pPr>
        <w:pStyle w:val="BodyText"/>
      </w:pPr>
      <w:r>
        <w:t xml:space="preserve">A fixed median-split rule cannot weight features, combine multiple cues, or learn a non-linear boundary. The feature space was therefore widened to 518 features spanning all 32 channels, drawn from five families: Differential Entropy (160; 5 bands × 32 channels),</w:t>
      </w:r>
    </w:p>
    <w:p>
      <w:pPr>
        <w:pStyle w:val="equation"/>
      </w:pPr>
      <w:r>
        <w:tab/>
      </w:r>
      <w:r>
        <w:rPr>
          <w:rFonts w:ascii="Times New Roman" w:hAnsi="Times New Roman" w:cs="Times New Roman"/>
          <w:i/>
        </w:rPr>
        <w:t xml:space="preserve">DE = 0.5 · ln(2πe·σ²)</w:t>
      </w:r>
      <w:r>
        <w:tab/>
      </w:r>
      <w:r>
        <w:rPr>
          <w:rFonts w:ascii="Times New Roman" w:hAnsi="Times New Roman" w:cs="Times New Roman"/>
        </w:rPr>
        <w:t xml:space="preserve">(4)</w:t>
      </w:r>
    </w:p>
    <w:p>
      <w:pPr>
        <w:pStyle w:val="BodyText"/>
      </w:pPr>
      <w:r>
        <w:t xml:space="preserve">Relative Band Power (160; each band's variance as a fraction of total broadband variance), Higuchi Fractal Dimension (32; a scale-invariant time-domain complexity measure) [5], Hjorth Activity/Mobility/Complexity (96; 3 × 32 channels) [6], and Differential Asymmetry (70; 5 bands × 14 hemispheric pairs, generalizing the FAA concept across the scalp).</w:t>
      </w:r>
    </w:p>
    <w:p>
      <w:pPr>
        <w:pStyle w:val="Heading2"/>
      </w:pPr>
      <w:r>
        <w:t xml:space="preserve">Addressing the Majority-Class Trap</w:t>
      </w:r>
    </w:p>
    <w:p>
      <w:pPr>
        <w:pStyle w:val="BodyText"/>
      </w:pPr>
      <w:r>
        <w:t xml:space="preserve">Binarizing DEAP's continuous self-report at the standard 4.5 threshold produced a severe imbalance: 79.0% majority class for valence (1,011 Low vs. 269 High) and 76.7% for arousal (982 Low vs. 298 High). An initial LogitBoost model reported a deceptively high raw accuracy of ~78% while, on inspection of the confusion matrix, it was found to be almost exclusively predicting the majority class. The classifier was therefore upgraded to RUSBoost (Random Under-Sampling Boosting, via MATLAB's fitcensemble), which downsamples the majority class at every boosting iteration, forcing the trees to learn minority-class patterns. Balanced Accuracy and Macro-F1 were adopted as the primary evaluation metrics in place of raw accuracy.</w:t>
      </w:r>
    </w:p>
    <w:p>
      <w:pPr>
        <w:pStyle w:val="Heading2"/>
      </w:pPr>
      <w:r>
        <w:t xml:space="preserve">Validation Methodology</w:t>
      </w:r>
    </w:p>
    <w:p>
      <w:pPr>
        <w:pStyle w:val="BodyText"/>
      </w:pPr>
      <w:r>
        <w:t xml:space="preserve">All 518 features were z-scored per subject. Cross-validation was subject-grouped (8 folds, whole subjects assigned to folds), so no subject's data appeared in both the training and test partitions within a fold — strictly preventing the classifier from memorizing individual resting-state signatures (data leakage).</w:t>
      </w:r>
    </w:p>
    <w:p>
      <w:pPr>
        <w:pStyle w:val="Heading2"/>
      </w:pPr>
      <w:r>
        <w:t xml:space="preserve">Results: Parsimony and the Curse of Dimensionality</w:t>
      </w:r>
    </w:p>
    <w:p>
      <w:pPr>
        <w:pStyle w:val="BodyText"/>
      </w:pPr>
      <w:r>
        <w:t xml:space="preserve">To test how much of the accuracy is carried by a small, interpretable subset, the top 25 most important features (by predictor importance) were isolated and re-evaluated. Table I summarizes the outcome.</w:t>
      </w:r>
    </w:p>
    <w:p>
      <w:pPr>
        <w:pStyle w:val="tablehead"/>
      </w:pPr>
      <w:r>
        <w:t xml:space="preserve">Balanced Accuracy and Macro-F1: Full Feature Set vs. Top-25</w:t>
      </w:r>
    </w:p>
    <w:tbl>
      <w:tblPr>
        <w:tblW w:w="0pt" w:type="dxa"/>
        <w:jc w:val="center"/>
        <w:tblBorders>
          <w:top w:val="single" w:sz="4" w:space="0" w:color="auto"/>
          <w:bottom w:val="single" w:sz="4" w:space="0" w:color="auto"/>
          <w:insideH w:val="single" w:sz="2" w:space="0" w:color="auto"/>
        </w:tblBorders>
        <w:tblLayout w:type="autofit"/>
      </w:tblPr>
      <w:tblGrid>
        <w:gridCol/>
        <w:gridCol/>
        <w:gridCol/>
        <w:gridCol/>
      </w:tblGrid>
      <w:tr>
        <w:tc>
          <w:tcPr>
            <w:tcW w:w="0pt" w:type="auto"/>
            <w:vAlign w:val="center"/>
          </w:tcPr>
          <w:p>
            <w:pPr>
              <w:pStyle w:val="tablecolhead"/>
              <w:jc w:val="center"/>
            </w:pPr>
            <w:r>
              <w:rPr>
                <w:b/>
              </w:rPr>
              <w:t xml:space="preserve">Target</w:t>
            </w:r>
          </w:p>
        </w:tc>
        <w:tc>
          <w:tcPr>
            <w:tcW w:w="0pt" w:type="auto"/>
            <w:vAlign w:val="center"/>
          </w:tcPr>
          <w:p>
            <w:pPr>
              <w:pStyle w:val="tablecolhead"/>
              <w:jc w:val="center"/>
            </w:pPr>
            <w:r>
              <w:rPr>
                <w:b/>
              </w:rPr>
              <w:t xml:space="preserve">Full Set Bal. Acc.</w:t>
            </w:r>
          </w:p>
        </w:tc>
        <w:tc>
          <w:tcPr>
            <w:tcW w:w="0pt" w:type="auto"/>
            <w:vAlign w:val="center"/>
          </w:tcPr>
          <w:p>
            <w:pPr>
              <w:pStyle w:val="tablecolhead"/>
              <w:jc w:val="center"/>
            </w:pPr>
            <w:r>
              <w:rPr>
                <w:b/>
              </w:rPr>
              <w:t xml:space="preserve">Top-25 Bal. Acc.</w:t>
            </w:r>
          </w:p>
        </w:tc>
        <w:tc>
          <w:tcPr>
            <w:tcW w:w="0pt" w:type="auto"/>
            <w:vAlign w:val="center"/>
          </w:tcPr>
          <w:p>
            <w:pPr>
              <w:pStyle w:val="tablecolhead"/>
              <w:jc w:val="center"/>
            </w:pPr>
            <w:r>
              <w:rPr>
                <w:b/>
              </w:rPr>
              <w:t xml:space="preserve">Top-25 Macro-F1</w:t>
            </w:r>
          </w:p>
        </w:tc>
      </w:tr>
      <w:tr>
        <w:tc>
          <w:tcPr>
            <w:tcW w:w="0pt" w:type="auto"/>
            <w:vAlign w:val="center"/>
          </w:tcPr>
          <w:p>
            <w:pPr>
              <w:pStyle w:val="tablecopy"/>
              <w:jc w:val="center"/>
            </w:pPr>
            <w:r>
              <w:t xml:space="preserve">Valence</w:t>
            </w:r>
          </w:p>
        </w:tc>
        <w:tc>
          <w:tcPr>
            <w:tcW w:w="0pt" w:type="auto"/>
            <w:vAlign w:val="center"/>
          </w:tcPr>
          <w:p>
            <w:pPr>
              <w:pStyle w:val="tablecopy"/>
              <w:jc w:val="center"/>
            </w:pPr>
            <w:r>
              <w:t xml:space="preserve">51.4%</w:t>
            </w:r>
          </w:p>
        </w:tc>
        <w:tc>
          <w:tcPr>
            <w:tcW w:w="0pt" w:type="auto"/>
            <w:vAlign w:val="center"/>
          </w:tcPr>
          <w:p>
            <w:pPr>
              <w:pStyle w:val="tablecopy"/>
              <w:jc w:val="center"/>
            </w:pPr>
            <w:r>
              <w:t xml:space="preserve">59.1%</w:t>
            </w:r>
          </w:p>
        </w:tc>
        <w:tc>
          <w:tcPr>
            <w:tcW w:w="0pt" w:type="auto"/>
            <w:vAlign w:val="center"/>
          </w:tcPr>
          <w:p>
            <w:pPr>
              <w:pStyle w:val="tablecopy"/>
              <w:jc w:val="center"/>
            </w:pPr>
            <w:r>
              <w:t xml:space="preserve">0.57</w:t>
            </w:r>
          </w:p>
        </w:tc>
      </w:tr>
      <w:tr>
        <w:tc>
          <w:tcPr>
            <w:tcW w:w="0pt" w:type="auto"/>
            <w:vAlign w:val="center"/>
          </w:tcPr>
          <w:p>
            <w:pPr>
              <w:pStyle w:val="tablecopy"/>
              <w:jc w:val="center"/>
            </w:pPr>
            <w:r>
              <w:t xml:space="preserve">Arousal</w:t>
            </w:r>
          </w:p>
        </w:tc>
        <w:tc>
          <w:tcPr>
            <w:tcW w:w="0pt" w:type="auto"/>
            <w:vAlign w:val="center"/>
          </w:tcPr>
          <w:p>
            <w:pPr>
              <w:pStyle w:val="tablecopy"/>
              <w:jc w:val="center"/>
            </w:pPr>
            <w:r>
              <w:t xml:space="preserve">53.0%</w:t>
            </w:r>
          </w:p>
        </w:tc>
        <w:tc>
          <w:tcPr>
            <w:tcW w:w="0pt" w:type="auto"/>
            <w:vAlign w:val="center"/>
          </w:tcPr>
          <w:p>
            <w:pPr>
              <w:pStyle w:val="tablecopy"/>
              <w:jc w:val="center"/>
            </w:pPr>
            <w:r>
              <w:t xml:space="preserve">60.0%</w:t>
            </w:r>
          </w:p>
        </w:tc>
        <w:tc>
          <w:tcPr>
            <w:tcW w:w="0pt" w:type="auto"/>
            <w:vAlign w:val="center"/>
          </w:tcPr>
          <w:p>
            <w:pPr>
              <w:pStyle w:val="tablecopy"/>
              <w:jc w:val="center"/>
            </w:pPr>
            <w:r>
              <w:t xml:space="preserve">0.58</w:t>
            </w:r>
          </w:p>
        </w:tc>
      </w:tr>
    </w:tbl>
    <w:p>
      <w:pPr>
        <w:pStyle w:val="BodyText"/>
      </w:pPr>
    </w:p>
    <w:p>
      <w:pPr>
        <w:pStyle w:val="BodyText"/>
      </w:pPr>
      <w:r>
        <w:t xml:space="preserve">Evaluating all 518 features on a limited sample caused the model to overfit statistical noise, keeping balanced accuracy near chance (~51–53%). Pruning to the top 25 features defeated the curse of dimensionality and raised subject-independent balanced accuracy to ~59–60%. The five most predictive features were dominated by relative band power and hemispheric asymmetry terms for valence (e.g., RP_delta_F3, DASM_beta_F3_F4), and by differential-entropy and asymmetry terms in the gamma/delta bands for arousal (e.g., DASM_gamma_CP1_CP2, DE_delta_P8) — consistent with the multi-domain feature-family design.</w:t>
      </w:r>
    </w:p>
    <w:p>
      <w:pPr>
        <w:pStyle w:val="Heading1"/>
      </w:pPr>
      <w:r>
        <w:t xml:space="preserve">Deep-Learning Exploration</w:t>
      </w:r>
    </w:p>
    <w:p>
      <w:pPr>
        <w:pStyle w:val="BodyText"/>
      </w:pPr>
      <w:r>
        <w:t xml:space="preserve">A compact 2D convolutional neural network was trained directly on raw windowed multichannel EEG (3 s windows, 32 channels × 384 samples at 128 Hz; 25,600 training examples), following a standard temporal–spatial–temporal convolutional block followed by a fully connected classifier. Across multiple training runs, this architecture — and an exploratory graph neural network variant — did not reach the ~60% balanced accuracy already obtained by the RUSBoosted ensemble. Tree-based ensembles on engineered features proved more sample-efficient for a 32-subject cohort, inherently more resistant to extreme class imbalance via under-sampling, and directly interpretable through predictor-importance ranking; the Phase 2 RUSBoost classifier (top-25 features) was therefore retained as the final model.</w:t>
      </w:r>
    </w:p>
    <w:p>
      <w:pPr>
        <w:pStyle w:val="Heading1"/>
      </w:pPr>
      <w:r>
        <w:t xml:space="preserve">Limitations and Future Work</w:t>
      </w:r>
    </w:p>
    <w:p>
      <w:pPr>
        <w:pStyle w:val="bulletlist"/>
      </w:pPr>
      <w:r>
        <w:rPr>
          <w:b/>
        </w:rPr>
        <w:t xml:space="preserve">Cross-validation uncertainty: </w:t>
      </w:r>
      <w:r>
        <w:t xml:space="preserve">8-fold subject-grouped CV has an estimated 5–6 percentage-point fold-to-fold standard deviation; full leave-one-subject-out (32 folds) would tighten this at the cost of longer runtime.</w:t>
      </w:r>
    </w:p>
    <w:p>
      <w:pPr>
        <w:pStyle w:val="bulletlist"/>
      </w:pPr>
      <w:r>
        <w:rPr>
          <w:b/>
        </w:rPr>
        <w:t xml:space="preserve">Gamma-band / EMG confound: </w:t>
      </w:r>
      <w:r>
        <w:t xml:space="preserve">the prominence of gamma-band features should be interpreted cautiously without dedicated muscle-artifact rejection (e.g., ICA-based EMG removal).</w:t>
      </w:r>
    </w:p>
    <w:p>
      <w:pPr>
        <w:pStyle w:val="bulletlist"/>
      </w:pPr>
      <w:r>
        <w:rPr>
          <w:b/>
        </w:rPr>
        <w:t xml:space="preserve">Feature-importance stability: </w:t>
      </w:r>
      <w:r>
        <w:t xml:space="preserve">rankings among highly correlated features (adjacent channels, same band) can be unstable; family-level conclusions are more robust than single-feature rank order.</w:t>
      </w:r>
    </w:p>
    <w:p>
      <w:pPr>
        <w:pStyle w:val="bulletlist"/>
      </w:pPr>
      <w:r>
        <w:rPr>
          <w:b/>
        </w:rPr>
        <w:t xml:space="preserve">Deep-learning constraints: </w:t>
      </w:r>
      <w:r>
        <w:t xml:space="preserve">CNN/GNN underperformance is attributed to the 32-subject sample size rather than a ceiling on the approach, and merits revisiting on larger EEG-emotion corpora.</w:t>
      </w:r>
    </w:p>
    <w:p>
      <w:pPr>
        <w:pStyle w:val="Heading1"/>
      </w:pPr>
      <w:r>
        <w:t xml:space="preserve">Conclusion</w:t>
      </w:r>
    </w:p>
    <w:p>
      <w:pPr>
        <w:pStyle w:val="BodyText"/>
      </w:pPr>
      <w:r>
        <w:t xml:space="preserve">This work evaluated two contrasting approaches to EEG emotion recognition on the DEAP dataset. The Phase 1 rule-based system produced a near-chance but well-diagnosed result, ruling out a two-feature frontal-asymmetry rule as sufficient for single-trial decoding in this cohort. The Phase 2 system exposed and addressed three failure modes common in EEG affective computing — data leakage, the majority-class trap, and the curse of dimensionality — using subject-grouped cross-validation, RUSBoost, and feature pruning respectively. The resulting 25-feature RUSBoost classifier achieves a scientifically honest, subject-independent balanced accuracy of ~59–60%, outperforming exploratory CNN/GNN baselines and providing an interpretable, sample-efficient basis for future EEG-based affective BCI work.</w:t>
      </w:r>
    </w:p>
    <w:p>
      <w:pPr>
        <w:pStyle w:val="Heading5"/>
      </w:pPr>
      <w:r>
        <w:t xml:space="preserve">References</w:t>
      </w:r>
    </w:p>
    <w:p>
      <w:pPr>
        <w:pStyle w:val="references"/>
        <w:ind w:start="17.70pt" w:hanging="17.70pt"/>
      </w:pPr>
      <w:r>
        <w:t xml:space="preserve">S. Koelstra, C. Muhl, M. Soleymani, J.-S. Lee, A. Yazdani, T. Ebrahimi, T. Pun, A. Nijholt, and I. Patras, “DEAP: A database for emotion analysis using physiological signals,” IEEE Trans. Affect. Comput., vol. 3, no. 1, pp. 18–31, 2012.</w:t>
      </w:r>
    </w:p>
    <w:p>
      <w:pPr>
        <w:pStyle w:val="references"/>
        <w:ind w:start="17.70pt" w:hanging="17.70pt"/>
      </w:pPr>
      <w:r>
        <w:t xml:space="preserve">R. J. Davidson, “Anterior cerebral asymmetry and the nature of emotion,” Brain Cogn., vol. 20, no. 1, pp. 125–151, 1992.</w:t>
      </w:r>
    </w:p>
    <w:p>
      <w:pPr>
        <w:pStyle w:val="references"/>
        <w:ind w:start="17.70pt" w:hanging="17.70pt"/>
      </w:pPr>
      <w:r>
        <w:t xml:space="preserve">J. A. Russell, “A circumplex model of affect,” J. Pers. Soc. Psychol., vol. 39, no. 6, pp. 1161–1178, 1980.</w:t>
      </w:r>
    </w:p>
    <w:p>
      <w:pPr>
        <w:pStyle w:val="references"/>
        <w:ind w:start="17.70pt" w:hanging="17.70pt"/>
      </w:pPr>
      <w:r>
        <w:t xml:space="preserve">J. J. B. Allen, J. A. Coan, and M. Nazarian, “Issues and assumptions on the road from raw signals to metrics of frontal EEG asymmetry in emotion,” Biol. Psychol., vol. 67, no. 1–2, pp. 183–218, 2004.</w:t>
      </w:r>
    </w:p>
    <w:p>
      <w:pPr>
        <w:pStyle w:val="references"/>
        <w:ind w:start="17.70pt" w:hanging="17.70pt"/>
      </w:pPr>
      <w:r>
        <w:t xml:space="preserve">T. Higuchi, “Approach to an irregular time series on the basis of the fractal theory,” Physica D, vol. 31, no. 2, pp. 277–283, 1988.</w:t>
      </w:r>
    </w:p>
    <w:p>
      <w:pPr>
        <w:pStyle w:val="references"/>
        <w:ind w:start="17.70pt" w:hanging="17.70pt"/>
      </w:pPr>
      <w:r>
        <w:t xml:space="preserve">B. Hjorth, “EEG analysis based on time domain properties,” Electroencephalogr. Clin. Neurophysiol., vol. 29, no. 3, pp. 306–310, 1970.</w:t>
      </w:r>
    </w:p>
    <w:p>
      <w:pPr>
        <w:pStyle w:val="references"/>
        <w:ind w:start="17.70pt" w:hanging="17.70pt"/>
      </w:pPr>
      <w:r>
        <w:t xml:space="preserve">R.-N. Duan, J.-Y. Zhu, and B.-L. Lu, “Differential entropy feature for EEG-based emotion classification,” in Proc. 6th Int. IEEE/EMBS Conf. Neural Eng. (NER), 2013, pp. 81–84.</w:t>
      </w:r>
    </w:p>
    <w:p>
      <w:pPr>
        <w:pStyle w:val="references"/>
        <w:ind w:start="17.70pt" w:hanging="17.70pt"/>
      </w:pPr>
      <w:r>
        <w:t xml:space="preserve">T. Chen and C. Guestrin, “XGBoost: A scalable tree boosting system,” in Proc. 22nd ACM SIGKDD Int. Conf. Knowledge Discovery and Data Mining, 2016, pp. 785–794.</w:t>
      </w:r>
    </w:p>
    <w:sectPr>
      <w:pgSz w:w="595.30pt" w:h="841.90pt" w:code="9"/>
      <w:pgMar w:top="22.50pt" w:right="44.65pt" w:bottom="54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E2D54FA" w14:textId="77777777" w:rsidR="00A104EF" w:rsidRDefault="00A104EF" w:rsidP="001A3B3D">
      <w:r>
        <w:separator/>
      </w:r>
    </w:p>
  </w:endnote>
  <w:endnote w:type="continuationSeparator" w:id="0">
    <w:p w14:paraId="08F6886C" w14:textId="77777777" w:rsidR="00A104EF" w:rsidRDefault="00A104E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2BBE5B8" w14:textId="77777777" w:rsidR="00A104EF" w:rsidRDefault="00A104EF" w:rsidP="001A3B3D">
      <w:r>
        <w:separator/>
      </w:r>
    </w:p>
  </w:footnote>
  <w:footnote w:type="continuationSeparator" w:id="0">
    <w:p w14:paraId="114AF630" w14:textId="77777777" w:rsidR="00A104EF" w:rsidRDefault="00A104E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612AC"/>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034EC"/>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9F20A9"/>
    <w:rsid w:val="00A059B3"/>
    <w:rsid w:val="00A104EF"/>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B5095"/>
    <w:rsid w:val="00ED0149"/>
    <w:rsid w:val="00EF7DE3"/>
    <w:rsid w:val="00F03103"/>
    <w:rsid w:val="00F271DE"/>
    <w:rsid w:val="00F627DA"/>
    <w:rsid w:val="00F7288F"/>
    <w:rsid w:val="00F75FCA"/>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Srishti Tiwari</cp:lastModifiedBy>
  <cp:revision>2</cp:revision>
  <dcterms:created xsi:type="dcterms:W3CDTF">2026-07-26T16:54:00Z</dcterms:created>
  <dcterms:modified xsi:type="dcterms:W3CDTF">2026-07-26T16:54:00Z</dcterms:modified>
</cp:coreProperties>
</file>