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F494" w14:textId="77777777" w:rsidR="00293BBD" w:rsidRPr="00AA79BB" w:rsidRDefault="00000000">
      <w:pPr>
        <w:pStyle w:val="Ttulo"/>
        <w:rPr>
          <w:lang w:val="pt-BR"/>
        </w:rPr>
      </w:pPr>
      <w:r w:rsidRPr="00AA79BB">
        <w:rPr>
          <w:color w:val="1A1A2E"/>
          <w:lang w:val="pt-BR"/>
        </w:rPr>
        <w:t>Documentação Técnica — Pipeline Medallion End-to-End</w:t>
      </w:r>
    </w:p>
    <w:p w14:paraId="57239E91" w14:textId="05A729B8" w:rsidR="00293BBD" w:rsidRPr="00AA79BB" w:rsidRDefault="00000000">
      <w:pPr>
        <w:rPr>
          <w:lang w:val="pt-BR"/>
        </w:rPr>
      </w:pPr>
      <w:r w:rsidRPr="00AA79BB">
        <w:rPr>
          <w:lang w:val="pt-BR"/>
        </w:rPr>
        <w:t>Case Técnico · Engenheiro de Dados · Autor: Ronnan</w:t>
      </w:r>
    </w:p>
    <w:p w14:paraId="3250BF99" w14:textId="77777777" w:rsidR="00293BBD" w:rsidRPr="00AA79BB" w:rsidRDefault="00000000">
      <w:pPr>
        <w:pStyle w:val="Ttulo1"/>
        <w:rPr>
          <w:lang w:val="pt-BR"/>
        </w:rPr>
      </w:pPr>
      <w:r w:rsidRPr="00AA79BB">
        <w:rPr>
          <w:color w:val="1A5376"/>
          <w:lang w:val="pt-BR"/>
        </w:rPr>
        <w:t>1. Visão Geral da Solução</w:t>
      </w:r>
    </w:p>
    <w:p w14:paraId="5ED32A58" w14:textId="77777777" w:rsidR="00293BBD" w:rsidRDefault="00000000">
      <w:pPr>
        <w:rPr>
          <w:lang w:val="pt-BR"/>
        </w:rPr>
      </w:pPr>
      <w:r w:rsidRPr="00AA79BB">
        <w:rPr>
          <w:lang w:val="pt-BR"/>
        </w:rPr>
        <w:t>Pipeline Medallion end-to-end que transforma 9 fontes brutas heterogêneas (CSV, JSON, NDJSON, XLSX, TXT pipe-delimited) em um modelo analítico Star Schema pronto para consumo por ferramentas de BI, executando no Databricks Free Edition com orquestração via Declarative Automation Bundles (DAB).</w:t>
      </w:r>
    </w:p>
    <w:p w14:paraId="484AB418" w14:textId="3A104203" w:rsidR="00AA79BB" w:rsidRPr="00AA79BB" w:rsidRDefault="00AA79BB">
      <w:pPr>
        <w:rPr>
          <w:b/>
          <w:bCs/>
          <w:lang w:val="pt-BR"/>
        </w:rPr>
      </w:pPr>
      <w:r w:rsidRPr="00AA79BB">
        <w:rPr>
          <w:b/>
          <w:bCs/>
          <w:lang w:val="pt-BR"/>
        </w:rPr>
        <w:t>Declarative Automation Bundles (DAB).</w:t>
      </w:r>
    </w:p>
    <w:p w14:paraId="1BBD4C9E" w14:textId="62100E5A" w:rsidR="00AA79BB" w:rsidRPr="00AA79BB" w:rsidRDefault="00AA79BB">
      <w:pPr>
        <w:rPr>
          <w:b/>
          <w:bCs/>
          <w:lang w:val="pt-BR"/>
        </w:rPr>
      </w:pPr>
      <w:r w:rsidRPr="00AA79BB">
        <w:rPr>
          <w:b/>
          <w:bCs/>
          <w:lang w:val="pt-BR"/>
        </w:rPr>
        <w:drawing>
          <wp:inline distT="0" distB="0" distL="0" distR="0" wp14:anchorId="1D0388B6" wp14:editId="4FB6CB09">
            <wp:extent cx="4524375" cy="2705723"/>
            <wp:effectExtent l="0" t="0" r="0" b="0"/>
            <wp:docPr id="638676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6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450" cy="270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830F" w14:textId="6BE16CFA" w:rsidR="00AA79BB" w:rsidRPr="00AA79BB" w:rsidRDefault="00AA79BB">
      <w:pPr>
        <w:rPr>
          <w:b/>
          <w:bCs/>
          <w:lang w:val="pt-BR"/>
        </w:rPr>
      </w:pPr>
      <w:r w:rsidRPr="00AA79BB">
        <w:rPr>
          <w:b/>
          <w:bCs/>
          <w:lang w:val="pt-BR"/>
        </w:rPr>
        <w:t>Catalogo e schemas</w:t>
      </w:r>
    </w:p>
    <w:p w14:paraId="752789FC" w14:textId="203147F7" w:rsidR="00AA79BB" w:rsidRDefault="00AA79BB">
      <w:pPr>
        <w:rPr>
          <w:lang w:val="pt-BR"/>
        </w:rPr>
      </w:pPr>
      <w:r w:rsidRPr="00AA79BB">
        <w:rPr>
          <w:lang w:val="pt-BR"/>
        </w:rPr>
        <w:drawing>
          <wp:inline distT="0" distB="0" distL="0" distR="0" wp14:anchorId="1DA28CEC" wp14:editId="1068C5BC">
            <wp:extent cx="3362325" cy="1575406"/>
            <wp:effectExtent l="0" t="0" r="0" b="6350"/>
            <wp:docPr id="1533404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4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6627" cy="157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003D" w14:textId="77777777" w:rsidR="00AA79BB" w:rsidRDefault="00AA79BB">
      <w:pPr>
        <w:rPr>
          <w:lang w:val="pt-BR"/>
        </w:rPr>
      </w:pPr>
    </w:p>
    <w:p w14:paraId="7F85BA62" w14:textId="2E0C321A" w:rsidR="00AA79BB" w:rsidRPr="00AA79BB" w:rsidRDefault="00AA79BB">
      <w:pPr>
        <w:rPr>
          <w:b/>
          <w:bCs/>
          <w:lang w:val="pt-BR"/>
        </w:rPr>
      </w:pPr>
      <w:r w:rsidRPr="00AA79BB">
        <w:rPr>
          <w:b/>
          <w:bCs/>
          <w:lang w:val="pt-BR"/>
        </w:rPr>
        <w:lastRenderedPageBreak/>
        <w:t>Execução do pipeline Full x Incremental</w:t>
      </w:r>
    </w:p>
    <w:p w14:paraId="6501AA6E" w14:textId="3F7F7B75" w:rsidR="00AA79BB" w:rsidRDefault="00AA79BB">
      <w:pPr>
        <w:rPr>
          <w:lang w:val="pt-BR"/>
        </w:rPr>
      </w:pPr>
      <w:r w:rsidRPr="00AA79BB">
        <w:rPr>
          <w:lang w:val="pt-BR"/>
        </w:rPr>
        <w:drawing>
          <wp:inline distT="0" distB="0" distL="0" distR="0" wp14:anchorId="18B0085B" wp14:editId="36F946B4">
            <wp:extent cx="5486400" cy="1254760"/>
            <wp:effectExtent l="0" t="0" r="0" b="2540"/>
            <wp:docPr id="864504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04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BD45" w14:textId="5821C6D4" w:rsidR="00AA79BB" w:rsidRPr="00AA79BB" w:rsidRDefault="00AA79BB" w:rsidP="00AA79BB">
      <w:pPr>
        <w:rPr>
          <w:b/>
          <w:bCs/>
          <w:lang w:val="pt-BR"/>
        </w:rPr>
      </w:pPr>
      <w:r>
        <w:rPr>
          <w:b/>
          <w:bCs/>
          <w:lang w:val="pt-BR"/>
        </w:rPr>
        <w:t>Grafo de execução das tabelas de acordo com a linhagem – Databricks Workflow</w:t>
      </w:r>
    </w:p>
    <w:p w14:paraId="7ECAA12F" w14:textId="378904DA" w:rsidR="00AA79BB" w:rsidRDefault="00AA79BB">
      <w:pPr>
        <w:rPr>
          <w:lang w:val="pt-BR"/>
        </w:rPr>
      </w:pPr>
      <w:r w:rsidRPr="00AA79BB">
        <w:rPr>
          <w:lang w:val="pt-BR"/>
        </w:rPr>
        <w:drawing>
          <wp:inline distT="0" distB="0" distL="0" distR="0" wp14:anchorId="1E8BFC7C" wp14:editId="6D9B6DCB">
            <wp:extent cx="5486400" cy="5413375"/>
            <wp:effectExtent l="0" t="0" r="0" b="0"/>
            <wp:docPr id="7049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22FE" w14:textId="77777777" w:rsidR="00AA79BB" w:rsidRPr="00AA79BB" w:rsidRDefault="00AA79BB">
      <w:pPr>
        <w:rPr>
          <w:lang w:val="pt-BR"/>
        </w:rPr>
      </w:pPr>
    </w:p>
    <w:p w14:paraId="660C6309" w14:textId="2BD82292" w:rsidR="00293BBD" w:rsidRDefault="00000000" w:rsidP="00AA79BB">
      <w:pPr>
        <w:pStyle w:val="Ttulo2"/>
        <w:numPr>
          <w:ilvl w:val="1"/>
          <w:numId w:val="10"/>
        </w:numPr>
        <w:rPr>
          <w:color w:val="E94F37"/>
        </w:rPr>
      </w:pPr>
      <w:r>
        <w:rPr>
          <w:color w:val="E94F37"/>
        </w:rPr>
        <w:lastRenderedPageBreak/>
        <w:t>Camadas da Arquitetura</w:t>
      </w:r>
    </w:p>
    <w:p w14:paraId="40444F5A" w14:textId="77777777" w:rsidR="00AA79BB" w:rsidRPr="00AA79BB" w:rsidRDefault="00AA79BB" w:rsidP="00AA79BB"/>
    <w:p w14:paraId="3E3C56BB" w14:textId="234CFE4C" w:rsidR="00AA79BB" w:rsidRPr="00AA79BB" w:rsidRDefault="00AA79BB" w:rsidP="00AA79BB">
      <w:r w:rsidRPr="00AA79BB">
        <w:drawing>
          <wp:inline distT="0" distB="0" distL="0" distR="0" wp14:anchorId="5BC4621B" wp14:editId="5439CD1A">
            <wp:extent cx="5486400" cy="2795905"/>
            <wp:effectExtent l="0" t="0" r="0" b="4445"/>
            <wp:docPr id="1277786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6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BBD" w14:paraId="1DAA8D81" w14:textId="77777777">
        <w:tc>
          <w:tcPr>
            <w:tcW w:w="4320" w:type="dxa"/>
          </w:tcPr>
          <w:p w14:paraId="04402DC9" w14:textId="77777777" w:rsidR="00293BBD" w:rsidRDefault="00000000">
            <w:r>
              <w:rPr>
                <w:b/>
              </w:rPr>
              <w:t>Camada</w:t>
            </w:r>
          </w:p>
        </w:tc>
        <w:tc>
          <w:tcPr>
            <w:tcW w:w="4320" w:type="dxa"/>
          </w:tcPr>
          <w:p w14:paraId="2D291F82" w14:textId="77777777" w:rsidR="00293BBD" w:rsidRDefault="00000000">
            <w:r>
              <w:rPr>
                <w:b/>
              </w:rPr>
              <w:t>Responsabilidade</w:t>
            </w:r>
          </w:p>
        </w:tc>
      </w:tr>
      <w:tr w:rsidR="00293BBD" w:rsidRPr="00AA79BB" w14:paraId="024A4F59" w14:textId="77777777">
        <w:tc>
          <w:tcPr>
            <w:tcW w:w="4320" w:type="dxa"/>
          </w:tcPr>
          <w:p w14:paraId="33034815" w14:textId="77777777" w:rsidR="00293BBD" w:rsidRDefault="00000000">
            <w:r>
              <w:t>Landing</w:t>
            </w:r>
          </w:p>
        </w:tc>
        <w:tc>
          <w:tcPr>
            <w:tcW w:w="4320" w:type="dxa"/>
          </w:tcPr>
          <w:p w14:paraId="1FF12CA4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Volume Unity Catalog — repositório dos arquivos fonte organizados por sistema e data de carga.</w:t>
            </w:r>
          </w:p>
        </w:tc>
      </w:tr>
      <w:tr w:rsidR="00293BBD" w14:paraId="6F70F321" w14:textId="77777777">
        <w:tc>
          <w:tcPr>
            <w:tcW w:w="4320" w:type="dxa"/>
          </w:tcPr>
          <w:p w14:paraId="77D2AC8C" w14:textId="77777777" w:rsidR="00293BBD" w:rsidRDefault="00000000">
            <w:r>
              <w:t>Bronze</w:t>
            </w:r>
          </w:p>
        </w:tc>
        <w:tc>
          <w:tcPr>
            <w:tcW w:w="4320" w:type="dxa"/>
          </w:tcPr>
          <w:p w14:paraId="68325EEF" w14:textId="77777777" w:rsidR="00293BBD" w:rsidRDefault="00000000">
            <w:r w:rsidRPr="00AA79BB">
              <w:rPr>
                <w:lang w:val="pt-BR"/>
              </w:rPr>
              <w:t xml:space="preserve">Dado bruto sem transformações, com dsRefChave (dedup determinístico), rastreamento_source (lineage) e data_processamento. </w:t>
            </w:r>
            <w:r>
              <w:t>AutoLoader com schema evolution.</w:t>
            </w:r>
          </w:p>
        </w:tc>
      </w:tr>
      <w:tr w:rsidR="00293BBD" w:rsidRPr="00AA79BB" w14:paraId="07A9FBF0" w14:textId="77777777">
        <w:tc>
          <w:tcPr>
            <w:tcW w:w="4320" w:type="dxa"/>
          </w:tcPr>
          <w:p w14:paraId="5B2C1FF0" w14:textId="77777777" w:rsidR="00293BBD" w:rsidRDefault="00000000">
            <w:r>
              <w:t>Silver</w:t>
            </w:r>
          </w:p>
        </w:tc>
        <w:tc>
          <w:tcPr>
            <w:tcW w:w="4320" w:type="dxa"/>
          </w:tcPr>
          <w:p w14:paraId="46D22A35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Tipos corrigidos, status canônico normalizado, UF padronizada, datas multi-formato parseadas, duplicatas removidas, flags de qualidade.</w:t>
            </w:r>
          </w:p>
        </w:tc>
      </w:tr>
      <w:tr w:rsidR="00293BBD" w:rsidRPr="00AA79BB" w14:paraId="4E3E7EA3" w14:textId="77777777">
        <w:tc>
          <w:tcPr>
            <w:tcW w:w="4320" w:type="dxa"/>
          </w:tcPr>
          <w:p w14:paraId="1F32E102" w14:textId="77777777" w:rsidR="00293BBD" w:rsidRDefault="00000000">
            <w:r>
              <w:t>Gold</w:t>
            </w:r>
          </w:p>
        </w:tc>
        <w:tc>
          <w:tcPr>
            <w:tcW w:w="4320" w:type="dxa"/>
          </w:tcPr>
          <w:p w14:paraId="7DEED3C1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Surrogate keys, JOINs resolvidos, modelo dimensional Star Schema pronto para BI. 6 dimensões + 4 fatos.</w:t>
            </w:r>
          </w:p>
        </w:tc>
      </w:tr>
      <w:tr w:rsidR="00293BBD" w:rsidRPr="00AA79BB" w14:paraId="5840561C" w14:textId="77777777">
        <w:tc>
          <w:tcPr>
            <w:tcW w:w="4320" w:type="dxa"/>
          </w:tcPr>
          <w:p w14:paraId="4E8CFFDE" w14:textId="77777777" w:rsidR="00293BBD" w:rsidRDefault="00000000">
            <w:r>
              <w:t>Analytics</w:t>
            </w:r>
          </w:p>
        </w:tc>
        <w:tc>
          <w:tcPr>
            <w:tcW w:w="4320" w:type="dxa"/>
          </w:tcPr>
          <w:p w14:paraId="1240BA86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Notebook com queries diretas nas tabelas Gold respondendo às 5 perguntas de negócio do case.</w:t>
            </w:r>
          </w:p>
        </w:tc>
      </w:tr>
    </w:tbl>
    <w:p w14:paraId="37344930" w14:textId="77777777" w:rsidR="00293BBD" w:rsidRPr="00AA79BB" w:rsidRDefault="00000000">
      <w:pPr>
        <w:pStyle w:val="Ttulo2"/>
        <w:rPr>
          <w:lang w:val="pt-BR"/>
        </w:rPr>
      </w:pPr>
      <w:r w:rsidRPr="00AA79BB">
        <w:rPr>
          <w:color w:val="E94F37"/>
          <w:lang w:val="pt-BR"/>
        </w:rPr>
        <w:t>1.2. DAG de Execução</w:t>
      </w:r>
    </w:p>
    <w:p w14:paraId="6BE8882F" w14:textId="77777777" w:rsidR="00293BBD" w:rsidRPr="00AA79BB" w:rsidRDefault="00000000">
      <w:pPr>
        <w:rPr>
          <w:lang w:val="pt-BR"/>
        </w:rPr>
      </w:pPr>
      <w:r w:rsidRPr="00AA79BB">
        <w:rPr>
          <w:lang w:val="pt-BR"/>
        </w:rPr>
        <w:t>O job pipeline_medallion_completo executa 35 tasks em 5 ondas:</w:t>
      </w:r>
    </w:p>
    <w:p w14:paraId="52BD536E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Onda 0 — Setup (1 task): inicialização dos catálogos e schemas.</w:t>
      </w:r>
    </w:p>
    <w:p w14:paraId="44369394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Onda 1 — Landing (6 tasks paralelas): uma por formato de arquivo (CSV, TXT, NDJSON, JSON, XLSX, Parquet).</w:t>
      </w:r>
    </w:p>
    <w:p w14:paraId="7CC86ED3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lastRenderedPageBreak/>
        <w:t>Onda 2 — Bronze (9 tasks): cada bronze inicia assim que o landing do seu formato conclui — sem aguardar outros formatos.</w:t>
      </w:r>
    </w:p>
    <w:p w14:paraId="3050A198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Onda 3 — Silver (9 tasks paralelas): cada silver aguarda apenas o seu bronze.</w:t>
      </w:r>
    </w:p>
    <w:p w14:paraId="20541152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Onda 4a — Gold Dims (6 tasks paralelas): dim_clientes, dim_produtos, dim_regioes, dim_canais, dim_vendedores, dim_tempo.</w:t>
      </w:r>
    </w:p>
    <w:p w14:paraId="54294D1B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Onda 4b — Gold Facts (4 tasks paralelas): fact_pedidos, fact_itens_pedido, fact_entregas, fact_ocorrencias.</w:t>
      </w:r>
    </w:p>
    <w:p w14:paraId="4F7FE83D" w14:textId="77777777" w:rsidR="00293BBD" w:rsidRPr="00AA79BB" w:rsidRDefault="00293BBD">
      <w:pPr>
        <w:rPr>
          <w:lang w:val="pt-BR"/>
        </w:rPr>
      </w:pPr>
    </w:p>
    <w:p w14:paraId="78FD476B" w14:textId="77777777" w:rsidR="00293BBD" w:rsidRDefault="00000000">
      <w:pPr>
        <w:pStyle w:val="Ttulo1"/>
      </w:pPr>
      <w:r>
        <w:rPr>
          <w:color w:val="1A5376"/>
        </w:rPr>
        <w:t>2. Regras e Premissas Adotadas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BBD" w14:paraId="027C6D54" w14:textId="77777777">
        <w:tc>
          <w:tcPr>
            <w:tcW w:w="4320" w:type="dxa"/>
          </w:tcPr>
          <w:p w14:paraId="27A9DD37" w14:textId="77777777" w:rsidR="00293BBD" w:rsidRDefault="00000000">
            <w:r>
              <w:rPr>
                <w:b/>
              </w:rPr>
              <w:t>Regra / Premissa</w:t>
            </w:r>
          </w:p>
        </w:tc>
        <w:tc>
          <w:tcPr>
            <w:tcW w:w="4320" w:type="dxa"/>
          </w:tcPr>
          <w:p w14:paraId="3A985EDF" w14:textId="77777777" w:rsidR="00293BBD" w:rsidRDefault="00000000">
            <w:r>
              <w:rPr>
                <w:b/>
              </w:rPr>
              <w:t>Detalhe</w:t>
            </w:r>
          </w:p>
        </w:tc>
      </w:tr>
      <w:tr w:rsidR="00293BBD" w:rsidRPr="00AA79BB" w14:paraId="4C9A0FA0" w14:textId="77777777">
        <w:tc>
          <w:tcPr>
            <w:tcW w:w="4320" w:type="dxa"/>
          </w:tcPr>
          <w:p w14:paraId="7A7ADA99" w14:textId="77777777" w:rsidR="00293BBD" w:rsidRDefault="00000000">
            <w:r>
              <w:t>Status canônico de pedido</w:t>
            </w:r>
          </w:p>
        </w:tc>
        <w:tc>
          <w:tcPr>
            <w:tcW w:w="4320" w:type="dxa"/>
          </w:tcPr>
          <w:p w14:paraId="56210A6E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Valores aceitos: FATURADO, EM_SEPARACAO, ENTREGUE, CANCELADO, INDEFINIDO. Espaços internos substituídos por underscore via regexp_replace. Valores nulos/vazios → INDEFINIDO.</w:t>
            </w:r>
          </w:p>
        </w:tc>
      </w:tr>
      <w:tr w:rsidR="00293BBD" w:rsidRPr="00AA79BB" w14:paraId="1189DB16" w14:textId="77777777">
        <w:tc>
          <w:tcPr>
            <w:tcW w:w="4320" w:type="dxa"/>
          </w:tcPr>
          <w:p w14:paraId="4D565C05" w14:textId="77777777" w:rsidR="00293BBD" w:rsidRDefault="00000000">
            <w:r>
              <w:t>Surrogate keys</w:t>
            </w:r>
          </w:p>
        </w:tc>
        <w:tc>
          <w:tcPr>
            <w:tcW w:w="4320" w:type="dxa"/>
          </w:tcPr>
          <w:p w14:paraId="0514FF11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row_number() OVER (ORDER BY chave_natural) recalculado a cada carga full. Determinístico dado o mesmo conjunto de registros.</w:t>
            </w:r>
          </w:p>
        </w:tc>
      </w:tr>
      <w:tr w:rsidR="00293BBD" w14:paraId="3D7A7C62" w14:textId="77777777">
        <w:tc>
          <w:tcPr>
            <w:tcW w:w="4320" w:type="dxa"/>
          </w:tcPr>
          <w:p w14:paraId="70A69F66" w14:textId="77777777" w:rsidR="00293BBD" w:rsidRDefault="00000000">
            <w:r>
              <w:t>order_key em fatos</w:t>
            </w:r>
          </w:p>
        </w:tc>
        <w:tc>
          <w:tcPr>
            <w:tcW w:w="4320" w:type="dxa"/>
          </w:tcPr>
          <w:p w14:paraId="433E060A" w14:textId="77777777" w:rsidR="00293BBD" w:rsidRDefault="00000000">
            <w:r w:rsidRPr="00AA79BB">
              <w:rPr>
                <w:lang w:val="pt-BR"/>
              </w:rPr>
              <w:t xml:space="preserve">Gerado inline via CTE no próprio notebook de fato, lendo silver.erp_pedidos_cabecalho. </w:t>
            </w:r>
            <w:r>
              <w:t>Nunca lendo fact_pedidos — elimina dependência Gold→Gold.</w:t>
            </w:r>
          </w:p>
        </w:tc>
      </w:tr>
      <w:tr w:rsidR="00293BBD" w:rsidRPr="00AA79BB" w14:paraId="30050AF5" w14:textId="77777777">
        <w:tc>
          <w:tcPr>
            <w:tcW w:w="4320" w:type="dxa"/>
          </w:tcPr>
          <w:p w14:paraId="1F0291C5" w14:textId="77777777" w:rsidR="00293BBD" w:rsidRDefault="00000000">
            <w:r>
              <w:t>Colunas percentuais</w:t>
            </w:r>
          </w:p>
        </w:tc>
        <w:tc>
          <w:tcPr>
            <w:tcW w:w="4320" w:type="dxa"/>
          </w:tcPr>
          <w:p w14:paraId="409F080F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Sufixo _pct obrigatório (ex: taxa_atraso_pct, desconto_pct).</w:t>
            </w:r>
          </w:p>
        </w:tc>
      </w:tr>
      <w:tr w:rsidR="00293BBD" w:rsidRPr="00AA79BB" w14:paraId="60BA7C33" w14:textId="77777777">
        <w:tc>
          <w:tcPr>
            <w:tcW w:w="4320" w:type="dxa"/>
          </w:tcPr>
          <w:p w14:paraId="4C8214DF" w14:textId="77777777" w:rsidR="00293BBD" w:rsidRDefault="00000000">
            <w:r>
              <w:t>Flags booleanas</w:t>
            </w:r>
          </w:p>
        </w:tc>
        <w:tc>
          <w:tcPr>
            <w:tcW w:w="4320" w:type="dxa"/>
          </w:tcPr>
          <w:p w14:paraId="35678DDF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Prefixo In PascalCase (ex: InRegistroAtivo, InStatusInvalido).</w:t>
            </w:r>
          </w:p>
        </w:tc>
      </w:tr>
      <w:tr w:rsidR="00293BBD" w:rsidRPr="00AA79BB" w14:paraId="16431C7A" w14:textId="77777777">
        <w:tc>
          <w:tcPr>
            <w:tcW w:w="4320" w:type="dxa"/>
          </w:tcPr>
          <w:p w14:paraId="6D3BA8B6" w14:textId="77777777" w:rsidR="00293BBD" w:rsidRDefault="00000000">
            <w:r>
              <w:t>Chave de dedup Bronze</w:t>
            </w:r>
          </w:p>
        </w:tc>
        <w:tc>
          <w:tcPr>
            <w:tcW w:w="4320" w:type="dxa"/>
          </w:tcPr>
          <w:p w14:paraId="24C43572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dsRefChave = concat('&gt;&gt;', coalesce(PK1, 'NULL'), ...) — chave determinística para MERGE INTO.</w:t>
            </w:r>
          </w:p>
        </w:tc>
      </w:tr>
      <w:tr w:rsidR="00293BBD" w:rsidRPr="00AA79BB" w14:paraId="2E103F57" w14:textId="77777777">
        <w:tc>
          <w:tcPr>
            <w:tcW w:w="4320" w:type="dxa"/>
          </w:tcPr>
          <w:p w14:paraId="27A8216E" w14:textId="77777777" w:rsidR="00293BBD" w:rsidRDefault="00000000">
            <w:r>
              <w:t>Gold só lê Silver</w:t>
            </w:r>
          </w:p>
        </w:tc>
        <w:tc>
          <w:tcPr>
            <w:tcW w:w="4320" w:type="dxa"/>
          </w:tcPr>
          <w:p w14:paraId="781739C5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Nenhuma tabela Gold lê outra tabela Gold. Dims derivadas do Silver, facts derivadas do Silver + surrogate key inline.</w:t>
            </w:r>
          </w:p>
        </w:tc>
      </w:tr>
      <w:tr w:rsidR="00293BBD" w:rsidRPr="00AA79BB" w14:paraId="5FF665D1" w14:textId="77777777">
        <w:tc>
          <w:tcPr>
            <w:tcW w:w="4320" w:type="dxa"/>
          </w:tcPr>
          <w:p w14:paraId="405AC15A" w14:textId="77777777" w:rsidR="00293BBD" w:rsidRDefault="00000000">
            <w:r>
              <w:t>Checkpoints</w:t>
            </w:r>
          </w:p>
        </w:tc>
        <w:tc>
          <w:tcPr>
            <w:tcW w:w="4320" w:type="dxa"/>
          </w:tcPr>
          <w:p w14:paraId="74B85DE1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Armazenados em UC Volume (não em /tmp/) para persistir entre tasks do job no ambiente serverless.</w:t>
            </w:r>
          </w:p>
        </w:tc>
      </w:tr>
    </w:tbl>
    <w:p w14:paraId="0AACDE1E" w14:textId="77777777" w:rsidR="00293BBD" w:rsidRPr="00AA79BB" w:rsidRDefault="00293BBD">
      <w:pPr>
        <w:rPr>
          <w:lang w:val="pt-BR"/>
        </w:rPr>
      </w:pPr>
    </w:p>
    <w:p w14:paraId="24D1DA8D" w14:textId="77777777" w:rsidR="00293BBD" w:rsidRPr="00AA79BB" w:rsidRDefault="00000000">
      <w:pPr>
        <w:pStyle w:val="Ttulo1"/>
        <w:rPr>
          <w:lang w:val="pt-BR"/>
        </w:rPr>
      </w:pPr>
      <w:r w:rsidRPr="00AA79BB">
        <w:rPr>
          <w:color w:val="1A5376"/>
          <w:lang w:val="pt-BR"/>
        </w:rPr>
        <w:t>3. Problemas de Qualidade Encontrados e Tratamentos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BBD" w14:paraId="36168B5B" w14:textId="77777777">
        <w:tc>
          <w:tcPr>
            <w:tcW w:w="4320" w:type="dxa"/>
          </w:tcPr>
          <w:p w14:paraId="21BA08CC" w14:textId="77777777" w:rsidR="00293BBD" w:rsidRDefault="00000000">
            <w:r>
              <w:rPr>
                <w:b/>
              </w:rPr>
              <w:t>Problema</w:t>
            </w:r>
          </w:p>
        </w:tc>
        <w:tc>
          <w:tcPr>
            <w:tcW w:w="4320" w:type="dxa"/>
          </w:tcPr>
          <w:p w14:paraId="78F04F13" w14:textId="77777777" w:rsidR="00293BBD" w:rsidRDefault="00000000">
            <w:r>
              <w:rPr>
                <w:b/>
              </w:rPr>
              <w:t>Tratamento adotado</w:t>
            </w:r>
          </w:p>
        </w:tc>
      </w:tr>
      <w:tr w:rsidR="00293BBD" w:rsidRPr="00AA79BB" w14:paraId="0D9F57FE" w14:textId="77777777">
        <w:tc>
          <w:tcPr>
            <w:tcW w:w="4320" w:type="dxa"/>
          </w:tcPr>
          <w:p w14:paraId="19ECFADA" w14:textId="77777777" w:rsidR="00293BBD" w:rsidRDefault="00000000">
            <w:r>
              <w:t>Datas em 4+ formatos distintos</w:t>
            </w:r>
          </w:p>
        </w:tc>
        <w:tc>
          <w:tcPr>
            <w:tcW w:w="4320" w:type="dxa"/>
          </w:tcPr>
          <w:p w14:paraId="33603A0A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 xml:space="preserve">Função parse_date_multi_format() implementada em 3-Functions.py usando </w:t>
            </w:r>
            <w:r w:rsidRPr="00AA79BB">
              <w:rPr>
                <w:lang w:val="pt-BR"/>
              </w:rPr>
              <w:lastRenderedPageBreak/>
              <w:t>coalesce(to_date(col, fmt1), to_date(col, fmt2), ...) cobrindo todos os padrões encontrados nas fontes.</w:t>
            </w:r>
          </w:p>
        </w:tc>
      </w:tr>
      <w:tr w:rsidR="00293BBD" w14:paraId="0D7A683F" w14:textId="77777777">
        <w:tc>
          <w:tcPr>
            <w:tcW w:w="4320" w:type="dxa"/>
          </w:tcPr>
          <w:p w14:paraId="34FF7441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lastRenderedPageBreak/>
              <w:t>status_order com espaço interno</w:t>
            </w:r>
            <w:r w:rsidRPr="00AA79BB">
              <w:rPr>
                <w:lang w:val="pt-BR"/>
              </w:rPr>
              <w:br/>
              <w:t>(EM SEPARACAO vs EM_SEPARACAO)</w:t>
            </w:r>
          </w:p>
        </w:tc>
        <w:tc>
          <w:tcPr>
            <w:tcW w:w="4320" w:type="dxa"/>
          </w:tcPr>
          <w:p w14:paraId="471BB84E" w14:textId="77777777" w:rsidR="00293BBD" w:rsidRDefault="00000000">
            <w:r w:rsidRPr="00AA79BB">
              <w:rPr>
                <w:lang w:val="pt-BR"/>
              </w:rPr>
              <w:t xml:space="preserve">regexp_replace(upper(trim(status_order)), '\s+', '_') — normaliza qualquer variante com espaço. </w:t>
            </w:r>
            <w:r>
              <w:t>Aplicado na Silver erp_pedidos_cabecalho.</w:t>
            </w:r>
          </w:p>
        </w:tc>
      </w:tr>
      <w:tr w:rsidR="00293BBD" w:rsidRPr="00AA79BB" w14:paraId="4880AEE7" w14:textId="77777777">
        <w:tc>
          <w:tcPr>
            <w:tcW w:w="4320" w:type="dxa"/>
          </w:tcPr>
          <w:p w14:paraId="2BFDFF8C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~5% pedidos com status nulo ou vazio</w:t>
            </w:r>
          </w:p>
        </w:tc>
        <w:tc>
          <w:tcPr>
            <w:tcW w:w="4320" w:type="dxa"/>
          </w:tcPr>
          <w:p w14:paraId="4A415C59" w14:textId="77777777" w:rsidR="00293BBD" w:rsidRPr="00AA79BB" w:rsidRDefault="00000000">
            <w:pPr>
              <w:rPr>
                <w:lang w:val="pt-BR"/>
              </w:rPr>
            </w:pPr>
            <w:r>
              <w:t xml:space="preserve">CASE WHEN trim(status) IS NULL OR trim(status) = '' THEN 'INDEFINIDO'. </w:t>
            </w:r>
            <w:r w:rsidRPr="00AA79BB">
              <w:rPr>
                <w:lang w:val="pt-BR"/>
              </w:rPr>
              <w:t>Pedidos mantidos no pipeline com valor canônico para não perder rastreabilidade.</w:t>
            </w:r>
          </w:p>
        </w:tc>
      </w:tr>
      <w:tr w:rsidR="00293BBD" w:rsidRPr="00AA79BB" w14:paraId="3B7CFB27" w14:textId="77777777">
        <w:tc>
          <w:tcPr>
            <w:tcW w:w="4320" w:type="dxa"/>
          </w:tcPr>
          <w:p w14:paraId="0BC2B554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order_id inconsistente entre fontes</w:t>
            </w:r>
            <w:r w:rsidRPr="00AA79BB">
              <w:rPr>
                <w:lang w:val="pt-BR"/>
              </w:rPr>
              <w:br/>
              <w:t>(case e espaços variados)</w:t>
            </w:r>
          </w:p>
        </w:tc>
        <w:tc>
          <w:tcPr>
            <w:tcW w:w="4320" w:type="dxa"/>
          </w:tcPr>
          <w:p w14:paraId="47B31016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upper(trim(order_id)) aplicado em todos os notebooks Silver — garante chave uniforme para JOIN entre sistemas.</w:t>
            </w:r>
          </w:p>
        </w:tc>
      </w:tr>
      <w:tr w:rsidR="00293BBD" w:rsidRPr="00AA79BB" w14:paraId="2465AF29" w14:textId="77777777">
        <w:tc>
          <w:tcPr>
            <w:tcW w:w="4320" w:type="dxa"/>
          </w:tcPr>
          <w:p w14:paraId="44BBD4DE" w14:textId="77777777" w:rsidR="00293BBD" w:rsidRDefault="00000000">
            <w:r>
              <w:t>JSON multinível aninhado</w:t>
            </w:r>
            <w:r>
              <w:br/>
              <w:t>(ex: product.pricing.list_price)</w:t>
            </w:r>
          </w:p>
        </w:tc>
        <w:tc>
          <w:tcPr>
            <w:tcW w:w="4320" w:type="dxa"/>
          </w:tcPr>
          <w:p w14:paraId="74E23059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Acesso por notação de ponto no SparkSQL com flatten explícito dos campos de interesse na camada Bronze.</w:t>
            </w:r>
          </w:p>
        </w:tc>
      </w:tr>
      <w:tr w:rsidR="00293BBD" w14:paraId="0774CF0F" w14:textId="77777777">
        <w:tc>
          <w:tcPr>
            <w:tcW w:w="4320" w:type="dxa"/>
          </w:tcPr>
          <w:p w14:paraId="6BFD6FDD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XLSX sem suporte nativo no AutoLoader</w:t>
            </w:r>
          </w:p>
        </w:tc>
        <w:tc>
          <w:tcPr>
            <w:tcW w:w="4320" w:type="dxa"/>
          </w:tcPr>
          <w:p w14:paraId="74B9656C" w14:textId="77777777" w:rsidR="00293BBD" w:rsidRDefault="00000000">
            <w:r w:rsidRPr="00AA79BB">
              <w:rPr>
                <w:lang w:val="pt-BR"/>
              </w:rPr>
              <w:t xml:space="preserve">Leitura via openpyxl.load_workbook com iteração linha a linha + spark.createDataFrame(). </w:t>
            </w:r>
            <w:r>
              <w:t>Carga full a cada execução.</w:t>
            </w:r>
          </w:p>
        </w:tc>
      </w:tr>
      <w:tr w:rsidR="00293BBD" w:rsidRPr="00AA79BB" w14:paraId="783AD8A2" w14:textId="77777777">
        <w:tc>
          <w:tcPr>
            <w:tcW w:w="4320" w:type="dxa"/>
          </w:tcPr>
          <w:p w14:paraId="27381871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Duas fontes ERP no mesmo formato/sistema</w:t>
            </w:r>
          </w:p>
        </w:tc>
        <w:tc>
          <w:tcPr>
            <w:tcW w:w="4320" w:type="dxa"/>
          </w:tcPr>
          <w:p w14:paraId="2E0E5E0D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Subdiretórios separados por sistema no Landing Volume evitam conflito de schema inferido pelo AutoLoader.</w:t>
            </w:r>
          </w:p>
        </w:tc>
      </w:tr>
      <w:tr w:rsidR="00293BBD" w:rsidRPr="00AA79BB" w14:paraId="74601241" w14:textId="77777777">
        <w:tc>
          <w:tcPr>
            <w:tcW w:w="4320" w:type="dxa"/>
          </w:tcPr>
          <w:p w14:paraId="0495BCBC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Conflito de checkpoints em serverless</w:t>
            </w:r>
          </w:p>
        </w:tc>
        <w:tc>
          <w:tcPr>
            <w:tcW w:w="4320" w:type="dxa"/>
          </w:tcPr>
          <w:p w14:paraId="7F7631C3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Checkpoints movidos de /tmp/ (efêmero) para UC Volume (persistente) — resolve falha silenciosa de streaming entre tasks.</w:t>
            </w:r>
          </w:p>
        </w:tc>
      </w:tr>
    </w:tbl>
    <w:p w14:paraId="24A930BD" w14:textId="77777777" w:rsidR="00293BBD" w:rsidRPr="00AA79BB" w:rsidRDefault="00293BBD">
      <w:pPr>
        <w:rPr>
          <w:lang w:val="pt-BR"/>
        </w:rPr>
      </w:pPr>
    </w:p>
    <w:p w14:paraId="09BF9682" w14:textId="77777777" w:rsidR="00293BBD" w:rsidRPr="00AA79BB" w:rsidRDefault="00000000">
      <w:pPr>
        <w:pStyle w:val="Ttulo1"/>
        <w:rPr>
          <w:lang w:val="pt-BR"/>
        </w:rPr>
      </w:pPr>
      <w:r w:rsidRPr="00AA79BB">
        <w:rPr>
          <w:color w:val="1A5376"/>
          <w:lang w:val="pt-BR"/>
        </w:rPr>
        <w:t>4. Decisões de Modelagem e Justificativas</w:t>
      </w:r>
    </w:p>
    <w:p w14:paraId="15FDB685" w14:textId="77777777" w:rsidR="00293BBD" w:rsidRPr="00AA79BB" w:rsidRDefault="00000000">
      <w:pPr>
        <w:rPr>
          <w:lang w:val="pt-BR"/>
        </w:rPr>
      </w:pPr>
      <w:r w:rsidRPr="00AA79BB">
        <w:rPr>
          <w:lang w:val="pt-BR"/>
        </w:rPr>
        <w:t>Modelo analítico escolhido: Star Schema (Kimball).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BBD" w14:paraId="6B7745AD" w14:textId="77777777">
        <w:tc>
          <w:tcPr>
            <w:tcW w:w="4320" w:type="dxa"/>
          </w:tcPr>
          <w:p w14:paraId="414FD61F" w14:textId="77777777" w:rsidR="00293BBD" w:rsidRDefault="00000000">
            <w:r>
              <w:rPr>
                <w:b/>
              </w:rPr>
              <w:t>Decisão</w:t>
            </w:r>
          </w:p>
        </w:tc>
        <w:tc>
          <w:tcPr>
            <w:tcW w:w="4320" w:type="dxa"/>
          </w:tcPr>
          <w:p w14:paraId="2ED639E1" w14:textId="77777777" w:rsidR="00293BBD" w:rsidRDefault="00000000">
            <w:r>
              <w:rPr>
                <w:b/>
              </w:rPr>
              <w:t>Justificativa</w:t>
            </w:r>
          </w:p>
        </w:tc>
      </w:tr>
      <w:tr w:rsidR="00293BBD" w:rsidRPr="00AA79BB" w14:paraId="131339CD" w14:textId="77777777">
        <w:tc>
          <w:tcPr>
            <w:tcW w:w="4320" w:type="dxa"/>
          </w:tcPr>
          <w:p w14:paraId="59B8EEFD" w14:textId="77777777" w:rsidR="00293BBD" w:rsidRDefault="00000000">
            <w:r>
              <w:t>Granularidade fact_pedidos</w:t>
            </w:r>
          </w:p>
        </w:tc>
        <w:tc>
          <w:tcPr>
            <w:tcW w:w="4320" w:type="dxa"/>
          </w:tcPr>
          <w:p w14:paraId="26B5448A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1 linha por pedido. Permite cálculo direto de ticket médio, receita e cancelamentos.</w:t>
            </w:r>
          </w:p>
        </w:tc>
      </w:tr>
      <w:tr w:rsidR="00293BBD" w:rsidRPr="00AA79BB" w14:paraId="76FDD995" w14:textId="77777777">
        <w:tc>
          <w:tcPr>
            <w:tcW w:w="4320" w:type="dxa"/>
          </w:tcPr>
          <w:p w14:paraId="639D34E1" w14:textId="77777777" w:rsidR="00293BBD" w:rsidRDefault="00000000">
            <w:r>
              <w:t>Granularidade fact_itens_pedido</w:t>
            </w:r>
          </w:p>
        </w:tc>
        <w:tc>
          <w:tcPr>
            <w:tcW w:w="4320" w:type="dxa"/>
          </w:tcPr>
          <w:p w14:paraId="2102798D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1 linha por item de pedido. Permite análise por produto, categoria e volume unitário.</w:t>
            </w:r>
          </w:p>
        </w:tc>
      </w:tr>
      <w:tr w:rsidR="00293BBD" w:rsidRPr="00AA79BB" w14:paraId="4C772ED3" w14:textId="77777777">
        <w:tc>
          <w:tcPr>
            <w:tcW w:w="4320" w:type="dxa"/>
          </w:tcPr>
          <w:p w14:paraId="03910E49" w14:textId="77777777" w:rsidR="00293BBD" w:rsidRDefault="00000000">
            <w:r>
              <w:t>Granularidade fact_entregas</w:t>
            </w:r>
          </w:p>
        </w:tc>
        <w:tc>
          <w:tcPr>
            <w:tcW w:w="4320" w:type="dxa"/>
          </w:tcPr>
          <w:p w14:paraId="6EDDC262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1 linha por entrega. Permite taxa de atraso, SLA e evolução logística.</w:t>
            </w:r>
          </w:p>
        </w:tc>
      </w:tr>
      <w:tr w:rsidR="00293BBD" w:rsidRPr="00AA79BB" w14:paraId="4379CDFE" w14:textId="77777777">
        <w:tc>
          <w:tcPr>
            <w:tcW w:w="4320" w:type="dxa"/>
          </w:tcPr>
          <w:p w14:paraId="134C2CFF" w14:textId="77777777" w:rsidR="00293BBD" w:rsidRDefault="00000000">
            <w:r>
              <w:t>Granularidade fact_ocorrencias</w:t>
            </w:r>
          </w:p>
        </w:tc>
        <w:tc>
          <w:tcPr>
            <w:tcW w:w="4320" w:type="dxa"/>
          </w:tcPr>
          <w:p w14:paraId="6C66EC08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1 linha por ticket de atendimento. Permite volume de incidentes por canal, região e período.</w:t>
            </w:r>
          </w:p>
        </w:tc>
      </w:tr>
      <w:tr w:rsidR="00293BBD" w:rsidRPr="00AA79BB" w14:paraId="0AF4B76B" w14:textId="77777777">
        <w:tc>
          <w:tcPr>
            <w:tcW w:w="4320" w:type="dxa"/>
          </w:tcPr>
          <w:p w14:paraId="32E05015" w14:textId="77777777" w:rsidR="00293BBD" w:rsidRDefault="00000000">
            <w:r>
              <w:t>dim_tempo</w:t>
            </w:r>
          </w:p>
        </w:tc>
        <w:tc>
          <w:tcPr>
            <w:tcW w:w="4320" w:type="dxa"/>
          </w:tcPr>
          <w:p w14:paraId="626D020E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1 linha por dia do período 2024-2027. Permite análises sazonais e comparações temporais sem JOIN em strings de data.</w:t>
            </w:r>
          </w:p>
        </w:tc>
      </w:tr>
      <w:tr w:rsidR="00293BBD" w:rsidRPr="00AA79BB" w14:paraId="2520A09E" w14:textId="77777777">
        <w:tc>
          <w:tcPr>
            <w:tcW w:w="4320" w:type="dxa"/>
          </w:tcPr>
          <w:p w14:paraId="692D3FA9" w14:textId="77777777" w:rsidR="00293BBD" w:rsidRDefault="00000000">
            <w:r>
              <w:t>Sem Snowflake</w:t>
            </w:r>
          </w:p>
        </w:tc>
        <w:tc>
          <w:tcPr>
            <w:tcW w:w="4320" w:type="dxa"/>
          </w:tcPr>
          <w:p w14:paraId="07F034A7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 xml:space="preserve">Todas as dimensões são flat (não </w:t>
            </w:r>
            <w:r w:rsidRPr="00AA79BB">
              <w:rPr>
                <w:lang w:val="pt-BR"/>
              </w:rPr>
              <w:lastRenderedPageBreak/>
              <w:t>normalizadas entre si). Padrão Kimball — evita JOINs encadeados no BI.</w:t>
            </w:r>
          </w:p>
        </w:tc>
      </w:tr>
      <w:tr w:rsidR="00293BBD" w:rsidRPr="00AA79BB" w14:paraId="0CB2912B" w14:textId="77777777">
        <w:tc>
          <w:tcPr>
            <w:tcW w:w="4320" w:type="dxa"/>
          </w:tcPr>
          <w:p w14:paraId="6FBE9ED8" w14:textId="77777777" w:rsidR="00293BBD" w:rsidRDefault="00000000">
            <w:r>
              <w:lastRenderedPageBreak/>
              <w:t>Surrogate key inline</w:t>
            </w:r>
          </w:p>
        </w:tc>
        <w:tc>
          <w:tcPr>
            <w:tcW w:w="4320" w:type="dxa"/>
          </w:tcPr>
          <w:p w14:paraId="7EE0AF50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fact_itens_pedido e fact_ocorrencias precisam de order_key. Gerado inline via CTE reproduzindo a fórmula de fact_pedidos — sem dependência em runtime.</w:t>
            </w:r>
          </w:p>
        </w:tc>
      </w:tr>
    </w:tbl>
    <w:p w14:paraId="3977D0E6" w14:textId="77777777" w:rsidR="00293BBD" w:rsidRPr="00AA79BB" w:rsidRDefault="00293BBD">
      <w:pPr>
        <w:rPr>
          <w:lang w:val="pt-BR"/>
        </w:rPr>
      </w:pPr>
    </w:p>
    <w:p w14:paraId="4495DCD3" w14:textId="77777777" w:rsidR="00293BBD" w:rsidRDefault="00000000">
      <w:pPr>
        <w:pStyle w:val="Ttulo1"/>
      </w:pPr>
      <w:r>
        <w:rPr>
          <w:color w:val="1A5376"/>
        </w:rPr>
        <w:t>5. Validações Aplicadas</w:t>
      </w:r>
    </w:p>
    <w:p w14:paraId="44455941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Bronze: contagem de linhas &gt; 0 após ingestão; presença obrigatória de dsRefChave e rastreamento_source.</w:t>
      </w:r>
    </w:p>
    <w:p w14:paraId="337DDAD8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Silver: ausência de duplicatas na chave natural (order_id, product_id, etc.); sem nulos em colunas de chave.</w:t>
      </w:r>
    </w:p>
    <w:p w14:paraId="7E416E33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Gold Dims: unicidade da chave natural (customer_code, product_id, etc.); surrogate key sequencial e sem gaps.</w:t>
      </w:r>
    </w:p>
    <w:p w14:paraId="2F2DA3A6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Gold Facts: chaves estrangeiras presentes nas dimensões correspondentes; valores monetários não negativos.</w:t>
      </w:r>
    </w:p>
    <w:p w14:paraId="04EBDA5F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lang w:val="pt-BR"/>
        </w:rPr>
        <w:t>Analytics: 5 queries de negócio executadas com sucesso — validação funcional end-to-end do modelo.</w:t>
      </w:r>
    </w:p>
    <w:p w14:paraId="6725116D" w14:textId="77777777" w:rsidR="00293BBD" w:rsidRPr="00AA79BB" w:rsidRDefault="00293BBD">
      <w:pPr>
        <w:rPr>
          <w:lang w:val="pt-BR"/>
        </w:rPr>
      </w:pPr>
    </w:p>
    <w:p w14:paraId="141A752B" w14:textId="77777777" w:rsidR="00293BBD" w:rsidRDefault="00000000">
      <w:pPr>
        <w:pStyle w:val="Ttulo1"/>
      </w:pPr>
      <w:r>
        <w:rPr>
          <w:color w:val="1A5376"/>
        </w:rPr>
        <w:t>6. Limitações da Solução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3BBD" w14:paraId="0397ECB4" w14:textId="77777777">
        <w:tc>
          <w:tcPr>
            <w:tcW w:w="4320" w:type="dxa"/>
          </w:tcPr>
          <w:p w14:paraId="560D9BAE" w14:textId="77777777" w:rsidR="00293BBD" w:rsidRDefault="00000000">
            <w:r>
              <w:rPr>
                <w:b/>
              </w:rPr>
              <w:t>Limitação</w:t>
            </w:r>
          </w:p>
        </w:tc>
        <w:tc>
          <w:tcPr>
            <w:tcW w:w="4320" w:type="dxa"/>
          </w:tcPr>
          <w:p w14:paraId="631A50BA" w14:textId="77777777" w:rsidR="00293BBD" w:rsidRDefault="00000000">
            <w:r>
              <w:rPr>
                <w:b/>
              </w:rPr>
              <w:t>Impacto e contexto</w:t>
            </w:r>
          </w:p>
        </w:tc>
      </w:tr>
      <w:tr w:rsidR="00293BBD" w:rsidRPr="00AA79BB" w14:paraId="7C70C227" w14:textId="77777777">
        <w:tc>
          <w:tcPr>
            <w:tcW w:w="4320" w:type="dxa"/>
          </w:tcPr>
          <w:p w14:paraId="766075E7" w14:textId="77777777" w:rsidR="00293BBD" w:rsidRDefault="00000000">
            <w:r>
              <w:t>SCD não implementado</w:t>
            </w:r>
          </w:p>
        </w:tc>
        <w:tc>
          <w:tcPr>
            <w:tcW w:w="4320" w:type="dxa"/>
          </w:tcPr>
          <w:p w14:paraId="6D9807D1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dim_clientes e dim_vendedores são do tipo SCD 1 (sobrescreve). Alterações históricas em cadastros não são preservadas.</w:t>
            </w:r>
          </w:p>
        </w:tc>
      </w:tr>
      <w:tr w:rsidR="00293BBD" w:rsidRPr="00AA79BB" w14:paraId="0A4ED604" w14:textId="77777777">
        <w:tc>
          <w:tcPr>
            <w:tcW w:w="4320" w:type="dxa"/>
          </w:tcPr>
          <w:p w14:paraId="0CD53B4C" w14:textId="77777777" w:rsidR="00293BBD" w:rsidRDefault="00000000">
            <w:r>
              <w:t>Sem camada gold_agg</w:t>
            </w:r>
          </w:p>
        </w:tc>
        <w:tc>
          <w:tcPr>
            <w:tcW w:w="4320" w:type="dxa"/>
          </w:tcPr>
          <w:p w14:paraId="6B508017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Dashboards que agregam por mês/canal/região varreram toda a fact em cada consulta — latência maior em datasets grandes.</w:t>
            </w:r>
          </w:p>
        </w:tc>
      </w:tr>
      <w:tr w:rsidR="00293BBD" w:rsidRPr="00AA79BB" w14:paraId="4B0E26EC" w14:textId="77777777">
        <w:tc>
          <w:tcPr>
            <w:tcW w:w="4320" w:type="dxa"/>
          </w:tcPr>
          <w:p w14:paraId="0D74FB0C" w14:textId="77777777" w:rsidR="00293BBD" w:rsidRDefault="00000000">
            <w:r>
              <w:t>dim_tempo estática</w:t>
            </w:r>
          </w:p>
        </w:tc>
        <w:tc>
          <w:tcPr>
            <w:tcW w:w="4320" w:type="dxa"/>
          </w:tcPr>
          <w:p w14:paraId="5BCFB98C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Gerada para o período 2024-2027. Requer atualização manual para datas além desse range.</w:t>
            </w:r>
          </w:p>
        </w:tc>
      </w:tr>
      <w:tr w:rsidR="00293BBD" w:rsidRPr="00AA79BB" w14:paraId="432D54BC" w14:textId="77777777">
        <w:tc>
          <w:tcPr>
            <w:tcW w:w="4320" w:type="dxa"/>
          </w:tcPr>
          <w:p w14:paraId="3C1A5D6A" w14:textId="77777777" w:rsidR="00293BBD" w:rsidRDefault="00000000">
            <w:r>
              <w:t>Ambiente Free Edition</w:t>
            </w:r>
          </w:p>
        </w:tc>
        <w:tc>
          <w:tcPr>
            <w:tcW w:w="4320" w:type="dxa"/>
          </w:tcPr>
          <w:p w14:paraId="5A7E87D1" w14:textId="77777777" w:rsidR="00293BBD" w:rsidRPr="00AA79BB" w:rsidRDefault="00000000">
            <w:pPr>
              <w:rPr>
                <w:lang w:val="pt-BR"/>
              </w:rPr>
            </w:pPr>
            <w:r w:rsidRPr="00AA79BB">
              <w:rPr>
                <w:lang w:val="pt-BR"/>
              </w:rPr>
              <w:t>Sem suporte a clusters dedicados — execução serverless com limitações de tempo e recursos por sessão.</w:t>
            </w:r>
          </w:p>
        </w:tc>
      </w:tr>
    </w:tbl>
    <w:p w14:paraId="3D189B25" w14:textId="77777777" w:rsidR="00293BBD" w:rsidRPr="00AA79BB" w:rsidRDefault="00293BBD">
      <w:pPr>
        <w:rPr>
          <w:lang w:val="pt-BR"/>
        </w:rPr>
      </w:pPr>
    </w:p>
    <w:p w14:paraId="7404B507" w14:textId="77777777" w:rsidR="00293BBD" w:rsidRDefault="00000000">
      <w:pPr>
        <w:pStyle w:val="Ttulo1"/>
      </w:pPr>
      <w:r>
        <w:rPr>
          <w:color w:val="1A5376"/>
        </w:rPr>
        <w:t>7. Sugestões de Evolução</w:t>
      </w:r>
    </w:p>
    <w:p w14:paraId="73A1BE88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b/>
          <w:lang w:val="pt-BR"/>
        </w:rPr>
        <w:t xml:space="preserve">SCD Tipo 2 em dim_clientes e dim_vendedores: </w:t>
      </w:r>
      <w:r w:rsidRPr="00AA79BB">
        <w:rPr>
          <w:lang w:val="pt-BR"/>
        </w:rPr>
        <w:t>Preserva histórico de alterações cadastrais (endereço, segmento, região) para análises retrospectivas — "como era em tal data".</w:t>
      </w:r>
    </w:p>
    <w:p w14:paraId="1F176450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b/>
          <w:lang w:val="pt-BR"/>
        </w:rPr>
        <w:lastRenderedPageBreak/>
        <w:t xml:space="preserve">Camada gold_agg com tabelas pré-agregadas: </w:t>
      </w:r>
      <w:r w:rsidRPr="00AA79BB">
        <w:rPr>
          <w:lang w:val="pt-BR"/>
        </w:rPr>
        <w:t>Agrega por mês, canal e região. Reduz latência de dashboards de centenas para dezenas de milissegundos.</w:t>
      </w:r>
    </w:p>
    <w:p w14:paraId="5F70231B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b/>
          <w:lang w:val="pt-BR"/>
        </w:rPr>
        <w:t xml:space="preserve">Lakeflow Spark Declarative Pipelines: </w:t>
      </w:r>
      <w:r w:rsidRPr="00AA79BB">
        <w:rPr>
          <w:lang w:val="pt-BR"/>
        </w:rPr>
        <w:t>Substitui o fluxo MERGE manual por pipelines declarativas com expectativas de qualidade nativas (expect_or_drop) — menos código, mais governança.</w:t>
      </w:r>
    </w:p>
    <w:p w14:paraId="6BFFBF0A" w14:textId="77777777" w:rsidR="00293BBD" w:rsidRPr="00AA79BB" w:rsidRDefault="00000000">
      <w:pPr>
        <w:pStyle w:val="Commarcadores"/>
        <w:rPr>
          <w:lang w:val="pt-BR"/>
        </w:rPr>
      </w:pPr>
      <w:r w:rsidRPr="00AA79BB">
        <w:rPr>
          <w:b/>
          <w:lang w:val="pt-BR"/>
        </w:rPr>
        <w:t xml:space="preserve">Testes de qualidade com Great Expectations ou Databricks DQ: </w:t>
      </w:r>
      <w:r w:rsidRPr="00AA79BB">
        <w:rPr>
          <w:lang w:val="pt-BR"/>
        </w:rPr>
        <w:t>Regras de completude, unicidade e integridade referencial executadas antes da carga Gold, com alertas configuráveis.</w:t>
      </w:r>
    </w:p>
    <w:p w14:paraId="78F72A8D" w14:textId="0E9603A2" w:rsidR="007959E3" w:rsidRPr="007959E3" w:rsidRDefault="00000000" w:rsidP="007959E3">
      <w:pPr>
        <w:pStyle w:val="Commarcadores"/>
        <w:rPr>
          <w:lang w:val="pt-BR"/>
        </w:rPr>
      </w:pPr>
      <w:r w:rsidRPr="00AA79BB">
        <w:rPr>
          <w:b/>
          <w:lang w:val="pt-BR"/>
        </w:rPr>
        <w:t xml:space="preserve">Catálogo de dados via Unity Catalog: </w:t>
      </w:r>
      <w:r w:rsidRPr="00AA79BB">
        <w:rPr>
          <w:lang w:val="pt-BR"/>
        </w:rPr>
        <w:t>COMMENT ON TABLE/COLUMN nas tabelas Gold — autodocumentação navegável pelo analista de BI sem depender do engenheiro.</w:t>
      </w:r>
    </w:p>
    <w:p w14:paraId="6C84E536" w14:textId="0F812C12" w:rsidR="007959E3" w:rsidRDefault="007959E3">
      <w:pPr>
        <w:rPr>
          <w:lang w:val="pt-BR"/>
        </w:rPr>
      </w:pPr>
    </w:p>
    <w:p w14:paraId="7335A7C8" w14:textId="0A86B2C5" w:rsidR="00293BBD" w:rsidRPr="00AA79BB" w:rsidRDefault="00000000">
      <w:pPr>
        <w:rPr>
          <w:lang w:val="pt-BR"/>
        </w:rPr>
      </w:pPr>
      <w:r w:rsidRPr="00AA79BB">
        <w:rPr>
          <w:lang w:val="pt-BR"/>
        </w:rPr>
        <w:t>Repositório: https://github.com/techronnan/case_data_engineering_20052026</w:t>
      </w:r>
    </w:p>
    <w:sectPr w:rsidR="00293BBD" w:rsidRPr="00AA7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61328F"/>
    <w:multiLevelType w:val="multilevel"/>
    <w:tmpl w:val="97201E0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14243220">
    <w:abstractNumId w:val="8"/>
  </w:num>
  <w:num w:numId="2" w16cid:durableId="1311834271">
    <w:abstractNumId w:val="6"/>
  </w:num>
  <w:num w:numId="3" w16cid:durableId="23482932">
    <w:abstractNumId w:val="5"/>
  </w:num>
  <w:num w:numId="4" w16cid:durableId="295334145">
    <w:abstractNumId w:val="4"/>
  </w:num>
  <w:num w:numId="5" w16cid:durableId="517617229">
    <w:abstractNumId w:val="7"/>
  </w:num>
  <w:num w:numId="6" w16cid:durableId="1413241433">
    <w:abstractNumId w:val="3"/>
  </w:num>
  <w:num w:numId="7" w16cid:durableId="1330868240">
    <w:abstractNumId w:val="2"/>
  </w:num>
  <w:num w:numId="8" w16cid:durableId="1815020364">
    <w:abstractNumId w:val="1"/>
  </w:num>
  <w:num w:numId="9" w16cid:durableId="62148574">
    <w:abstractNumId w:val="0"/>
  </w:num>
  <w:num w:numId="10" w16cid:durableId="371465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BBD"/>
    <w:rsid w:val="0029639D"/>
    <w:rsid w:val="00322BC2"/>
    <w:rsid w:val="00326F90"/>
    <w:rsid w:val="007959E3"/>
    <w:rsid w:val="00AA1D8D"/>
    <w:rsid w:val="00AA79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09D965"/>
  <w14:defaultImageDpi w14:val="300"/>
  <w15:docId w15:val="{303E2B60-6B1B-4551-BEE5-1672E514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9BB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1187</Words>
  <Characters>6411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RONNAN CONCEIÇÃO LIMA</cp:lastModifiedBy>
  <cp:revision>2</cp:revision>
  <dcterms:created xsi:type="dcterms:W3CDTF">2013-12-23T23:15:00Z</dcterms:created>
  <dcterms:modified xsi:type="dcterms:W3CDTF">2026-05-25T19:26:00Z</dcterms:modified>
  <cp:category/>
</cp:coreProperties>
</file>