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TechNotes Backend Architecture</w:t>
        <w:br/>
        <w:t>&amp; Implementation Blueprint</w:t>
      </w:r>
    </w:p>
    <w:p>
      <w:pPr>
        <w:jc w:val="center"/>
      </w:pPr>
      <w:r>
        <w:rPr>
          <w:b/>
          <w:sz w:val="22"/>
        </w:rPr>
        <w:t>Version 1.0 | Backend-only architecture handover document</w:t>
      </w:r>
    </w:p>
    <w:p>
      <w:pPr>
        <w:jc w:val="center"/>
      </w:pPr>
      <w:r>
        <w:t>Purpose: a single source of truth that another developer or another ChatGPT account can read and understand end-to-end without relying on previous chat history.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</w:rPr>
              <w:t xml:space="preserve">Document status: </w:t>
            </w:r>
            <w:r>
              <w:t>This document separates (A) decisions already present in the current Notes Service and User/OAuth specifications from (B) proposed future additions such as subscriptions, payments, Kafka consumers, search, media, Kubernetes and AWS evolution.</w:t>
            </w:r>
          </w:p>
        </w:tc>
      </w:tr>
    </w:tbl>
    <w:p/>
    <w:p>
      <w:pPr>
        <w:pStyle w:val="Heading1"/>
      </w:pPr>
      <w:r>
        <w:t>1. Product Objective</w:t>
      </w:r>
    </w:p>
    <w:p>
      <w:r>
        <w:t>TechNotes is a production-oriented technical learning platform built as a Java/Spring Boot microservices system. It serves two goals at the same time: (1) a real web product for technical notes, and (2) a hands-on interview/practice project covering modern backend architecture, security, data, messaging, containers, orchestration, CI/CD and cloud deployment.</w:t>
      </w:r>
    </w:p>
    <w:p>
      <w:pPr>
        <w:pStyle w:val="ListBullet"/>
        <w:ind w:left="0"/>
      </w:pPr>
      <w:r>
        <w:t>Primary content: structured technical notes such as Java → Core Java → Collections → ArrayList → detailed note.</w:t>
      </w:r>
    </w:p>
    <w:p>
      <w:pPr>
        <w:pStyle w:val="ListBullet"/>
        <w:ind w:left="0"/>
      </w:pPr>
      <w:r>
        <w:t>Initial product capability: authenticated authoring and controlled reading through a secure API platform.</w:t>
      </w:r>
    </w:p>
    <w:p>
      <w:pPr>
        <w:pStyle w:val="ListBullet"/>
        <w:ind w:left="0"/>
      </w:pPr>
      <w:r>
        <w:t>Future business capability: some content free, some premium behind a low-cost monthly subscription.</w:t>
      </w:r>
    </w:p>
    <w:p>
      <w:pPr>
        <w:pStyle w:val="ListBullet"/>
        <w:ind w:left="0"/>
      </w:pPr>
      <w:r>
        <w:t>Architecture learning goals: OAuth2/OIDC, JWT, Spring Cloud, MongoDB, PostgreSQL, Kafka, Outbox Pattern, Docker, Kubernetes, CI/CD, AWS, observability, resilience and search.</w:t>
      </w:r>
    </w:p>
    <w:p>
      <w:pPr>
        <w:pStyle w:val="Heading1"/>
      </w:pPr>
      <w:r>
        <w:t>2. Architectural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040"/>
          </w:tcPr>
          <w:p>
            <w:r>
              <w:t>Service ownership</w:t>
            </w:r>
          </w:p>
        </w:tc>
        <w:tc>
          <w:tcPr>
            <w:tcW w:type="dxa" w:w="5040"/>
          </w:tcPr>
          <w:p>
            <w:r>
              <w:t>Each service owns its own business capability and persistence. No service directly reads another service's database.</w:t>
            </w:r>
          </w:p>
        </w:tc>
      </w:tr>
      <w:tr>
        <w:tc>
          <w:tcPr>
            <w:tcW w:type="dxa" w:w="5040"/>
          </w:tcPr>
          <w:p>
            <w:r>
              <w:t>Identity boundary</w:t>
            </w:r>
          </w:p>
        </w:tc>
        <w:tc>
          <w:tcPr>
            <w:tcW w:type="dxa" w:w="5040"/>
          </w:tcPr>
          <w:p>
            <w:r>
              <w:t>User/OAuth Service owns users, roles, OAuth/OIDC and token issuance. Notes Service consumes validated identity claims and does not own passwords.</w:t>
            </w:r>
          </w:p>
        </w:tc>
      </w:tr>
      <w:tr>
        <w:tc>
          <w:tcPr>
            <w:tcW w:type="dxa" w:w="5040"/>
          </w:tcPr>
          <w:p>
            <w:r>
              <w:t>Content boundary</w:t>
            </w:r>
          </w:p>
        </w:tc>
        <w:tc>
          <w:tcPr>
            <w:tcW w:type="dxa" w:w="5040"/>
          </w:tcPr>
          <w:p>
            <w:r>
              <w:t>Notes Service owns taxonomy, note content, ownership checks, editing and publication rules.</w:t>
            </w:r>
          </w:p>
        </w:tc>
      </w:tr>
      <w:tr>
        <w:tc>
          <w:tcPr>
            <w:tcW w:type="dxa" w:w="5040"/>
          </w:tcPr>
          <w:p>
            <w:r>
              <w:t>Gateway boundary</w:t>
            </w:r>
          </w:p>
        </w:tc>
        <w:tc>
          <w:tcPr>
            <w:tcW w:type="dxa" w:w="5040"/>
          </w:tcPr>
          <w:p>
            <w:r>
              <w:t>API Gateway is the business API entry point. OAuth protocol endpoints remain tied to the authorization issuer rather than being arbitrarily rewritten.</w:t>
            </w:r>
          </w:p>
        </w:tc>
      </w:tr>
      <w:tr>
        <w:tc>
          <w:tcPr>
            <w:tcW w:type="dxa" w:w="5040"/>
          </w:tcPr>
          <w:p>
            <w:r>
              <w:t>Synchronous first, asynchronous where useful</w:t>
            </w:r>
          </w:p>
        </w:tc>
        <w:tc>
          <w:tcPr>
            <w:tcW w:type="dxa" w:w="5040"/>
          </w:tcPr>
          <w:p>
            <w:r>
              <w:t>Immediate request/response operations use HTTP. Background fan-out and decoupled integration use Kafka later.</w:t>
            </w:r>
          </w:p>
        </w:tc>
      </w:tr>
      <w:tr>
        <w:tc>
          <w:tcPr>
            <w:tcW w:type="dxa" w:w="5040"/>
          </w:tcPr>
          <w:p>
            <w:r>
              <w:t>Security in every service</w:t>
            </w:r>
          </w:p>
        </w:tc>
        <w:tc>
          <w:tcPr>
            <w:tcW w:type="dxa" w:w="5040"/>
          </w:tcPr>
          <w:p>
            <w:r>
              <w:t>Gateway routing does not replace downstream authorization. Resource services validate tokens and enforce scope/role/ownership rules.</w:t>
            </w:r>
          </w:p>
        </w:tc>
      </w:tr>
      <w:tr>
        <w:tc>
          <w:tcPr>
            <w:tcW w:type="dxa" w:w="5040"/>
          </w:tcPr>
          <w:p>
            <w:r>
              <w:t>Progressive complexity</w:t>
            </w:r>
          </w:p>
        </w:tc>
        <w:tc>
          <w:tcPr>
            <w:tcW w:type="dxa" w:w="5040"/>
          </w:tcPr>
          <w:p>
            <w:r>
              <w:t>Do not introduce Kafka, Kubernetes, search or premium billing before the secure core MVP is stable.</w:t>
            </w:r>
          </w:p>
        </w:tc>
      </w:tr>
    </w:tbl>
    <w:p>
      <w:pPr>
        <w:pStyle w:val="Heading1"/>
      </w:pPr>
      <w:r>
        <w:t>3. Target Backend Service Landscape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</w:rPr>
              <w:t>Primary persistence</w:t>
            </w:r>
          </w:p>
        </w:tc>
      </w:tr>
      <w:tr>
        <w:tc>
          <w:tcPr>
            <w:tcW w:type="dxa" w:w="2520"/>
          </w:tcPr>
          <w:p>
            <w:r>
              <w:t>API Gateway</w:t>
            </w:r>
          </w:p>
        </w:tc>
        <w:tc>
          <w:tcPr>
            <w:tcW w:type="dxa" w:w="2520"/>
          </w:tcPr>
          <w:p>
            <w:r>
              <w:t>Core</w:t>
            </w:r>
          </w:p>
        </w:tc>
        <w:tc>
          <w:tcPr>
            <w:tcW w:type="dxa" w:w="2520"/>
          </w:tcPr>
          <w:p>
            <w:r>
              <w:t>Routing, edge CORS, service entry point, token forwarding; may perform coarse-grained security checks</w:t>
            </w:r>
          </w:p>
        </w:tc>
        <w:tc>
          <w:tcPr>
            <w:tcW w:type="dxa" w:w="2520"/>
          </w:tcPr>
          <w:p>
            <w:r>
              <w:t>No business DB</w:t>
            </w:r>
          </w:p>
        </w:tc>
      </w:tr>
      <w:tr>
        <w:tc>
          <w:tcPr>
            <w:tcW w:type="dxa" w:w="2520"/>
          </w:tcPr>
          <w:p>
            <w:r>
              <w:t>User/OAuth Service</w:t>
            </w:r>
          </w:p>
        </w:tc>
        <w:tc>
          <w:tcPr>
            <w:tcW w:type="dxa" w:w="2520"/>
          </w:tcPr>
          <w:p>
            <w:r>
              <w:t>Core</w:t>
            </w:r>
          </w:p>
        </w:tc>
        <w:tc>
          <w:tcPr>
            <w:tcW w:type="dxa" w:w="2520"/>
          </w:tcPr>
          <w:p>
            <w:r>
              <w:t>Users, profiles, roles, OAuth2/OIDC authorization server, JWT issuance, client registrations</w:t>
            </w:r>
          </w:p>
        </w:tc>
        <w:tc>
          <w:tcPr>
            <w:tcW w:type="dxa" w:w="2520"/>
          </w:tcPr>
          <w:p>
            <w:r>
              <w:t>PostgreSQL</w:t>
            </w:r>
          </w:p>
        </w:tc>
      </w:tr>
      <w:tr>
        <w:tc>
          <w:tcPr>
            <w:tcW w:type="dxa" w:w="2520"/>
          </w:tcPr>
          <w:p>
            <w:r>
              <w:t>Notes Service</w:t>
            </w:r>
          </w:p>
        </w:tc>
        <w:tc>
          <w:tcPr>
            <w:tcW w:type="dxa" w:w="2520"/>
          </w:tcPr>
          <w:p>
            <w:r>
              <w:t>Core</w:t>
            </w:r>
          </w:p>
        </w:tc>
        <w:tc>
          <w:tcPr>
            <w:tcW w:type="dxa" w:w="2520"/>
          </w:tcPr>
          <w:p>
            <w:r>
              <w:t>Recursive taxonomy, notes, author ownership, draft CRUD, editorial/publication rules</w:t>
            </w:r>
          </w:p>
        </w:tc>
        <w:tc>
          <w:tcPr>
            <w:tcW w:type="dxa" w:w="2520"/>
          </w:tcPr>
          <w:p>
            <w:r>
              <w:t>MongoDB</w:t>
            </w:r>
          </w:p>
        </w:tc>
      </w:tr>
      <w:tr>
        <w:tc>
          <w:tcPr>
            <w:tcW w:type="dxa" w:w="2520"/>
          </w:tcPr>
          <w:p>
            <w:r>
              <w:t>Config Server</w:t>
            </w:r>
          </w:p>
        </w:tc>
        <w:tc>
          <w:tcPr>
            <w:tcW w:type="dxa" w:w="2520"/>
          </w:tcPr>
          <w:p>
            <w:r>
              <w:t>Core infrastructure</w:t>
            </w:r>
          </w:p>
        </w:tc>
        <w:tc>
          <w:tcPr>
            <w:tcW w:type="dxa" w:w="2520"/>
          </w:tcPr>
          <w:p>
            <w:r>
              <w:t>Centralized external configuration</w:t>
            </w:r>
          </w:p>
        </w:tc>
        <w:tc>
          <w:tcPr>
            <w:tcW w:type="dxa" w:w="2520"/>
          </w:tcPr>
          <w:p>
            <w:r>
              <w:t>Config repository / external source</w:t>
            </w:r>
          </w:p>
        </w:tc>
      </w:tr>
      <w:tr>
        <w:tc>
          <w:tcPr>
            <w:tcW w:type="dxa" w:w="2520"/>
          </w:tcPr>
          <w:p>
            <w:r>
              <w:t>Eureka Server</w:t>
            </w:r>
          </w:p>
        </w:tc>
        <w:tc>
          <w:tcPr>
            <w:tcW w:type="dxa" w:w="2520"/>
          </w:tcPr>
          <w:p>
            <w:r>
              <w:t>Core infrastructure</w:t>
            </w:r>
          </w:p>
        </w:tc>
        <w:tc>
          <w:tcPr>
            <w:tcW w:type="dxa" w:w="2520"/>
          </w:tcPr>
          <w:p>
            <w:r>
              <w:t>Service registration and discovery</w:t>
            </w:r>
          </w:p>
        </w:tc>
        <w:tc>
          <w:tcPr>
            <w:tcW w:type="dxa" w:w="2520"/>
          </w:tcPr>
          <w:p>
            <w:r>
              <w:t>No business DB</w:t>
            </w:r>
          </w:p>
        </w:tc>
      </w:tr>
      <w:tr>
        <w:tc>
          <w:tcPr>
            <w:tcW w:type="dxa" w:w="2520"/>
          </w:tcPr>
          <w:p>
            <w:r>
              <w:t>Media Service</w:t>
            </w:r>
          </w:p>
        </w:tc>
        <w:tc>
          <w:tcPr>
            <w:tcW w:type="dxa" w:w="2520"/>
          </w:tcPr>
          <w:p>
            <w:r>
              <w:t>Future</w:t>
            </w:r>
          </w:p>
        </w:tc>
        <w:tc>
          <w:tcPr>
            <w:tcW w:type="dxa" w:w="2520"/>
          </w:tcPr>
          <w:p>
            <w:r>
              <w:t>Images, PDFs, attachment validation and references</w:t>
            </w:r>
          </w:p>
        </w:tc>
        <w:tc>
          <w:tcPr>
            <w:tcW w:type="dxa" w:w="2520"/>
          </w:tcPr>
          <w:p>
            <w:r>
              <w:t>Metadata DB + MinIO locally / S3 later</w:t>
            </w:r>
          </w:p>
        </w:tc>
      </w:tr>
      <w:tr>
        <w:tc>
          <w:tcPr>
            <w:tcW w:type="dxa" w:w="2520"/>
          </w:tcPr>
          <w:p>
            <w:r>
              <w:t>Search Service</w:t>
            </w:r>
          </w:p>
        </w:tc>
        <w:tc>
          <w:tcPr>
            <w:tcW w:type="dxa" w:w="2520"/>
          </w:tcPr>
          <w:p>
            <w:r>
              <w:t>Future</w:t>
            </w:r>
          </w:p>
        </w:tc>
        <w:tc>
          <w:tcPr>
            <w:tcW w:type="dxa" w:w="2520"/>
          </w:tcPr>
          <w:p>
            <w:r>
              <w:t>Full-text search and read-optimized search index</w:t>
            </w:r>
          </w:p>
        </w:tc>
        <w:tc>
          <w:tcPr>
            <w:tcW w:type="dxa" w:w="2520"/>
          </w:tcPr>
          <w:p>
            <w:r>
              <w:t>Elasticsearch/OpenSearch-style index</w:t>
            </w:r>
          </w:p>
        </w:tc>
      </w:tr>
      <w:tr>
        <w:tc>
          <w:tcPr>
            <w:tcW w:type="dxa" w:w="2520"/>
          </w:tcPr>
          <w:p>
            <w:r>
              <w:t>Subscription/Billing Service</w:t>
            </w:r>
          </w:p>
        </w:tc>
        <w:tc>
          <w:tcPr>
            <w:tcW w:type="dxa" w:w="2520"/>
          </w:tcPr>
          <w:p>
            <w:r>
              <w:t>Proposed future</w:t>
            </w:r>
          </w:p>
        </w:tc>
        <w:tc>
          <w:tcPr>
            <w:tcW w:type="dxa" w:w="2520"/>
          </w:tcPr>
          <w:p>
            <w:r>
              <w:t>Plans, subscriptions, payment provider integration and entitlement state</w:t>
            </w:r>
          </w:p>
        </w:tc>
        <w:tc>
          <w:tcPr>
            <w:tcW w:type="dxa" w:w="2520"/>
          </w:tcPr>
          <w:p>
            <w:r>
              <w:t>PostgreSQL</w:t>
            </w:r>
          </w:p>
        </w:tc>
      </w:tr>
      <w:tr>
        <w:tc>
          <w:tcPr>
            <w:tcW w:type="dxa" w:w="2520"/>
          </w:tcPr>
          <w:p>
            <w:r>
              <w:t>Notification Service</w:t>
            </w:r>
          </w:p>
        </w:tc>
        <w:tc>
          <w:tcPr>
            <w:tcW w:type="dxa" w:w="2520"/>
          </w:tcPr>
          <w:p>
            <w:r>
              <w:t>Future</w:t>
            </w:r>
          </w:p>
        </w:tc>
        <w:tc>
          <w:tcPr>
            <w:tcW w:type="dxa" w:w="2520"/>
          </w:tcPr>
          <w:p>
            <w:r>
              <w:t>Email/in-app notifications triggered by domain events</w:t>
            </w:r>
          </w:p>
        </w:tc>
        <w:tc>
          <w:tcPr>
            <w:tcW w:type="dxa" w:w="2520"/>
          </w:tcPr>
          <w:p>
            <w:r>
              <w:t>Own store as needed</w:t>
            </w:r>
          </w:p>
        </w:tc>
      </w:tr>
      <w:tr>
        <w:tc>
          <w:tcPr>
            <w:tcW w:type="dxa" w:w="2520"/>
          </w:tcPr>
          <w:p>
            <w:r>
              <w:t>Analytics/Audit Consumers</w:t>
            </w:r>
          </w:p>
        </w:tc>
        <w:tc>
          <w:tcPr>
            <w:tcW w:type="dxa" w:w="2520"/>
          </w:tcPr>
          <w:p>
            <w:r>
              <w:t>Future</w:t>
            </w:r>
          </w:p>
        </w:tc>
        <w:tc>
          <w:tcPr>
            <w:tcW w:type="dxa" w:w="2520"/>
          </w:tcPr>
          <w:p>
            <w:r>
              <w:t>Product/event analytics and operational audit projections</w:t>
            </w:r>
          </w:p>
        </w:tc>
        <w:tc>
          <w:tcPr>
            <w:tcW w:type="dxa" w:w="2520"/>
          </w:tcPr>
          <w:p>
            <w:r>
              <w:t>Own analytics store as needed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</w:rPr>
              <w:t xml:space="preserve">Important current decision: </w:t>
            </w:r>
            <w:r>
              <w:t>In the current Notes Service specification, “subcategory” and “topic” are UI concepts over one recursive categories collection. There is no separate Topic Service and no separate topics collection in v1.</w:t>
            </w:r>
          </w:p>
        </w:tc>
      </w:tr>
    </w:tbl>
    <w:p/>
    <w:p>
      <w:pPr>
        <w:pStyle w:val="Heading1"/>
      </w:pPr>
      <w:r>
        <w:t>4. High-Level Backend Topology</w:t>
      </w:r>
    </w:p>
    <w:p>
      <w:pPr>
        <w:pStyle w:val="CodeBlock"/>
        <w:keepNext w:val="0"/>
      </w:pPr>
      <w:r>
        <w:t xml:space="preserve">                        ┌──────────────────────────┐</w:t>
      </w:r>
    </w:p>
    <w:p>
      <w:pPr>
        <w:pStyle w:val="CodeBlock"/>
        <w:keepNext w:val="0"/>
      </w:pPr>
      <w:r>
        <w:t xml:space="preserve">                        │   React / API Clients    │</w:t>
      </w:r>
    </w:p>
    <w:p>
      <w:pPr>
        <w:pStyle w:val="CodeBlock"/>
        <w:keepNext w:val="0"/>
      </w:pPr>
      <w:r>
        <w:t xml:space="preserve">                        └────────────┬─────────────┘</w:t>
      </w:r>
    </w:p>
    <w:p>
      <w:pPr>
        <w:pStyle w:val="CodeBlock"/>
        <w:keepNext w:val="0"/>
      </w:pPr>
      <w:r>
        <w:t xml:space="preserve">                                     │ HTTPS</w:t>
      </w:r>
    </w:p>
    <w:p>
      <w:pPr>
        <w:pStyle w:val="CodeBlock"/>
        <w:keepNext w:val="0"/>
      </w:pPr>
      <w:r>
        <w:t xml:space="preserve">                                     ▼</w:t>
      </w:r>
    </w:p>
    <w:p>
      <w:pPr>
        <w:pStyle w:val="CodeBlock"/>
        <w:keepNext w:val="0"/>
      </w:pPr>
      <w:r>
        <w:t xml:space="preserve">                        ┌──────────────────────────┐</w:t>
      </w:r>
    </w:p>
    <w:p>
      <w:pPr>
        <w:pStyle w:val="CodeBlock"/>
        <w:keepNext w:val="0"/>
      </w:pPr>
      <w:r>
        <w:t xml:space="preserve">                        │       API Gateway        │</w:t>
      </w:r>
    </w:p>
    <w:p>
      <w:pPr>
        <w:pStyle w:val="CodeBlock"/>
        <w:keepNext w:val="0"/>
      </w:pPr>
      <w:r>
        <w:t xml:space="preserve">                        │ routing / edge policies  │</w:t>
      </w:r>
    </w:p>
    <w:p>
      <w:pPr>
        <w:pStyle w:val="CodeBlock"/>
        <w:keepNext w:val="0"/>
      </w:pPr>
      <w:r>
        <w:t xml:space="preserve">                        └───────┬─────────┬────────┘</w:t>
      </w:r>
    </w:p>
    <w:p>
      <w:pPr>
        <w:pStyle w:val="CodeBlock"/>
        <w:keepNext w:val="0"/>
      </w:pPr>
      <w:r>
        <w:t xml:space="preserve">                                │         │</w:t>
      </w:r>
    </w:p>
    <w:p>
      <w:pPr>
        <w:pStyle w:val="CodeBlock"/>
        <w:keepNext w:val="0"/>
      </w:pPr>
      <w:r>
        <w:t xml:space="preserve">                         HTTP   │         │   HTTP</w:t>
      </w:r>
    </w:p>
    <w:p>
      <w:pPr>
        <w:pStyle w:val="CodeBlock"/>
        <w:keepNext w:val="0"/>
      </w:pPr>
      <w:r>
        <w:t xml:space="preserve">                                ▼         ▼</w:t>
      </w:r>
    </w:p>
    <w:p>
      <w:pPr>
        <w:pStyle w:val="CodeBlock"/>
        <w:keepNext w:val="0"/>
      </w:pPr>
      <w:r>
        <w:t xml:space="preserve">                  ┌────────────────┐   ┌────────────────┐</w:t>
      </w:r>
    </w:p>
    <w:p>
      <w:pPr>
        <w:pStyle w:val="CodeBlock"/>
        <w:keepNext w:val="0"/>
      </w:pPr>
      <w:r>
        <w:t xml:space="preserve">                  │ User / OAuth   │   │  Notes Service │</w:t>
      </w:r>
    </w:p>
    <w:p>
      <w:pPr>
        <w:pStyle w:val="CodeBlock"/>
        <w:keepNext w:val="0"/>
      </w:pPr>
      <w:r>
        <w:t xml:space="preserve">                  │ Service :9000  │   │     :8081      │</w:t>
      </w:r>
    </w:p>
    <w:p>
      <w:pPr>
        <w:pStyle w:val="CodeBlock"/>
        <w:keepNext w:val="0"/>
      </w:pPr>
      <w:r>
        <w:t xml:space="preserve">                  └───────┬────────┘   └───────┬────────┘</w:t>
      </w:r>
    </w:p>
    <w:p>
      <w:pPr>
        <w:pStyle w:val="CodeBlock"/>
        <w:keepNext w:val="0"/>
      </w:pPr>
      <w:r>
        <w:t xml:space="preserve">                          │                    │</w:t>
      </w:r>
    </w:p>
    <w:p>
      <w:pPr>
        <w:pStyle w:val="CodeBlock"/>
        <w:keepNext w:val="0"/>
      </w:pPr>
      <w:r>
        <w:t xml:space="preserve">                    PostgreSQL              MongoDB</w:t>
      </w:r>
    </w:p>
    <w:p>
      <w:pPr>
        <w:pStyle w:val="CodeBlock"/>
        <w:keepNext w:val="0"/>
      </w:pPr>
      <w:r>
        <w:t xml:space="preserve">                          │                    │</w:t>
      </w:r>
    </w:p>
    <w:p>
      <w:pPr>
        <w:pStyle w:val="CodeBlock"/>
        <w:keepNext w:val="0"/>
      </w:pPr>
      <w:r>
        <w:t xml:space="preserve">                          └─────────┬──────────┘</w:t>
      </w:r>
    </w:p>
    <w:p>
      <w:pPr>
        <w:pStyle w:val="CodeBlock"/>
        <w:keepNext w:val="0"/>
      </w:pPr>
      <w:r>
        <w:t xml:space="preserve">                                    │</w:t>
      </w:r>
    </w:p>
    <w:p>
      <w:pPr>
        <w:pStyle w:val="CodeBlock"/>
        <w:keepNext w:val="0"/>
      </w:pPr>
      <w:r>
        <w:t xml:space="preserve">                           Domain events / Outbox</w:t>
      </w:r>
    </w:p>
    <w:p>
      <w:pPr>
        <w:pStyle w:val="CodeBlock"/>
        <w:keepNext w:val="0"/>
      </w:pPr>
      <w:r>
        <w:t xml:space="preserve">                                    │</w:t>
      </w:r>
    </w:p>
    <w:p>
      <w:pPr>
        <w:pStyle w:val="CodeBlock"/>
        <w:keepNext w:val="0"/>
      </w:pPr>
      <w:r>
        <w:t xml:space="preserve">                                    ▼</w:t>
      </w:r>
    </w:p>
    <w:p>
      <w:pPr>
        <w:pStyle w:val="CodeBlock"/>
        <w:keepNext w:val="0"/>
      </w:pPr>
      <w:r>
        <w:t xml:space="preserve">                                  Kafka</w:t>
      </w:r>
    </w:p>
    <w:p>
      <w:pPr>
        <w:pStyle w:val="CodeBlock"/>
        <w:keepNext w:val="0"/>
      </w:pPr>
      <w:r>
        <w:t xml:space="preserve">                    ┌───────────────┼──────────────────┐</w:t>
      </w:r>
    </w:p>
    <w:p>
      <w:pPr>
        <w:pStyle w:val="CodeBlock"/>
        <w:keepNext w:val="0"/>
      </w:pPr>
      <w:r>
        <w:t xml:space="preserve">                    ▼               ▼                  ▼</w:t>
      </w:r>
    </w:p>
    <w:p>
      <w:pPr>
        <w:pStyle w:val="CodeBlock"/>
        <w:keepNext w:val="0"/>
      </w:pPr>
      <w:r>
        <w:t xml:space="preserve">              Search Service   Notification       Analytics</w:t>
      </w:r>
    </w:p>
    <w:p>
      <w:pPr>
        <w:pStyle w:val="CodeBlock"/>
        <w:keepNext w:val="0"/>
      </w:pPr>
      <w:r>
        <w:t xml:space="preserve">                    │             Service          Consumers</w:t>
      </w:r>
    </w:p>
    <w:p>
      <w:pPr>
        <w:pStyle w:val="CodeBlock"/>
        <w:keepNext w:val="0"/>
      </w:pPr>
      <w:r>
        <w:t xml:space="preserve">             Search Index</w:t>
      </w:r>
    </w:p>
    <w:p>
      <w:pPr>
        <w:pStyle w:val="CodeBlock"/>
        <w:keepNext w:val="0"/>
      </w:pPr>
      <w:r/>
    </w:p>
    <w:p>
      <w:pPr>
        <w:pStyle w:val="CodeBlock"/>
        <w:keepNext w:val="0"/>
      </w:pPr>
      <w:r>
        <w:t>Future premium path:</w:t>
      </w:r>
    </w:p>
    <w:p>
      <w:pPr>
        <w:pStyle w:val="CodeBlock"/>
        <w:keepNext w:val="0"/>
      </w:pPr>
      <w:r>
        <w:t>API Gateway → Subscription/Billing Service → PostgreSQL → Payment Provider</w:t>
      </w:r>
    </w:p>
    <w:p>
      <w:pPr>
        <w:pStyle w:val="Heading1"/>
      </w:pPr>
      <w:r>
        <w:t>5. Core Data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E2F0D9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360"/>
            <w:shd w:fill="E2F0D9"/>
          </w:tcPr>
          <w:p>
            <w:r>
              <w:rPr>
                <w:b/>
              </w:rPr>
              <w:t>Owns</w:t>
            </w:r>
          </w:p>
        </w:tc>
        <w:tc>
          <w:tcPr>
            <w:tcW w:type="dxa" w:w="3360"/>
            <w:shd w:fill="E2F0D9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3360"/>
          </w:tcPr>
          <w:p>
            <w:r>
              <w:t>User/OAuth Service</w:t>
            </w:r>
          </w:p>
        </w:tc>
        <w:tc>
          <w:tcPr>
            <w:tcW w:type="dxa" w:w="3360"/>
          </w:tcPr>
          <w:p>
            <w:r>
              <w:t>User account, normalized email, password hash, roles, account status, OAuth clients, authorizations, consent, security audit</w:t>
            </w:r>
          </w:p>
        </w:tc>
        <w:tc>
          <w:tcPr>
            <w:tcW w:type="dxa" w:w="3360"/>
          </w:tcPr>
          <w:p>
            <w:r>
              <w:t>Other services never read this database directly.</w:t>
            </w:r>
          </w:p>
        </w:tc>
      </w:tr>
      <w:tr>
        <w:tc>
          <w:tcPr>
            <w:tcW w:type="dxa" w:w="3360"/>
          </w:tcPr>
          <w:p>
            <w:r>
              <w:t>Notes Service</w:t>
            </w:r>
          </w:p>
        </w:tc>
        <w:tc>
          <w:tcPr>
            <w:tcW w:type="dxa" w:w="3360"/>
          </w:tcPr>
          <w:p>
            <w:r>
              <w:t>Categories, notes, note revisions/publication snapshots</w:t>
            </w:r>
          </w:p>
        </w:tc>
        <w:tc>
          <w:tcPr>
            <w:tcW w:type="dxa" w:w="3360"/>
          </w:tcPr>
          <w:p>
            <w:r>
              <w:t>Stores authorId from validated JWT sub.</w:t>
            </w:r>
          </w:p>
        </w:tc>
      </w:tr>
      <w:tr>
        <w:tc>
          <w:tcPr>
            <w:tcW w:type="dxa" w:w="3360"/>
          </w:tcPr>
          <w:p>
            <w:r>
              <w:t>Subscription/Billing Service (proposed)</w:t>
            </w:r>
          </w:p>
        </w:tc>
        <w:tc>
          <w:tcPr>
            <w:tcW w:type="dxa" w:w="3360"/>
          </w:tcPr>
          <w:p>
            <w:r>
              <w:t>Plans, subscription state, provider references, entitlement state</w:t>
            </w:r>
          </w:p>
        </w:tc>
        <w:tc>
          <w:tcPr>
            <w:tcW w:type="dxa" w:w="3360"/>
          </w:tcPr>
          <w:p>
            <w:r>
              <w:t>Does not store Notes content.</w:t>
            </w:r>
          </w:p>
        </w:tc>
      </w:tr>
      <w:tr>
        <w:tc>
          <w:tcPr>
            <w:tcW w:type="dxa" w:w="3360"/>
          </w:tcPr>
          <w:p>
            <w:r>
              <w:t>Media Service (future)</w:t>
            </w:r>
          </w:p>
        </w:tc>
        <w:tc>
          <w:tcPr>
            <w:tcW w:type="dxa" w:w="3360"/>
          </w:tcPr>
          <w:p>
            <w:r>
              <w:t>Attachment metadata and storage references</w:t>
            </w:r>
          </w:p>
        </w:tc>
        <w:tc>
          <w:tcPr>
            <w:tcW w:type="dxa" w:w="3360"/>
          </w:tcPr>
          <w:p>
            <w:r>
              <w:t>Binary payloads live in MinIO/S3, not Mongo note documents.</w:t>
            </w:r>
          </w:p>
        </w:tc>
      </w:tr>
      <w:tr>
        <w:tc>
          <w:tcPr>
            <w:tcW w:type="dxa" w:w="3360"/>
          </w:tcPr>
          <w:p>
            <w:r>
              <w:t>Search Service (future)</w:t>
            </w:r>
          </w:p>
        </w:tc>
        <w:tc>
          <w:tcPr>
            <w:tcW w:type="dxa" w:w="3360"/>
          </w:tcPr>
          <w:p>
            <w:r>
              <w:t>Search projection/index</w:t>
            </w:r>
          </w:p>
        </w:tc>
        <w:tc>
          <w:tcPr>
            <w:tcW w:type="dxa" w:w="3360"/>
          </w:tcPr>
          <w:p>
            <w:r>
              <w:t>Derived view only; MongoDB remains authoritative for Notes.</w:t>
            </w:r>
          </w:p>
        </w:tc>
      </w:tr>
    </w:tbl>
    <w:p>
      <w:pPr>
        <w:pStyle w:val="Heading1"/>
      </w:pPr>
      <w:r>
        <w:t>6. Security and Identity Contract</w:t>
      </w:r>
    </w:p>
    <w:p>
      <w:r>
        <w:t>The current service specifications define the User/OAuth Service as the OAuth2/OIDC authorization server and Notes as a JWT resource server. For local development, the issuer is http://localhost:9000 and the Gateway is http://localhost:8080.</w:t>
      </w:r>
    </w:p>
    <w:p>
      <w:pPr>
        <w:pStyle w:val="ListBullet"/>
        <w:ind w:left="0"/>
      </w:pPr>
      <w:r>
        <w:t>Access-token audience: technotes-api.</w:t>
      </w:r>
    </w:p>
    <w:p>
      <w:pPr>
        <w:pStyle w:val="ListBullet"/>
        <w:ind w:left="0"/>
      </w:pPr>
      <w:r>
        <w:t>Notes validates signature, approved algorithm, issuer, audience, expiry and not-before.</w:t>
      </w:r>
    </w:p>
    <w:p>
      <w:pPr>
        <w:pStyle w:val="ListBullet"/>
        <w:ind w:left="0"/>
      </w:pPr>
      <w:r>
        <w:t>Identity is taken from JWT sub; Notes stores this value as authorId.</w:t>
      </w:r>
    </w:p>
    <w:p>
      <w:pPr>
        <w:pStyle w:val="ListBullet"/>
        <w:ind w:left="0"/>
      </w:pPr>
      <w:r>
        <w:t>Roles include READER, AUTHOR, REVIEWER and ADMIN.</w:t>
      </w:r>
    </w:p>
    <w:p>
      <w:pPr>
        <w:pStyle w:val="ListBullet"/>
        <w:ind w:left="0"/>
      </w:pPr>
      <w:r>
        <w:t>Scopes include notes.read, notes.write, notes.review and taxonomy.write.</w:t>
      </w:r>
    </w:p>
    <w:p>
      <w:pPr>
        <w:pStyle w:val="ListBullet"/>
        <w:ind w:left="0"/>
      </w:pPr>
      <w:r>
        <w:t>Roles do not replace scopes: authorization can require both.</w:t>
      </w:r>
    </w:p>
    <w:p>
      <w:pPr>
        <w:pStyle w:val="ListBullet"/>
        <w:ind w:left="0"/>
      </w:pPr>
      <w:r>
        <w:t>Never trust X-User-Id, X-Roles, caller-supplied authorId, or the fact that traffic came through the Gateway.</w:t>
      </w:r>
    </w:p>
    <w:p>
      <w:pPr>
        <w:pStyle w:val="ListBullet"/>
        <w:ind w:left="0"/>
      </w:pPr>
      <w:r>
        <w:t>Private-note ownership must be enforced in Notes query/service logic, not by filtering unauthorized data after loading.</w:t>
      </w:r>
    </w:p>
    <w:p>
      <w:pPr>
        <w:pStyle w:val="Heading3"/>
      </w:pPr>
      <w:r>
        <w:t>Representative token contract:</w:t>
      </w:r>
    </w:p>
    <w:p>
      <w:pPr>
        <w:pStyle w:val="CodeBlock"/>
        <w:keepNext w:val="0"/>
      </w:pPr>
      <w:r>
        <w:t>{</w:t>
      </w:r>
    </w:p>
    <w:p>
      <w:pPr>
        <w:pStyle w:val="CodeBlock"/>
        <w:keepNext w:val="0"/>
      </w:pPr>
      <w:r>
        <w:t xml:space="preserve">  "iss": "http://localhost:9000",</w:t>
      </w:r>
    </w:p>
    <w:p>
      <w:pPr>
        <w:pStyle w:val="CodeBlock"/>
        <w:keepNext w:val="0"/>
      </w:pPr>
      <w:r>
        <w:t xml:space="preserve">  "sub": "&lt;immutable-user-uuid&gt;",</w:t>
      </w:r>
    </w:p>
    <w:p>
      <w:pPr>
        <w:pStyle w:val="CodeBlock"/>
        <w:keepNext w:val="0"/>
      </w:pPr>
      <w:r>
        <w:t xml:space="preserve">  "aud": ["technotes-api"],</w:t>
      </w:r>
    </w:p>
    <w:p>
      <w:pPr>
        <w:pStyle w:val="CodeBlock"/>
        <w:keepNext w:val="0"/>
      </w:pPr>
      <w:r>
        <w:t xml:space="preserve">  "scope": "openid profile notes.read notes.write",</w:t>
      </w:r>
    </w:p>
    <w:p>
      <w:pPr>
        <w:pStyle w:val="CodeBlock"/>
        <w:keepNext w:val="0"/>
      </w:pPr>
      <w:r>
        <w:t xml:space="preserve">  "roles": ["AUTHOR"],</w:t>
      </w:r>
    </w:p>
    <w:p>
      <w:pPr>
        <w:pStyle w:val="CodeBlock"/>
        <w:keepNext w:val="0"/>
      </w:pPr>
      <w:r>
        <w:t xml:space="preserve">  "iat": "&lt;issued-at&gt;",</w:t>
      </w:r>
    </w:p>
    <w:p>
      <w:pPr>
        <w:pStyle w:val="CodeBlock"/>
        <w:keepNext w:val="0"/>
      </w:pPr>
      <w:r>
        <w:t xml:space="preserve">  "nbf": "&lt;not-before&gt;",</w:t>
      </w:r>
    </w:p>
    <w:p>
      <w:pPr>
        <w:pStyle w:val="CodeBlock"/>
        <w:keepNext w:val="0"/>
      </w:pPr>
      <w:r>
        <w:t xml:space="preserve">  "exp": "&lt;expiry&gt;"</w:t>
      </w:r>
    </w:p>
    <w:p>
      <w:pPr>
        <w:pStyle w:val="CodeBlock"/>
        <w:keepNext w:val="0"/>
      </w:pPr>
      <w:r>
        <w:t>}</w:t>
      </w:r>
    </w:p>
    <w:p>
      <w:pPr>
        <w:pStyle w:val="Heading1"/>
      </w:pPr>
      <w:r>
        <w:t>7. Notes Service Domain - Current Contract</w:t>
      </w:r>
    </w:p>
    <w:p>
      <w:r>
        <w:t>The Notes Service v1 contract uses two main M1 collections: categories and notes. M2 adds immutable note_revisions for publication snapshots.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FFF2CC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FFF2CC"/>
          </w:tcPr>
          <w:p>
            <w:r>
              <w:rPr>
                <w:b/>
              </w:rPr>
              <w:t>Key fields / rules</w:t>
            </w:r>
          </w:p>
        </w:tc>
        <w:tc>
          <w:tcPr>
            <w:tcW w:type="dxa" w:w="3360"/>
            <w:shd w:fill="FFF2CC"/>
          </w:tcPr>
          <w:p>
            <w:r>
              <w:rPr>
                <w:b/>
              </w:rPr>
              <w:t>Stage</w:t>
            </w:r>
          </w:p>
        </w:tc>
      </w:tr>
      <w:tr>
        <w:tc>
          <w:tcPr>
            <w:tcW w:type="dxa" w:w="3360"/>
          </w:tcPr>
          <w:p>
            <w:r>
              <w:t>categories</w:t>
            </w:r>
          </w:p>
        </w:tc>
        <w:tc>
          <w:tcPr>
            <w:tcW w:type="dxa" w:w="3360"/>
          </w:tcPr>
          <w:p>
            <w:r>
              <w:t>UUID id, name, immutable slug, parentId, ancestorIds, level, active, sortOrder, version, audit fields; recursive hierarchy</w:t>
            </w:r>
          </w:p>
        </w:tc>
        <w:tc>
          <w:tcPr>
            <w:tcW w:type="dxa" w:w="3360"/>
          </w:tcPr>
          <w:p>
            <w:r>
              <w:t>M1</w:t>
            </w:r>
          </w:p>
        </w:tc>
      </w:tr>
      <w:tr>
        <w:tc>
          <w:tcPr>
            <w:tcW w:type="dxa" w:w="3360"/>
          </w:tcPr>
          <w:p>
            <w:r>
              <w:t>notes</w:t>
            </w:r>
          </w:p>
        </w:tc>
        <w:tc>
          <w:tcPr>
            <w:tcW w:type="dxa" w:w="3360"/>
          </w:tcPr>
          <w:p>
            <w:r>
              <w:t>UUID id, title, immutable slug, summary, contentMarkdown, primaryCategoryId, tags, contentKind=NOTE, authorId, status=DRAFT, visibility, version, soft delete</w:t>
            </w:r>
          </w:p>
        </w:tc>
        <w:tc>
          <w:tcPr>
            <w:tcW w:type="dxa" w:w="3360"/>
          </w:tcPr>
          <w:p>
            <w:r>
              <w:t>M1</w:t>
            </w:r>
          </w:p>
        </w:tc>
      </w:tr>
      <w:tr>
        <w:tc>
          <w:tcPr>
            <w:tcW w:type="dxa" w:w="3360"/>
          </w:tcPr>
          <w:p>
            <w:r>
              <w:t>note_revisions</w:t>
            </w:r>
          </w:p>
        </w:tc>
        <w:tc>
          <w:tcPr>
            <w:tcW w:type="dxa" w:w="3360"/>
          </w:tcPr>
          <w:p>
            <w:r>
              <w:t>Immutable publication snapshots with revision number and publication metadata</w:t>
            </w:r>
          </w:p>
        </w:tc>
        <w:tc>
          <w:tcPr>
            <w:tcW w:type="dxa" w:w="3360"/>
          </w:tcPr>
          <w:p>
            <w:r>
              <w:t>M2</w:t>
            </w:r>
          </w:p>
        </w:tc>
      </w:tr>
    </w:tbl>
    <w:p>
      <w:pPr>
        <w:pStyle w:val="Heading1"/>
      </w:pPr>
      <w:r>
        <w:t>8. Synchronous vs Asynchronous Communication</w:t>
      </w:r>
    </w:p>
    <w:p>
      <w:r>
        <w:t>Use synchronous HTTP when the caller needs an immediate result.</w:t>
      </w:r>
    </w:p>
    <w:p>
      <w:pPr>
        <w:pStyle w:val="ListBullet"/>
        <w:ind w:left="0"/>
      </w:pPr>
      <w:r>
        <w:t>Client → Gateway → User/OAuth business APIs</w:t>
      </w:r>
    </w:p>
    <w:p>
      <w:pPr>
        <w:pStyle w:val="ListBullet"/>
        <w:ind w:left="0"/>
      </w:pPr>
      <w:r>
        <w:t>Client → Gateway → Notes APIs</w:t>
      </w:r>
    </w:p>
    <w:p>
      <w:pPr>
        <w:pStyle w:val="ListBullet"/>
        <w:ind w:left="0"/>
      </w:pPr>
      <w:r>
        <w:t>OAuth browser/client → Authorization Server protocol endpoints</w:t>
      </w:r>
    </w:p>
    <w:p>
      <w:pPr>
        <w:pStyle w:val="ListBullet"/>
        <w:ind w:left="0"/>
      </w:pPr>
      <w:r>
        <w:t>Notes → MongoDB</w:t>
      </w:r>
    </w:p>
    <w:p>
      <w:pPr>
        <w:pStyle w:val="ListBullet"/>
        <w:ind w:left="0"/>
      </w:pPr>
      <w:r>
        <w:t>User/OAuth → PostgreSQL</w:t>
      </w:r>
    </w:p>
    <w:p>
      <w:pPr>
        <w:pStyle w:val="ListBullet"/>
        <w:ind w:left="0"/>
      </w:pPr>
      <w:r>
        <w:t>Future client/Gateway → Subscription Service for entitlement-sensitive operations where an immediate decision is required</w:t>
      </w:r>
    </w:p>
    <w:p>
      <w:r>
        <w:t>Use asynchronous messaging when work can be decoupled, retried or fan out to multiple consumers.</w:t>
      </w:r>
    </w:p>
    <w:p>
      <w:pPr>
        <w:pStyle w:val="ListBullet"/>
        <w:ind w:left="0"/>
      </w:pPr>
      <w:r>
        <w:t>NotePublished → Search index update</w:t>
      </w:r>
    </w:p>
    <w:p>
      <w:pPr>
        <w:pStyle w:val="ListBullet"/>
        <w:ind w:left="0"/>
      </w:pPr>
      <w:r>
        <w:t>NotePublished → Notification</w:t>
      </w:r>
    </w:p>
    <w:p>
      <w:pPr>
        <w:pStyle w:val="ListBullet"/>
        <w:ind w:left="0"/>
      </w:pPr>
      <w:r>
        <w:t>SubscriptionActivated / SubscriptionExpired → entitlement/read-model updates</w:t>
      </w:r>
    </w:p>
    <w:p>
      <w:pPr>
        <w:pStyle w:val="ListBullet"/>
        <w:ind w:left="0"/>
      </w:pPr>
      <w:r>
        <w:t>PaymentSucceeded / PaymentFailed → subscription state workflow</w:t>
      </w:r>
    </w:p>
    <w:p>
      <w:pPr>
        <w:pStyle w:val="ListBullet"/>
        <w:ind w:left="0"/>
      </w:pPr>
      <w:r>
        <w:t>UserRegistered → welcome/analytics events</w:t>
      </w:r>
    </w:p>
    <w:p>
      <w:pPr>
        <w:pStyle w:val="ListBullet"/>
        <w:ind w:left="0"/>
      </w:pPr>
      <w:r>
        <w:t>Operational/domain audit projections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</w:rPr>
              <w:t xml:space="preserve">Reliability rule: </w:t>
            </w:r>
            <w:r>
              <w:t>Do not publish database-changing business events directly from application memory and assume success. For important domain events, introduce a reliable Outbox Pattern so the database state and event publication can be reconciled.</w:t>
            </w:r>
          </w:p>
        </w:tc>
      </w:tr>
    </w:tbl>
    <w:p/>
    <w:p>
      <w:pPr>
        <w:pStyle w:val="Heading1"/>
      </w:pPr>
      <w:r>
        <w:t>9. End-to-End Core Flows</w:t>
      </w:r>
    </w:p>
    <w:p>
      <w:pPr>
        <w:pStyle w:val="Heading2"/>
      </w:pPr>
      <w:r>
        <w:t>9.1 User registration and login</w:t>
      </w:r>
    </w:p>
    <w:p>
      <w:pPr>
        <w:pStyle w:val="ListNumber"/>
      </w:pPr>
      <w:r>
        <w:t>Client calls the User/OAuth business registration API.</w:t>
      </w:r>
    </w:p>
    <w:p>
      <w:pPr>
        <w:pStyle w:val="ListNumber"/>
      </w:pPr>
      <w:r>
        <w:t>User/OAuth persists the account in PostgreSQL; registration does not itself return a home-made login JWT.</w:t>
      </w:r>
    </w:p>
    <w:p>
      <w:pPr>
        <w:pStyle w:val="ListNumber"/>
      </w:pPr>
      <w:r>
        <w:t>The browser uses OAuth2 Authorization Code + PKCE / OIDC for login.</w:t>
      </w:r>
    </w:p>
    <w:p>
      <w:pPr>
        <w:pStyle w:val="ListNumber"/>
      </w:pPr>
      <w:r>
        <w:t>Authorization Server authenticates the user, performs consent as configured and issues signed tokens.</w:t>
      </w:r>
    </w:p>
    <w:p>
      <w:pPr>
        <w:pStyle w:val="ListNumber"/>
      </w:pPr>
      <w:r>
        <w:t>Client calls business APIs with the access token.</w:t>
      </w:r>
    </w:p>
    <w:p>
      <w:pPr>
        <w:pStyle w:val="Heading2"/>
      </w:pPr>
      <w:r>
        <w:t>9.2 Create a draft note</w:t>
      </w:r>
    </w:p>
    <w:p>
      <w:pPr>
        <w:pStyle w:val="ListNumber"/>
      </w:pPr>
      <w:r>
        <w:t>Client sends POST /api/v1/notes through API Gateway with a bearer access token.</w:t>
      </w:r>
    </w:p>
    <w:p>
      <w:pPr>
        <w:pStyle w:val="ListNumber"/>
      </w:pPr>
      <w:r>
        <w:t>Gateway routes the request and forwards the token.</w:t>
      </w:r>
    </w:p>
    <w:p>
      <w:pPr>
        <w:pStyle w:val="ListNumber"/>
      </w:pPr>
      <w:r>
        <w:t>Notes validates JWT issuer/audience/signature/time claims and required role/scope.</w:t>
      </w:r>
    </w:p>
    <w:p>
      <w:pPr>
        <w:pStyle w:val="ListNumber"/>
      </w:pPr>
      <w:r>
        <w:t>Notes takes authorId from JWT sub, not from request JSON.</w:t>
      </w:r>
    </w:p>
    <w:p>
      <w:pPr>
        <w:pStyle w:val="ListNumber"/>
      </w:pPr>
      <w:r>
        <w:t>Notes validates the category and content.</w:t>
      </w:r>
    </w:p>
    <w:p>
      <w:pPr>
        <w:pStyle w:val="ListNumber"/>
      </w:pPr>
      <w:r>
        <w:t>Notes writes the draft to MongoDB and returns 201 + Location + ETag.</w:t>
      </w:r>
    </w:p>
    <w:p>
      <w:pPr>
        <w:pStyle w:val="Heading2"/>
      </w:pPr>
      <w:r>
        <w:t>9.3 Publish a note - later editorial phase</w:t>
      </w:r>
    </w:p>
    <w:p>
      <w:pPr>
        <w:pStyle w:val="ListNumber"/>
      </w:pPr>
      <w:r>
        <w:t>Author submits a draft for review.</w:t>
      </w:r>
    </w:p>
    <w:p>
      <w:pPr>
        <w:pStyle w:val="ListNumber"/>
      </w:pPr>
      <w:r>
        <w:t>Reviewer/Admin performs explicit publication action subject to rules; self-approval restrictions apply.</w:t>
      </w:r>
    </w:p>
    <w:p>
      <w:pPr>
        <w:pStyle w:val="ListNumber"/>
      </w:pPr>
      <w:r>
        <w:t>Notes creates an immutable publication snapshot and updates the published pointer/projection atomically.</w:t>
      </w:r>
    </w:p>
    <w:p>
      <w:pPr>
        <w:pStyle w:val="ListNumber"/>
      </w:pPr>
      <w:r>
        <w:t>A reliable outbox record is created in the same business boundary.</w:t>
      </w:r>
    </w:p>
    <w:p>
      <w:pPr>
        <w:pStyle w:val="ListNumber"/>
      </w:pPr>
      <w:r>
        <w:t>Outbox publishing sends NotePublished to Kafka.</w:t>
      </w:r>
    </w:p>
    <w:p>
      <w:pPr>
        <w:pStyle w:val="ListNumber"/>
      </w:pPr>
      <w:r>
        <w:t>Search/Notification/Analytics consumers process the event independently.</w:t>
      </w:r>
    </w:p>
    <w:p>
      <w:pPr>
        <w:pStyle w:val="Heading2"/>
      </w:pPr>
      <w:r>
        <w:t>9.4 Premium content access - proposed future extension</w:t>
      </w:r>
    </w:p>
    <w:p>
      <w:r>
        <w:t>The current service specs do not yet define paid content. The following is a proposed extension based on the product requirement.</w:t>
      </w:r>
    </w:p>
    <w:p>
      <w:pPr>
        <w:pStyle w:val="ListNumber"/>
      </w:pPr>
      <w:r>
        <w:t>Notes content receives a reviewed access classification, for example FREE or PREMIUM. The exact schema is still a design decision.</w:t>
      </w:r>
    </w:p>
    <w:p>
      <w:pPr>
        <w:pStyle w:val="ListNumber"/>
      </w:pPr>
      <w:r>
        <w:t>User's active subscription is owned by Subscription/Billing Service.</w:t>
      </w:r>
    </w:p>
    <w:p>
      <w:pPr>
        <w:pStyle w:val="ListNumber"/>
      </w:pPr>
      <w:r>
        <w:t>For premium reads, authorization must combine identity + content visibility + entitlement.</w:t>
      </w:r>
    </w:p>
    <w:p>
      <w:pPr>
        <w:pStyle w:val="ListNumber"/>
      </w:pPr>
      <w:r>
        <w:t>Do not put payment-provider logic inside Notes Service.</w:t>
      </w:r>
    </w:p>
    <w:p>
      <w:pPr>
        <w:pStyle w:val="ListNumber"/>
      </w:pPr>
      <w:r>
        <w:t>Use cached/derived entitlements only after defining expiry, revocation and consistency behavior.</w:t>
      </w:r>
    </w:p>
    <w:p>
      <w:pPr>
        <w:pStyle w:val="Heading1"/>
      </w:pPr>
      <w:r>
        <w:t>10. Docker Strategy</w:t>
      </w:r>
    </w:p>
    <w:p>
      <w:r>
        <w:t>Docker is the packaging and reproducible runtime layer. Each Spring Boot service should produce a versioned container image. Docker Compose is used for local multi-service integration after each service works independently.</w:t>
      </w:r>
    </w:p>
    <w:p>
      <w:pPr>
        <w:pStyle w:val="CodeBlock"/>
        <w:keepNext w:val="0"/>
      </w:pPr>
      <w:r>
        <w:t>docker compose</w:t>
      </w:r>
    </w:p>
    <w:p>
      <w:pPr>
        <w:pStyle w:val="CodeBlock"/>
        <w:keepNext w:val="0"/>
      </w:pPr>
      <w:r>
        <w:t xml:space="preserve">  ├─ postgres</w:t>
      </w:r>
    </w:p>
    <w:p>
      <w:pPr>
        <w:pStyle w:val="CodeBlock"/>
        <w:keepNext w:val="0"/>
      </w:pPr>
      <w:r>
        <w:t xml:space="preserve">  ├─ mongodb</w:t>
      </w:r>
    </w:p>
    <w:p>
      <w:pPr>
        <w:pStyle w:val="CodeBlock"/>
        <w:keepNext w:val="0"/>
      </w:pPr>
      <w:r>
        <w:t xml:space="preserve">  ├─ config-server</w:t>
      </w:r>
    </w:p>
    <w:p>
      <w:pPr>
        <w:pStyle w:val="CodeBlock"/>
        <w:keepNext w:val="0"/>
      </w:pPr>
      <w:r>
        <w:t xml:space="preserve">  ├─ eureka-server</w:t>
      </w:r>
    </w:p>
    <w:p>
      <w:pPr>
        <w:pStyle w:val="CodeBlock"/>
        <w:keepNext w:val="0"/>
      </w:pPr>
      <w:r>
        <w:t xml:space="preserve">  ├─ user-oauth-service</w:t>
      </w:r>
    </w:p>
    <w:p>
      <w:pPr>
        <w:pStyle w:val="CodeBlock"/>
        <w:keepNext w:val="0"/>
      </w:pPr>
      <w:r>
        <w:t xml:space="preserve">  ├─ notes-service</w:t>
      </w:r>
    </w:p>
    <w:p>
      <w:pPr>
        <w:pStyle w:val="CodeBlock"/>
        <w:keepNext w:val="0"/>
      </w:pPr>
      <w:r>
        <w:t xml:space="preserve">  └─ api-gateway</w:t>
      </w:r>
    </w:p>
    <w:p>
      <w:pPr>
        <w:pStyle w:val="ListBullet"/>
        <w:ind w:left="0"/>
      </w:pPr>
      <w:r>
        <w:t>Container start is not the same as application readiness; define health checks.</w:t>
      </w:r>
    </w:p>
    <w:p>
      <w:pPr>
        <w:pStyle w:val="ListBullet"/>
        <w:ind w:left="0"/>
      </w:pPr>
      <w:r>
        <w:t>Use environment variables/secrets rather than committing credentials.</w:t>
      </w:r>
    </w:p>
    <w:p>
      <w:pPr>
        <w:pStyle w:val="ListBullet"/>
        <w:ind w:left="0"/>
      </w:pPr>
      <w:r>
        <w:t>Keep local URLs and container-internal URLs explicit, especially OAuth issuer/JWKS handling.</w:t>
      </w:r>
    </w:p>
    <w:p>
      <w:pPr>
        <w:pStyle w:val="ListBullet"/>
        <w:ind w:left="0"/>
      </w:pPr>
      <w:r>
        <w:t>Kafka, search and other heavy infrastructure are added only when their phase begins.</w:t>
      </w:r>
    </w:p>
    <w:p>
      <w:pPr>
        <w:pStyle w:val="Heading1"/>
      </w:pPr>
      <w:r>
        <w:t>11. Kubernetes Strategy</w:t>
      </w:r>
    </w:p>
    <w:p>
      <w:r>
        <w:t>Kubernetes comes after the services are stable as containers. Docker creates portable images; Kubernetes deploys, restarts, scales and rolls out those images.</w:t>
      </w:r>
    </w:p>
    <w:p>
      <w:pPr>
        <w:pStyle w:val="ListBullet"/>
        <w:ind w:left="0"/>
      </w:pPr>
      <w:r>
        <w:t>Deployment/Pod per stateless Spring Boot workload.</w:t>
      </w:r>
    </w:p>
    <w:p>
      <w:pPr>
        <w:pStyle w:val="ListBullet"/>
        <w:ind w:left="0"/>
      </w:pPr>
      <w:r>
        <w:t>Service objects for internal discovery/load balancing.</w:t>
      </w:r>
    </w:p>
    <w:p>
      <w:pPr>
        <w:pStyle w:val="ListBullet"/>
        <w:ind w:left="0"/>
      </w:pPr>
      <w:r>
        <w:t>ConfigMaps for non-secret configuration; Secrets or external secret integration for sensitive values.</w:t>
      </w:r>
    </w:p>
    <w:p>
      <w:pPr>
        <w:pStyle w:val="ListBullet"/>
        <w:ind w:left="0"/>
      </w:pPr>
      <w:r>
        <w:t>Readiness and liveness probes.</w:t>
      </w:r>
    </w:p>
    <w:p>
      <w:pPr>
        <w:pStyle w:val="ListBullet"/>
        <w:ind w:left="0"/>
      </w:pPr>
      <w:r>
        <w:t>Rolling updates and horizontal scaling.</w:t>
      </w:r>
    </w:p>
    <w:p>
      <w:pPr>
        <w:pStyle w:val="ListBullet"/>
        <w:ind w:left="0"/>
      </w:pPr>
      <w:r>
        <w:t>Ingress / cloud load balancer for external entry.</w:t>
      </w:r>
    </w:p>
    <w:p>
      <w:pPr>
        <w:pStyle w:val="ListBullet"/>
        <w:ind w:left="0"/>
      </w:pPr>
      <w:r>
        <w:t>Persistent managed databases are preferred over treating database pods as production state by default.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b/>
              </w:rPr>
              <w:t xml:space="preserve">Eureka in Kubernetes: </w:t>
            </w:r>
            <w:r>
              <w:t>Keep Eureka during the learning/core microservice phases if it is part of the learning target. When Kubernetes-native service discovery is adopted, review whether Eureka still adds value rather than retaining duplicate discovery layers automatically.</w:t>
            </w:r>
          </w:p>
        </w:tc>
      </w:tr>
    </w:tbl>
    <w:p/>
    <w:p>
      <w:pPr>
        <w:pStyle w:val="Heading1"/>
      </w:pPr>
      <w:r>
        <w:t>12. AWS Evolution Path</w:t>
      </w:r>
    </w:p>
    <w:p>
      <w:r>
        <w:t>Phase 1 can be deployed to AWS before Kafka/Kubernetes are mandatory. A simple first cloud deployment is preferred; EKS can be a later learning milestone.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DEB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60"/>
            <w:shd w:fill="DDEBF7"/>
          </w:tcPr>
          <w:p>
            <w:r>
              <w:rPr>
                <w:b/>
              </w:rPr>
              <w:t>First AWS deployment</w:t>
            </w:r>
          </w:p>
        </w:tc>
        <w:tc>
          <w:tcPr>
            <w:tcW w:type="dxa" w:w="3360"/>
            <w:shd w:fill="DDEBF7"/>
          </w:tcPr>
          <w:p>
            <w:r>
              <w:rPr>
                <w:b/>
              </w:rPr>
              <w:t>Later evolution</w:t>
            </w:r>
          </w:p>
        </w:tc>
      </w:tr>
      <w:tr>
        <w:tc>
          <w:tcPr>
            <w:tcW w:type="dxa" w:w="3360"/>
          </w:tcPr>
          <w:p>
            <w:r>
              <w:t>Container images</w:t>
            </w:r>
          </w:p>
        </w:tc>
        <w:tc>
          <w:tcPr>
            <w:tcW w:type="dxa" w:w="3360"/>
          </w:tcPr>
          <w:p>
            <w:r>
              <w:t>ECR</w:t>
            </w:r>
          </w:p>
        </w:tc>
        <w:tc>
          <w:tcPr>
            <w:tcW w:type="dxa" w:w="3360"/>
          </w:tcPr>
          <w:p>
            <w:r>
              <w:t>ECR</w:t>
            </w:r>
          </w:p>
        </w:tc>
      </w:tr>
      <w:tr>
        <w:tc>
          <w:tcPr>
            <w:tcW w:type="dxa" w:w="3360"/>
          </w:tcPr>
          <w:p>
            <w:r>
              <w:t>Compute</w:t>
            </w:r>
          </w:p>
        </w:tc>
        <w:tc>
          <w:tcPr>
            <w:tcW w:type="dxa" w:w="3360"/>
          </w:tcPr>
          <w:p>
            <w:r>
              <w:t>ECS/Fargate or EC2</w:t>
            </w:r>
          </w:p>
        </w:tc>
        <w:tc>
          <w:tcPr>
            <w:tcW w:type="dxa" w:w="3360"/>
          </w:tcPr>
          <w:p>
            <w:r>
              <w:t>EKS</w:t>
            </w:r>
          </w:p>
        </w:tc>
      </w:tr>
      <w:tr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RDS PostgreSQL</w:t>
            </w:r>
          </w:p>
        </w:tc>
        <w:tc>
          <w:tcPr>
            <w:tcW w:type="dxa" w:w="3360"/>
          </w:tcPr>
          <w:p>
            <w:r>
              <w:t>RDS PostgreSQL</w:t>
            </w:r>
          </w:p>
        </w:tc>
      </w:tr>
      <w:tr>
        <w:tc>
          <w:tcPr>
            <w:tcW w:type="dxa" w:w="3360"/>
          </w:tcPr>
          <w:p>
            <w:r>
              <w:t>MongoDB</w:t>
            </w:r>
          </w:p>
        </w:tc>
        <w:tc>
          <w:tcPr>
            <w:tcW w:type="dxa" w:w="3360"/>
          </w:tcPr>
          <w:p>
            <w:r>
              <w:t>MongoDB Atlas / managed option</w:t>
            </w:r>
          </w:p>
        </w:tc>
        <w:tc>
          <w:tcPr>
            <w:tcW w:type="dxa" w:w="3360"/>
          </w:tcPr>
          <w:p>
            <w:r>
              <w:t>Managed MongoDB</w:t>
            </w:r>
          </w:p>
        </w:tc>
      </w:tr>
      <w:tr>
        <w:tc>
          <w:tcPr>
            <w:tcW w:type="dxa" w:w="3360"/>
          </w:tcPr>
          <w:p>
            <w:r>
              <w:t>Object storage</w:t>
            </w:r>
          </w:p>
        </w:tc>
        <w:tc>
          <w:tcPr>
            <w:tcW w:type="dxa" w:w="3360"/>
          </w:tcPr>
          <w:p>
            <w:r>
              <w:t>S3</w:t>
            </w:r>
          </w:p>
        </w:tc>
        <w:tc>
          <w:tcPr>
            <w:tcW w:type="dxa" w:w="3360"/>
          </w:tcPr>
          <w:p>
            <w:r>
              <w:t>S3</w:t>
            </w:r>
          </w:p>
        </w:tc>
      </w:tr>
      <w:tr>
        <w:tc>
          <w:tcPr>
            <w:tcW w:type="dxa" w:w="3360"/>
          </w:tcPr>
          <w:p>
            <w:r>
              <w:t>Secrets</w:t>
            </w:r>
          </w:p>
        </w:tc>
        <w:tc>
          <w:tcPr>
            <w:tcW w:type="dxa" w:w="3360"/>
          </w:tcPr>
          <w:p>
            <w:r>
              <w:t>Secrets Manager</w:t>
            </w:r>
          </w:p>
        </w:tc>
        <w:tc>
          <w:tcPr>
            <w:tcW w:type="dxa" w:w="3360"/>
          </w:tcPr>
          <w:p>
            <w:r>
              <w:t>Secrets Manager / external-secrets integration</w:t>
            </w:r>
          </w:p>
        </w:tc>
      </w:tr>
      <w:tr>
        <w:tc>
          <w:tcPr>
            <w:tcW w:type="dxa" w:w="3360"/>
          </w:tcPr>
          <w:p>
            <w:r>
              <w:t>Logs/metrics</w:t>
            </w:r>
          </w:p>
        </w:tc>
        <w:tc>
          <w:tcPr>
            <w:tcW w:type="dxa" w:w="3360"/>
          </w:tcPr>
          <w:p>
            <w:r>
              <w:t>CloudWatch</w:t>
            </w:r>
          </w:p>
        </w:tc>
        <w:tc>
          <w:tcPr>
            <w:tcW w:type="dxa" w:w="3360"/>
          </w:tcPr>
          <w:p>
            <w:r>
              <w:t>CloudWatch + Prometheus/Grafana/OpenTelemetry as needed</w:t>
            </w:r>
          </w:p>
        </w:tc>
      </w:tr>
      <w:tr>
        <w:tc>
          <w:tcPr>
            <w:tcW w:type="dxa" w:w="3360"/>
          </w:tcPr>
          <w:p>
            <w:r>
              <w:t>Public entry</w:t>
            </w:r>
          </w:p>
        </w:tc>
        <w:tc>
          <w:tcPr>
            <w:tcW w:type="dxa" w:w="3360"/>
          </w:tcPr>
          <w:p>
            <w:r>
              <w:t>ALB / API edge + TLS</w:t>
            </w:r>
          </w:p>
        </w:tc>
        <w:tc>
          <w:tcPr>
            <w:tcW w:type="dxa" w:w="3360"/>
          </w:tcPr>
          <w:p>
            <w:r>
              <w:t>Ingress/ALB + TLS</w:t>
            </w:r>
          </w:p>
        </w:tc>
      </w:tr>
    </w:tbl>
    <w:p>
      <w:pPr>
        <w:pStyle w:val="Heading1"/>
      </w:pPr>
      <w:r>
        <w:t>13. Observability, Resilience and Operations</w:t>
      </w:r>
    </w:p>
    <w:p>
      <w:pPr>
        <w:pStyle w:val="ListBullet"/>
        <w:ind w:left="0"/>
      </w:pPr>
      <w:r>
        <w:t>Actuator health endpoints for each service.</w:t>
      </w:r>
    </w:p>
    <w:p>
      <w:pPr>
        <w:pStyle w:val="ListBullet"/>
        <w:ind w:left="0"/>
      </w:pPr>
      <w:r>
        <w:t>Structured logs with trace/correlation IDs; never log passwords, access tokens or full note bodies.</w:t>
      </w:r>
    </w:p>
    <w:p>
      <w:pPr>
        <w:pStyle w:val="ListBullet"/>
        <w:ind w:left="0"/>
      </w:pPr>
      <w:r>
        <w:t>Metrics for latency, errors, database health, auth failures and Kafka consumer lag when Kafka is introduced.</w:t>
      </w:r>
    </w:p>
    <w:p>
      <w:pPr>
        <w:pStyle w:val="ListBullet"/>
        <w:ind w:left="0"/>
      </w:pPr>
      <w:r>
        <w:t>Distributed tracing across Gateway → services and later Kafka consumers.</w:t>
      </w:r>
    </w:p>
    <w:p>
      <w:pPr>
        <w:pStyle w:val="ListBullet"/>
        <w:ind w:left="0"/>
      </w:pPr>
      <w:r>
        <w:t>Timeouts, bounded retries and circuit-breaker policies only where failure semantics are understood.</w:t>
      </w:r>
    </w:p>
    <w:p>
      <w:pPr>
        <w:pStyle w:val="ListBullet"/>
        <w:ind w:left="0"/>
      </w:pPr>
      <w:r>
        <w:t>Rate limiting for sensitive/public endpoints such as registration and recovery.</w:t>
      </w:r>
    </w:p>
    <w:p>
      <w:pPr>
        <w:pStyle w:val="ListBullet"/>
        <w:ind w:left="0"/>
      </w:pPr>
      <w:r>
        <w:t>Database backup/restore and migration strategy before production claims.</w:t>
      </w:r>
    </w:p>
    <w:p>
      <w:pPr>
        <w:pStyle w:val="ListBullet"/>
        <w:ind w:left="0"/>
      </w:pPr>
      <w:r>
        <w:t>Key rotation and secret management for OAuth signing material.</w:t>
      </w:r>
    </w:p>
    <w:p>
      <w:pPr>
        <w:pStyle w:val="Heading1"/>
      </w:pPr>
      <w:r>
        <w:t>14. Development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2F0D9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  <w:shd w:fill="E2F0D9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5040"/>
          </w:tcPr>
          <w:p>
            <w:r>
              <w:t>Phase 1 - Secure Core MVP</w:t>
            </w:r>
          </w:p>
        </w:tc>
        <w:tc>
          <w:tcPr>
            <w:tcW w:type="dxa" w:w="5040"/>
          </w:tcPr>
          <w:p>
            <w:r>
              <w:t>Config Server, Eureka, API Gateway, User/OAuth, Notes, PostgreSQL, MongoDB, JWT/OAuth integration, core tests, Docker Compose</w:t>
            </w:r>
          </w:p>
        </w:tc>
      </w:tr>
      <w:tr>
        <w:tc>
          <w:tcPr>
            <w:tcW w:type="dxa" w:w="5040"/>
          </w:tcPr>
          <w:p>
            <w:r>
              <w:t>Phase 2 - Editorial + Product</w:t>
            </w:r>
          </w:p>
        </w:tc>
        <w:tc>
          <w:tcPr>
            <w:tcW w:type="dxa" w:w="5040"/>
          </w:tcPr>
          <w:p>
            <w:r>
              <w:t>Review/publish/archive workflow, revisions, public reads, premium-content model, Subscription/Billing design, payment integration, Media Service</w:t>
            </w:r>
          </w:p>
        </w:tc>
      </w:tr>
      <w:tr>
        <w:tc>
          <w:tcPr>
            <w:tcW w:type="dxa" w:w="5040"/>
          </w:tcPr>
          <w:p>
            <w:r>
              <w:t>Phase 3 - Event-driven platform</w:t>
            </w:r>
          </w:p>
        </w:tc>
        <w:tc>
          <w:tcPr>
            <w:tcW w:type="dxa" w:w="5040"/>
          </w:tcPr>
          <w:p>
            <w:r>
              <w:t>Kafka, Outbox Pattern, Notification Service, Search Service, Elasticsearch/OpenSearch, Redis where justified</w:t>
            </w:r>
          </w:p>
        </w:tc>
      </w:tr>
      <w:tr>
        <w:tc>
          <w:tcPr>
            <w:tcW w:type="dxa" w:w="5040"/>
          </w:tcPr>
          <w:p>
            <w:r>
              <w:t>Phase 4 - Cloud/DevOps maturity</w:t>
            </w:r>
          </w:p>
        </w:tc>
        <w:tc>
          <w:tcPr>
            <w:tcW w:type="dxa" w:w="5040"/>
          </w:tcPr>
          <w:p>
            <w:r>
              <w:t>CI/CD, container registry, production AWS, Kubernetes/EKS, monitoring, tracing, autoscaling, operational hardening</w:t>
            </w:r>
          </w:p>
        </w:tc>
      </w:tr>
    </w:tbl>
    <w:p>
      <w:pPr>
        <w:pStyle w:val="Heading1"/>
      </w:pPr>
      <w:r>
        <w:t>15. Phase 1 Definition of Done</w:t>
      </w:r>
    </w:p>
    <w:p>
      <w:pPr>
        <w:pStyle w:val="ListBullet"/>
        <w:ind w:left="0"/>
      </w:pPr>
      <w:r>
        <w:t>All core repositories build with Java 21 and one verified compatible Spring Boot / Spring Cloud version set.</w:t>
      </w:r>
    </w:p>
    <w:p>
      <w:pPr>
        <w:pStyle w:val="ListBullet"/>
        <w:ind w:left="0"/>
      </w:pPr>
      <w:r>
        <w:t>User/OAuth Service persists users and OAuth state in PostgreSQL and issues standards-based tokens.</w:t>
      </w:r>
    </w:p>
    <w:p>
      <w:pPr>
        <w:pStyle w:val="ListBullet"/>
        <w:ind w:left="0"/>
      </w:pPr>
      <w:r>
        <w:t>Notes Service persists categories/notes in MongoDB and enforces ownership from JWT sub.</w:t>
      </w:r>
    </w:p>
    <w:p>
      <w:pPr>
        <w:pStyle w:val="ListBullet"/>
        <w:ind w:left="0"/>
      </w:pPr>
      <w:r>
        <w:t>Gateway routes User and Notes business APIs correctly.</w:t>
      </w:r>
    </w:p>
    <w:p>
      <w:pPr>
        <w:pStyle w:val="ListBullet"/>
        <w:ind w:left="0"/>
      </w:pPr>
      <w:r>
        <w:t>Real access token works end-to-end: issuer → Gateway → Notes → MongoDB.</w:t>
      </w:r>
    </w:p>
    <w:p>
      <w:pPr>
        <w:pStyle w:val="ListBullet"/>
        <w:ind w:left="0"/>
      </w:pPr>
      <w:r>
        <w:t>Two different authors demonstrate private-note isolation.</w:t>
      </w:r>
    </w:p>
    <w:p>
      <w:pPr>
        <w:pStyle w:val="ListBullet"/>
        <w:ind w:left="0"/>
      </w:pPr>
      <w:r>
        <w:t>Automated unit/integration tests cover persistence and security-critical paths.</w:t>
      </w:r>
    </w:p>
    <w:p>
      <w:pPr>
        <w:pStyle w:val="ListBullet"/>
        <w:ind w:left="0"/>
      </w:pPr>
      <w:r>
        <w:t>Docker images exist for core services and Docker Compose can start the integration environment with health checks.</w:t>
      </w:r>
    </w:p>
    <w:p>
      <w:pPr>
        <w:pStyle w:val="ListBullet"/>
        <w:ind w:left="0"/>
      </w:pPr>
      <w:r>
        <w:t>Configuration/secrets are externalized and no real credentials are committed.</w:t>
      </w:r>
    </w:p>
    <w:p>
      <w:pPr>
        <w:pStyle w:val="ListBullet"/>
        <w:ind w:left="0"/>
      </w:pPr>
      <w:r>
        <w:t>README/setup documentation lets a second developer run the stack from a fresh clone.</w:t>
      </w:r>
    </w:p>
    <w:p>
      <w:pPr>
        <w:pStyle w:val="Heading1"/>
      </w:pPr>
      <w:r>
        <w:t>16. Team Ownership and Working Model</w:t>
      </w:r>
    </w:p>
    <w:p>
      <w:r>
        <w:t>Current stated working split:</w:t>
      </w:r>
    </w:p>
    <w:p>
      <w:pPr>
        <w:pStyle w:val="ListBullet"/>
        <w:ind w:left="0"/>
      </w:pPr>
      <w:r>
        <w:t>Shakti: User/OAuth Service and API Gateway integration/security work.</w:t>
      </w:r>
    </w:p>
    <w:p>
      <w:pPr>
        <w:pStyle w:val="ListBullet"/>
        <w:ind w:left="0"/>
      </w:pPr>
      <w:r>
        <w:t>Developer 2: Notes Service and MongoDB work.</w:t>
      </w:r>
    </w:p>
    <w:p>
      <w:pPr>
        <w:pStyle w:val="ListBullet"/>
        <w:ind w:left="0"/>
      </w:pPr>
      <w:r>
        <w:t>Eureka Server, Config Server and API Gateway baseline already exist; their compatibility and integration still need verification.</w:t>
      </w:r>
    </w:p>
    <w:p>
      <w:pPr>
        <w:pStyle w:val="ListBullet"/>
        <w:ind w:left="0"/>
      </w:pPr>
      <w:r>
        <w:t>One Jira ticket → one feature branch → reviewed pull request into develop.</w:t>
      </w:r>
    </w:p>
    <w:p>
      <w:pPr>
        <w:pStyle w:val="ListBullet"/>
        <w:ind w:left="0"/>
      </w:pPr>
      <w:r>
        <w:t>Old/local experimental Notes changes should not be committed into the fresh implementation unless explicitly reviewed and reintroduced.</w:t>
      </w:r>
    </w:p>
    <w:p>
      <w:pPr>
        <w:pStyle w:val="Heading1"/>
      </w:pPr>
      <w:r>
        <w:t>17. Decisions Still Open</w:t>
      </w:r>
    </w:p>
    <w:p>
      <w:pPr>
        <w:pStyle w:val="ListBullet"/>
        <w:ind w:left="0"/>
      </w:pPr>
      <w:r>
        <w:t>Exact Spring Boot 3.5.x patch and matching Spring Cloud 2025.0.x BOM after compatibility/security verification.</w:t>
      </w:r>
    </w:p>
    <w:p>
      <w:pPr>
        <w:pStyle w:val="ListBullet"/>
        <w:ind w:left="0"/>
      </w:pPr>
      <w:r>
        <w:t>Exact premium-content model in Notes: field name, entitlement semantics and migration strategy.</w:t>
      </w:r>
    </w:p>
    <w:p>
      <w:pPr>
        <w:pStyle w:val="ListBullet"/>
        <w:ind w:left="0"/>
      </w:pPr>
      <w:r>
        <w:t>Payment provider and webhook contract.</w:t>
      </w:r>
    </w:p>
    <w:p>
      <w:pPr>
        <w:pStyle w:val="ListBullet"/>
        <w:ind w:left="0"/>
      </w:pPr>
      <w:r>
        <w:t>Subscription entitlement caching strategy and consistency rules.</w:t>
      </w:r>
    </w:p>
    <w:p>
      <w:pPr>
        <w:pStyle w:val="ListBullet"/>
        <w:ind w:left="0"/>
      </w:pPr>
      <w:r>
        <w:t>Kafka distribution/hosting choice and schema/event versioning convention.</w:t>
      </w:r>
    </w:p>
    <w:p>
      <w:pPr>
        <w:pStyle w:val="ListBullet"/>
        <w:ind w:left="0"/>
      </w:pPr>
      <w:r>
        <w:t>Search engine choice (Elasticsearch/OpenSearch) and indexing contract.</w:t>
      </w:r>
    </w:p>
    <w:p>
      <w:pPr>
        <w:pStyle w:val="ListBullet"/>
        <w:ind w:left="0"/>
      </w:pPr>
      <w:r>
        <w:t>Redis use cases; do not add Redis without a defined need.</w:t>
      </w:r>
    </w:p>
    <w:p>
      <w:pPr>
        <w:pStyle w:val="ListBullet"/>
        <w:ind w:left="0"/>
      </w:pPr>
      <w:r>
        <w:t>First AWS runtime choice (ECS/Fargate vs EC2) and the later EKS transition.</w:t>
      </w:r>
    </w:p>
    <w:p>
      <w:pPr>
        <w:pStyle w:val="ListBullet"/>
        <w:ind w:left="0"/>
      </w:pPr>
      <w:r>
        <w:t>Production domain, TLS, CORS and OAuth issuer URL.</w:t>
      </w:r>
    </w:p>
    <w:p>
      <w:pPr>
        <w:pStyle w:val="ListBullet"/>
        <w:ind w:left="0"/>
      </w:pPr>
      <w:r>
        <w:t>CI/CD implementation choice and deployment promotion strategy.</w:t>
      </w:r>
    </w:p>
    <w:p>
      <w:pPr>
        <w:pStyle w:val="Heading1"/>
      </w:pPr>
      <w:r>
        <w:t>18. Handover Context for Another Developer or ChatGPT</w:t>
      </w:r>
    </w:p>
    <w:p>
      <w:r>
        <w:t>Use the following context when this document is provided without previous conversation history:</w:t>
      </w:r>
    </w:p>
    <w:p>
      <w:pPr>
        <w:pStyle w:val="IntenseQuote"/>
      </w:pPr>
      <w:r>
        <w:t>TechNotes is a Java 21 / Spring Boot microservices learning and portfolio project that will become a real technical-notes website. Core backend services are API Gateway, User/OAuth Service, Notes Service, Config Server and Eureka Server. User/OAuth owns identity in PostgreSQL and issues OAuth2/OIDC tokens. Notes owns recursive categories and note content in MongoDB and derives authorId from JWT sub. The current Notes v1 contract uses one recursive categories collection rather than a separate topics collection. Phase 1 is a secure core MVP with real-token Gateway-to-Notes integration and Docker Compose. Kafka, reliable outbox, Search, Media, Notification, subscriptions/payments, Redis and Kubernetes are later controlled phases. The product will eventually support free and premium monthly-subscription content, but premium schema/payment decisions are not yet frozen. Do not assume old local experimental Notes code is authoritative; rebuild according to the reviewed specifications and Jira tickets. Always distinguish existing implemented code from proposed architecture, inspect repositories before changing them, and preserve one-ticket/one-branch/PR workflow.</w:t>
      </w:r>
    </w:p>
    <w:p>
      <w:pPr>
        <w:pStyle w:val="Heading1"/>
      </w:pPr>
      <w:r>
        <w:t>19. Source Basis and Decision Status</w:t>
      </w:r>
    </w:p>
    <w:p>
      <w:r>
        <w:t>Source-backed current decisions were taken from the uploaded TechNotes Notes Service specification v1 and TechNotes User/OAuth Service specification v1 dated 2026-09-28. Those specifications explicitly describe themselves as proposed implementation contracts, not proof that all endpoints or repositories already exist.</w:t>
      </w:r>
    </w:p>
    <w:p>
      <w:pPr>
        <w:pStyle w:val="ListBullet"/>
        <w:ind w:left="0"/>
      </w:pPr>
      <w:r>
        <w:t>[S1] TechNotes_Notes_Service_Spec_v1.md — Notes ownership, recursive category model, MongoDB, API/security contract, milestones and testing.</w:t>
      </w:r>
    </w:p>
    <w:p>
      <w:pPr>
        <w:pStyle w:val="ListBullet"/>
        <w:ind w:left="0"/>
      </w:pPr>
      <w:r>
        <w:t>[S2] TechNotes_User_OAuth_Service_Spec_v1.md — User/OAuth ownership, PostgreSQL, OAuth2/OIDC, JWT contract, roles/scopes and integration.</w:t>
      </w:r>
    </w:p>
    <w:p>
      <w:pPr>
        <w:pStyle w:val="ListBullet"/>
        <w:ind w:left="0"/>
      </w:pPr>
      <w:r>
        <w:t>[P1] Product extension stated by the project owner — future free/premium monthly subscription model.</w:t>
      </w:r>
    </w:p>
    <w:p>
      <w:pPr>
        <w:pStyle w:val="ListBullet"/>
        <w:ind w:left="0"/>
      </w:pPr>
      <w:r>
        <w:t>[P2] Architecture proposal in this blueprint — Subscription/Billing Service, cloud evolution, event consumers and phased platform roadmap where not already specified in S1/S2.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Version 1.0 • Backend only • Prepared from current TechNotes service specifications and stated product goals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TechNotes Backend Architecture &amp; Implementation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